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06146A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B00A9">
            <w:rPr>
              <w:rStyle w:val="Style1"/>
            </w:rPr>
            <w:t>N/A</w:t>
          </w:r>
        </w:sdtContent>
      </w:sdt>
    </w:p>
    <w:p w14:paraId="0CABCF56" w14:textId="43FDCAE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E28BE">
            <w:rPr>
              <w:rStyle w:val="Style1"/>
              <w:rFonts w:cstheme="minorHAnsi"/>
            </w:rPr>
            <w:t>Total Per Capita Cost (TPCC)</w:t>
          </w:r>
          <w:r w:rsidR="00CB00EB" w:rsidRPr="00975148">
            <w:rPr>
              <w:rStyle w:val="Style1"/>
              <w:rFonts w:cstheme="minorHAnsi"/>
            </w:rPr>
            <w:tab/>
          </w:r>
        </w:sdtContent>
      </w:sdt>
    </w:p>
    <w:p w14:paraId="0CABCF57" w14:textId="54F0CDB2"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4-29T00:00:00Z">
            <w:dateFormat w:val="M/d/yyyy"/>
            <w:lid w:val="en-US"/>
            <w:storeMappedDataAs w:val="dateTime"/>
            <w:calendar w:val="gregorian"/>
          </w:date>
        </w:sdtPr>
        <w:sdtEndPr>
          <w:rPr>
            <w:rStyle w:val="DefaultParagraphFont"/>
            <w:noProof/>
            <w:color w:val="auto"/>
            <w:u w:val="none"/>
          </w:rPr>
        </w:sdtEndPr>
        <w:sdtContent>
          <w:r w:rsidR="00564625">
            <w:rPr>
              <w:rStyle w:val="Style2"/>
              <w:rFonts w:cstheme="minorHAnsi"/>
            </w:rPr>
            <w:t>4/29</w:t>
          </w:r>
          <w:r w:rsidR="00916D09">
            <w:rPr>
              <w:rStyle w:val="Style2"/>
              <w:rFonts w:cstheme="minorHAnsi"/>
            </w:rPr>
            <w:t>/2020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564625"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564625"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564625"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636E1026" w:rsidR="000B7D57" w:rsidRPr="00C775CE" w:rsidRDefault="00564625"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56462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564625"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56462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093BD8">
        <w:trPr>
          <w:jc w:val="center"/>
        </w:trPr>
        <w:tc>
          <w:tcPr>
            <w:tcW w:w="10285" w:type="dxa"/>
          </w:tcPr>
          <w:p w14:paraId="136B9CE1" w14:textId="77777777" w:rsidR="00093BD8" w:rsidRPr="00B53E8B" w:rsidRDefault="00093BD8" w:rsidP="00093BD8">
            <w:pPr>
              <w:rPr>
                <w:rFonts w:cstheme="minorHAnsi"/>
                <w:b/>
                <w:noProof/>
              </w:rPr>
            </w:pPr>
            <w:r w:rsidRPr="00B53E8B">
              <w:rPr>
                <w:rFonts w:cstheme="minorHAnsi"/>
                <w:b/>
                <w:noProof/>
              </w:rPr>
              <w:t>Instructions</w:t>
            </w:r>
          </w:p>
          <w:p w14:paraId="226E15DE" w14:textId="77777777" w:rsidR="00093BD8" w:rsidRPr="00C14CCC" w:rsidRDefault="00093BD8" w:rsidP="00F56947">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14:paraId="7449ACFA" w14:textId="77777777" w:rsidR="00093BD8" w:rsidRPr="00053F02" w:rsidRDefault="00093BD8" w:rsidP="00F56947">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Pr>
                <w:rFonts w:cstheme="minorHAnsi"/>
                <w:b/>
                <w:noProof/>
              </w:rPr>
              <w:t xml:space="preserve"> measures, sections 1, 2a2, 2b1, 2b2</w:t>
            </w:r>
            <w:r w:rsidRPr="00053F02">
              <w:rPr>
                <w:rFonts w:cstheme="minorHAnsi"/>
                <w:b/>
                <w:noProof/>
              </w:rPr>
              <w:t xml:space="preserve">, </w:t>
            </w:r>
            <w:r>
              <w:rPr>
                <w:rFonts w:cstheme="minorHAnsi"/>
                <w:b/>
                <w:noProof/>
              </w:rPr>
              <w:t>and 2b4</w:t>
            </w:r>
            <w:r w:rsidRPr="00053F02">
              <w:rPr>
                <w:rFonts w:cstheme="minorHAnsi"/>
                <w:b/>
                <w:noProof/>
              </w:rPr>
              <w:t xml:space="preserve"> must be completed</w:t>
            </w:r>
            <w:r>
              <w:rPr>
                <w:rFonts w:cstheme="minorHAnsi"/>
                <w:b/>
                <w:noProof/>
              </w:rPr>
              <w:t>.</w:t>
            </w:r>
          </w:p>
          <w:p w14:paraId="497DF006" w14:textId="77777777" w:rsidR="00093BD8" w:rsidRDefault="00093BD8" w:rsidP="00F56947">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Pr>
                <w:rFonts w:cstheme="minorHAnsi"/>
                <w:b/>
                <w:noProof/>
              </w:rPr>
              <w:t xml:space="preserve">2b3 </w:t>
            </w:r>
            <w:r>
              <w:rPr>
                <w:rFonts w:cstheme="minorHAnsi"/>
                <w:noProof/>
              </w:rPr>
              <w:t>also must be completed.</w:t>
            </w:r>
          </w:p>
          <w:p w14:paraId="7F6E0419" w14:textId="77777777" w:rsidR="00093BD8" w:rsidRDefault="00093BD8" w:rsidP="00F56947">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specifications</w:t>
            </w:r>
            <w:r>
              <w:rPr>
                <w:rFonts w:cstheme="minorHAnsi"/>
                <w:noProof/>
              </w:rPr>
              <w:t xml:space="preserve"> (e.g., claims and EHRs), section </w:t>
            </w:r>
            <w:r>
              <w:rPr>
                <w:rFonts w:cstheme="minorHAnsi"/>
                <w:b/>
                <w:noProof/>
              </w:rPr>
              <w:t>2b5</w:t>
            </w:r>
            <w:r>
              <w:rPr>
                <w:rFonts w:cstheme="minorHAnsi"/>
                <w:noProof/>
              </w:rPr>
              <w:t xml:space="preserve"> also must be completed.</w:t>
            </w:r>
          </w:p>
          <w:p w14:paraId="3AA01ED4" w14:textId="77777777" w:rsidR="00093BD8" w:rsidRPr="008F589F" w:rsidRDefault="00093BD8" w:rsidP="00F56947">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r>
              <w:t xml:space="preserve">subcriteria for reliability (2a2) and validity (2b1-2b6)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14:paraId="2BCB8CA6" w14:textId="77777777" w:rsidR="00093BD8" w:rsidRDefault="00093BD8" w:rsidP="00F56947">
            <w:pPr>
              <w:pStyle w:val="ListParagraph"/>
              <w:numPr>
                <w:ilvl w:val="0"/>
                <w:numId w:val="1"/>
              </w:numPr>
              <w:rPr>
                <w:rFonts w:cstheme="minorHAnsi"/>
                <w:noProof/>
              </w:rPr>
            </w:pPr>
            <w:r>
              <w:t>If you are unable to check a box, please highlight or shade the box for your response.</w:t>
            </w:r>
          </w:p>
          <w:p w14:paraId="3ADF89C8" w14:textId="77777777" w:rsidR="00093BD8" w:rsidRPr="008F589F" w:rsidRDefault="00093BD8" w:rsidP="00F56947">
            <w:pPr>
              <w:pStyle w:val="ListParagraph"/>
              <w:numPr>
                <w:ilvl w:val="0"/>
                <w:numId w:val="1"/>
              </w:numPr>
              <w:rPr>
                <w:rFonts w:cstheme="minorHAnsi"/>
                <w:noProof/>
              </w:rPr>
            </w:pPr>
            <w:r w:rsidRPr="00712A05">
              <w:rPr>
                <w:rFonts w:cstheme="minorHAnsi"/>
                <w:noProof/>
              </w:rPr>
              <w:t>Maximum of 25 pages (</w:t>
            </w:r>
            <w:r w:rsidRPr="00712A05">
              <w:rPr>
                <w:rFonts w:cstheme="minorHAnsi"/>
                <w:i/>
                <w:noProof/>
              </w:rPr>
              <w:t xml:space="preserve">incuding questions/instructions; </w:t>
            </w:r>
            <w:r w:rsidRPr="00712A05">
              <w:t>minimum font size 11 pt; do not change margins).</w:t>
            </w:r>
            <w:r w:rsidRPr="008629B3">
              <w:t xml:space="preserve"> </w:t>
            </w:r>
            <w:r w:rsidRPr="000D6D06">
              <w:rPr>
                <w:b/>
                <w:i/>
              </w:rPr>
              <w:t xml:space="preserve">Contact </w:t>
            </w:r>
            <w:r>
              <w:rPr>
                <w:b/>
                <w:i/>
              </w:rPr>
              <w:t>NQF staff if more pages are needed</w:t>
            </w:r>
            <w:r w:rsidRPr="000D6D06">
              <w:rPr>
                <w:b/>
                <w:i/>
              </w:rPr>
              <w:t>.</w:t>
            </w:r>
          </w:p>
          <w:p w14:paraId="2CB59074" w14:textId="77777777" w:rsidR="00093BD8" w:rsidRPr="00A71200" w:rsidRDefault="00093BD8" w:rsidP="00F56947">
            <w:pPr>
              <w:pStyle w:val="ListParagraph"/>
              <w:numPr>
                <w:ilvl w:val="0"/>
                <w:numId w:val="1"/>
              </w:numPr>
              <w:rPr>
                <w:rFonts w:cstheme="minorHAnsi"/>
                <w:noProof/>
              </w:rPr>
            </w:pPr>
            <w:r w:rsidRPr="00496AF8">
              <w:t>Contact NQ</w:t>
            </w:r>
            <w:r>
              <w:t xml:space="preserve">F staff regarding questions. Check for resources at </w:t>
            </w:r>
            <w:hyperlink r:id="rId12" w:history="1">
              <w:r w:rsidRPr="00145149">
                <w:rPr>
                  <w:rStyle w:val="Hyperlink"/>
                </w:rPr>
                <w:t>Submitting Standards webpage</w:t>
              </w:r>
            </w:hyperlink>
            <w:r>
              <w:t>.</w:t>
            </w:r>
          </w:p>
          <w:p w14:paraId="0CABCF6F" w14:textId="704DEF32" w:rsidR="00A64EBF" w:rsidRPr="00093BD8" w:rsidRDefault="00093BD8" w:rsidP="00F56947">
            <w:pPr>
              <w:pStyle w:val="ListParagraph"/>
              <w:numPr>
                <w:ilvl w:val="0"/>
                <w:numId w:val="1"/>
              </w:numPr>
              <w:spacing w:after="200" w:line="276" w:lineRule="auto"/>
              <w:rPr>
                <w:rFonts w:cstheme="minorHAnsi"/>
                <w:noProof/>
              </w:rPr>
            </w:pPr>
            <w:r>
              <w:t>For information on the most updated guidance on how to address social risk factors variables and testing in this form refer to the release notes for version 7.1 of the Measure Testing Attachment.</w:t>
            </w:r>
          </w:p>
        </w:tc>
      </w:tr>
      <w:tr w:rsidR="00093BD8" w:rsidRPr="00A831B4" w14:paraId="5E23101F" w14:textId="77777777" w:rsidTr="00093BD8">
        <w:tblPrEx>
          <w:jc w:val="left"/>
        </w:tblPrEx>
        <w:tc>
          <w:tcPr>
            <w:tcW w:w="10285" w:type="dxa"/>
          </w:tcPr>
          <w:p w14:paraId="52622C56" w14:textId="77777777" w:rsidR="00093BD8" w:rsidRPr="000F034A" w:rsidRDefault="00093BD8" w:rsidP="008329C0">
            <w:pPr>
              <w:rPr>
                <w:rFonts w:cstheme="minorHAnsi"/>
                <w:b/>
                <w:bCs/>
              </w:rPr>
            </w:pPr>
            <w:r w:rsidRPr="000F034A">
              <w:rPr>
                <w:b/>
                <w:bCs/>
                <w:u w:val="single"/>
              </w:rPr>
              <w:t>Note</w:t>
            </w:r>
            <w:r w:rsidRPr="000F034A">
              <w:rPr>
                <w:b/>
                <w:bCs/>
              </w:rPr>
              <w:t xml:space="preserve">: </w:t>
            </w:r>
            <w:r w:rsidRPr="00D369E9">
              <w:rPr>
                <w:bCs/>
              </w:rPr>
              <w:t>The information provided in this form is intended to aid the Standing Committee and other stakeholders in understanding to what degree the testing results for this measure meet NQF’s evaluation criteria for testing.</w:t>
            </w:r>
          </w:p>
          <w:p w14:paraId="1B4BAEE5" w14:textId="77777777" w:rsidR="00093BD8" w:rsidRPr="00A831B4" w:rsidRDefault="00093BD8" w:rsidP="008329C0">
            <w:pPr>
              <w:rPr>
                <w:rFonts w:cstheme="minorHAnsi"/>
                <w:b/>
                <w:bCs/>
                <w:sz w:val="20"/>
                <w:szCs w:val="20"/>
              </w:rPr>
            </w:pPr>
          </w:p>
          <w:p w14:paraId="41813DE4" w14:textId="77777777" w:rsidR="00093BD8" w:rsidRPr="000F034A" w:rsidRDefault="00093BD8" w:rsidP="008329C0">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 xml:space="preserve">. For </w:t>
            </w:r>
            <w:r w:rsidRPr="00651D44">
              <w:rPr>
                <w:rFonts w:cstheme="minorHAnsi"/>
                <w:b/>
                <w:bCs/>
                <w:iCs/>
              </w:rPr>
              <w:t xml:space="preserve">instrument-based measures </w:t>
            </w:r>
            <w:r w:rsidRPr="00651D44">
              <w:rPr>
                <w:rFonts w:cstheme="minorHAnsi"/>
                <w:bCs/>
                <w:iCs/>
              </w:rPr>
              <w:t>(including PRO-PMs)</w:t>
            </w:r>
            <w:r w:rsidRPr="00651D44">
              <w:rPr>
                <w:rFonts w:cstheme="minorHAnsi"/>
                <w:b/>
                <w:bCs/>
                <w:iCs/>
              </w:rPr>
              <w:t xml:space="preserve"> and composite performance measures</w:t>
            </w:r>
            <w:r w:rsidRPr="000F034A">
              <w:rPr>
                <w:rFonts w:cstheme="minorHAnsi"/>
                <w:bCs/>
                <w:iCs/>
              </w:rPr>
              <w:t>, reliability should be demonstrated for the computed performance score.</w:t>
            </w:r>
          </w:p>
          <w:p w14:paraId="16301E3C" w14:textId="77777777" w:rsidR="00093BD8" w:rsidRPr="000F034A" w:rsidRDefault="00093BD8" w:rsidP="008329C0">
            <w:pPr>
              <w:autoSpaceDE w:val="0"/>
              <w:autoSpaceDN w:val="0"/>
              <w:adjustRightInd w:val="0"/>
              <w:rPr>
                <w:rFonts w:cstheme="minorHAnsi"/>
                <w:b/>
                <w:iCs/>
              </w:rPr>
            </w:pPr>
          </w:p>
          <w:p w14:paraId="4F04A56F" w14:textId="2F8EACAB" w:rsidR="00093BD8" w:rsidRPr="000F034A" w:rsidRDefault="00093BD8" w:rsidP="008329C0">
            <w:pPr>
              <w:autoSpaceDE w:val="0"/>
              <w:autoSpaceDN w:val="0"/>
              <w:adjustRightInd w:val="0"/>
              <w:rPr>
                <w:rFonts w:cstheme="minorHAnsi"/>
              </w:rPr>
            </w:pPr>
            <w:r w:rsidRPr="000F034A">
              <w:rPr>
                <w:rFonts w:cstheme="minorHAnsi"/>
                <w:b/>
                <w:iCs/>
              </w:rPr>
              <w:t>2b</w:t>
            </w:r>
            <w:r>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781267">
              <w:rPr>
                <w:rFonts w:cstheme="minorHAnsi"/>
                <w:color w:val="0000FF"/>
              </w:rPr>
              <w:t xml:space="preserve">. </w:t>
            </w:r>
            <w:r w:rsidRPr="000F034A">
              <w:rPr>
                <w:rFonts w:cstheme="minorHAnsi"/>
                <w:bCs/>
                <w:iCs/>
              </w:rPr>
              <w:t xml:space="preserve">For </w:t>
            </w:r>
            <w:r w:rsidRPr="00651D44">
              <w:rPr>
                <w:rFonts w:cstheme="minorHAnsi"/>
                <w:b/>
                <w:bCs/>
                <w:iCs/>
              </w:rPr>
              <w:t>instrument-based measures (including 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14:paraId="004B71AA" w14:textId="77777777" w:rsidR="00093BD8" w:rsidRPr="000F034A" w:rsidRDefault="00093BD8" w:rsidP="008329C0">
            <w:pPr>
              <w:rPr>
                <w:rFonts w:cstheme="minorHAnsi"/>
              </w:rPr>
            </w:pPr>
          </w:p>
          <w:p w14:paraId="69542E2B" w14:textId="77777777" w:rsidR="00093BD8" w:rsidRPr="000F034A" w:rsidRDefault="00093BD8" w:rsidP="008329C0">
            <w:pPr>
              <w:rPr>
                <w:rFonts w:cstheme="minorHAnsi"/>
              </w:rPr>
            </w:pPr>
            <w:r w:rsidRPr="000F034A">
              <w:rPr>
                <w:rFonts w:cstheme="minorHAnsi"/>
                <w:b/>
                <w:bCs/>
              </w:rPr>
              <w:t>2b</w:t>
            </w:r>
            <w:r>
              <w:rPr>
                <w:rFonts w:cstheme="minorHAnsi"/>
                <w:b/>
                <w:bCs/>
              </w:rPr>
              <w:t>2</w:t>
            </w:r>
            <w:r w:rsidRPr="000F034A">
              <w:rPr>
                <w:rFonts w:cstheme="minorHAnsi"/>
                <w:b/>
                <w:bCs/>
              </w:rPr>
              <w:t>.</w:t>
            </w:r>
            <w:r w:rsidRPr="000F034A">
              <w:rPr>
                <w:rFonts w:cstheme="minorHAnsi"/>
              </w:rPr>
              <w:t xml:space="preserve"> </w:t>
            </w:r>
            <w:r w:rsidRPr="00651D44">
              <w:rPr>
                <w:rFonts w:cstheme="minorHAnsi"/>
                <w:b/>
              </w:rPr>
              <w:t>Exclusions</w:t>
            </w:r>
            <w:r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5D7C164A" w14:textId="77777777" w:rsidR="00093BD8" w:rsidRPr="000F034A" w:rsidRDefault="00093BD8" w:rsidP="008329C0">
            <w:pPr>
              <w:rPr>
                <w:rFonts w:cstheme="minorHAnsi"/>
                <w:b/>
              </w:rPr>
            </w:pPr>
            <w:r w:rsidRPr="000F034A">
              <w:rPr>
                <w:rFonts w:cstheme="minorHAnsi"/>
                <w:b/>
              </w:rPr>
              <w:lastRenderedPageBreak/>
              <w:t xml:space="preserve">AND </w:t>
            </w:r>
          </w:p>
          <w:p w14:paraId="7C7007F8" w14:textId="77777777" w:rsidR="00093BD8" w:rsidRPr="000F034A" w:rsidRDefault="00093BD8" w:rsidP="008329C0">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70EEB54B" w14:textId="77777777" w:rsidR="00093BD8" w:rsidRPr="000F034A" w:rsidRDefault="00093BD8" w:rsidP="008329C0">
            <w:pPr>
              <w:rPr>
                <w:rFonts w:cstheme="minorHAnsi"/>
                <w:b/>
                <w:bCs/>
              </w:rPr>
            </w:pPr>
          </w:p>
          <w:p w14:paraId="10ADF65C" w14:textId="77777777" w:rsidR="00093BD8" w:rsidRPr="000F034A" w:rsidRDefault="00093BD8" w:rsidP="008329C0">
            <w:pPr>
              <w:rPr>
                <w:rFonts w:cstheme="minorHAnsi"/>
              </w:rPr>
            </w:pPr>
            <w:r w:rsidRPr="000F034A">
              <w:rPr>
                <w:rFonts w:cstheme="minorHAnsi"/>
                <w:b/>
                <w:bCs/>
              </w:rPr>
              <w:t>2b</w:t>
            </w:r>
            <w:r>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7CD0E17D" w14:textId="77777777" w:rsidR="00093BD8" w:rsidRPr="000F034A" w:rsidRDefault="00093BD8" w:rsidP="00F56947">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Pr>
                <w:rFonts w:cstheme="minorHAnsi"/>
              </w:rPr>
              <w:t xml:space="preserve">(including clinical and social risk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4676FD8" w14:textId="77777777" w:rsidR="00093BD8" w:rsidRPr="000F034A" w:rsidRDefault="00093BD8" w:rsidP="008329C0">
            <w:pPr>
              <w:rPr>
                <w:rFonts w:cstheme="minorHAnsi"/>
                <w:b/>
              </w:rPr>
            </w:pPr>
            <w:r w:rsidRPr="000F034A">
              <w:rPr>
                <w:rFonts w:cstheme="minorHAnsi"/>
                <w:b/>
              </w:rPr>
              <w:t>OR</w:t>
            </w:r>
          </w:p>
          <w:p w14:paraId="3F3A9FFD" w14:textId="77777777" w:rsidR="00093BD8" w:rsidRPr="000F034A" w:rsidRDefault="00093BD8" w:rsidP="00F56947">
            <w:pPr>
              <w:numPr>
                <w:ilvl w:val="0"/>
                <w:numId w:val="2"/>
              </w:numPr>
              <w:ind w:left="0" w:firstLine="0"/>
              <w:rPr>
                <w:rFonts w:cstheme="minorHAnsi"/>
              </w:rPr>
            </w:pPr>
            <w:r w:rsidRPr="000F034A">
              <w:rPr>
                <w:rFonts w:cstheme="minorHAnsi"/>
              </w:rPr>
              <w:t xml:space="preserve">rationale/data support no risk adjustment/ stratification. </w:t>
            </w:r>
          </w:p>
          <w:p w14:paraId="471883C0" w14:textId="77777777" w:rsidR="00093BD8" w:rsidRPr="000F034A" w:rsidRDefault="00093BD8" w:rsidP="008329C0">
            <w:pPr>
              <w:rPr>
                <w:rFonts w:cstheme="minorHAnsi"/>
                <w:b/>
                <w:bCs/>
              </w:rPr>
            </w:pPr>
          </w:p>
          <w:p w14:paraId="12834A99" w14:textId="77777777" w:rsidR="00093BD8" w:rsidRPr="000F034A" w:rsidRDefault="00093BD8" w:rsidP="008329C0">
            <w:pPr>
              <w:rPr>
                <w:rFonts w:cstheme="minorHAnsi"/>
              </w:rPr>
            </w:pPr>
            <w:r w:rsidRPr="000F034A">
              <w:rPr>
                <w:rFonts w:cstheme="minorHAnsi"/>
                <w:b/>
                <w:bCs/>
              </w:rPr>
              <w:t>2b</w:t>
            </w:r>
            <w:r>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1D18DFF" w14:textId="77777777" w:rsidR="00093BD8" w:rsidRPr="000F034A" w:rsidRDefault="00093BD8" w:rsidP="008329C0">
            <w:pPr>
              <w:rPr>
                <w:rFonts w:cstheme="minorHAnsi"/>
              </w:rPr>
            </w:pPr>
            <w:r w:rsidRPr="000F034A">
              <w:rPr>
                <w:rFonts w:cstheme="minorHAnsi"/>
                <w:b/>
              </w:rPr>
              <w:t>OR</w:t>
            </w:r>
          </w:p>
          <w:p w14:paraId="6F41553D" w14:textId="77777777" w:rsidR="00093BD8" w:rsidRPr="000F034A" w:rsidRDefault="00093BD8" w:rsidP="008329C0">
            <w:pPr>
              <w:rPr>
                <w:rFonts w:cstheme="minorHAnsi"/>
              </w:rPr>
            </w:pPr>
            <w:r w:rsidRPr="000F034A">
              <w:rPr>
                <w:rFonts w:cstheme="minorHAnsi"/>
              </w:rPr>
              <w:t xml:space="preserve">there is evidence of overall less-than-optimal performance. </w:t>
            </w:r>
          </w:p>
          <w:p w14:paraId="386FEAB0" w14:textId="77777777" w:rsidR="00093BD8" w:rsidRPr="000F034A" w:rsidRDefault="00093BD8" w:rsidP="008329C0">
            <w:pPr>
              <w:rPr>
                <w:rFonts w:cstheme="minorHAnsi"/>
                <w:b/>
                <w:bCs/>
              </w:rPr>
            </w:pPr>
          </w:p>
          <w:p w14:paraId="388B4093" w14:textId="77777777" w:rsidR="00093BD8" w:rsidRPr="000F034A" w:rsidRDefault="00093BD8" w:rsidP="008329C0">
            <w:pPr>
              <w:rPr>
                <w:rFonts w:cstheme="minorHAnsi"/>
              </w:rPr>
            </w:pPr>
            <w:r w:rsidRPr="000F034A">
              <w:rPr>
                <w:rFonts w:cstheme="minorHAnsi"/>
                <w:b/>
                <w:bCs/>
              </w:rPr>
              <w:t>2b</w:t>
            </w:r>
            <w:r>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51390AB0" w14:textId="77777777" w:rsidR="00093BD8" w:rsidRPr="000F034A" w:rsidRDefault="00093BD8" w:rsidP="008329C0">
            <w:pPr>
              <w:rPr>
                <w:rFonts w:cstheme="minorHAnsi"/>
              </w:rPr>
            </w:pPr>
          </w:p>
          <w:p w14:paraId="145BE020" w14:textId="77777777" w:rsidR="00093BD8" w:rsidRPr="00A831B4" w:rsidRDefault="00093BD8" w:rsidP="008329C0">
            <w:pPr>
              <w:rPr>
                <w:rFonts w:cstheme="minorHAnsi"/>
                <w:sz w:val="20"/>
                <w:szCs w:val="20"/>
              </w:rPr>
            </w:pPr>
            <w:r>
              <w:rPr>
                <w:rFonts w:ascii="Calibri" w:eastAsia="Calibri" w:hAnsi="Calibri" w:cs="Calibri"/>
                <w:b/>
              </w:rPr>
              <w:t>2b6</w:t>
            </w:r>
            <w:r w:rsidRPr="000F034A">
              <w:rPr>
                <w:rFonts w:ascii="Calibri" w:eastAsia="Calibri" w:hAnsi="Calibri" w:cs="Calibri"/>
                <w:b/>
              </w:rPr>
              <w:t>.</w:t>
            </w:r>
            <w:r w:rsidRPr="000F034A">
              <w:rPr>
                <w:rFonts w:ascii="Calibri" w:eastAsia="Calibri" w:hAnsi="Calibri" w:cs="Calibri"/>
              </w:rPr>
              <w:t xml:space="preserve"> </w:t>
            </w:r>
            <w:r>
              <w:rPr>
                <w:rFonts w:ascii="Calibri" w:eastAsia="Calibri" w:hAnsi="Calibri" w:cs="Calibri"/>
              </w:rPr>
              <w:t>A</w:t>
            </w:r>
            <w:r w:rsidRPr="000F034A">
              <w:rPr>
                <w:rFonts w:ascii="Calibri" w:eastAsia="Calibri" w:hAnsi="Calibri" w:cs="Calibri"/>
              </w:rPr>
              <w:t xml:space="preserve">nalyses identify the extent and distribution of </w:t>
            </w:r>
            <w:r w:rsidRPr="00651D44">
              <w:rPr>
                <w:rFonts w:ascii="Calibri" w:eastAsia="Calibri" w:hAnsi="Calibri" w:cs="Calibri"/>
                <w:b/>
              </w:rPr>
              <w:t>missing data</w:t>
            </w:r>
            <w:r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p w14:paraId="23B1EB77" w14:textId="77777777" w:rsidR="00093BD8" w:rsidRPr="00A831B4" w:rsidRDefault="00093BD8" w:rsidP="008329C0">
            <w:pPr>
              <w:rPr>
                <w:rFonts w:cstheme="minorHAnsi"/>
                <w:b/>
                <w:bCs/>
                <w:sz w:val="20"/>
                <w:szCs w:val="20"/>
              </w:rPr>
            </w:pPr>
          </w:p>
          <w:p w14:paraId="7BA304C6" w14:textId="77777777" w:rsidR="00093BD8" w:rsidRPr="00A831B4" w:rsidRDefault="00093BD8" w:rsidP="008329C0">
            <w:pPr>
              <w:autoSpaceDE w:val="0"/>
              <w:autoSpaceDN w:val="0"/>
              <w:adjustRightInd w:val="0"/>
              <w:rPr>
                <w:rFonts w:cstheme="minorHAnsi"/>
                <w:b/>
                <w:bCs/>
                <w:iCs/>
                <w:sz w:val="20"/>
                <w:szCs w:val="20"/>
              </w:rPr>
            </w:pPr>
            <w:r w:rsidRPr="00A831B4">
              <w:rPr>
                <w:rFonts w:cstheme="minorHAnsi"/>
                <w:b/>
                <w:bCs/>
                <w:iCs/>
                <w:sz w:val="20"/>
                <w:szCs w:val="20"/>
              </w:rPr>
              <w:t>Notes</w:t>
            </w:r>
          </w:p>
          <w:p w14:paraId="37FB2A40" w14:textId="77777777" w:rsidR="00093BD8" w:rsidRPr="00A831B4" w:rsidRDefault="00093BD8" w:rsidP="008329C0">
            <w:pPr>
              <w:autoSpaceDE w:val="0"/>
              <w:autoSpaceDN w:val="0"/>
              <w:adjustRightInd w:val="0"/>
              <w:rPr>
                <w:rFonts w:cstheme="minorHAnsi"/>
                <w:sz w:val="20"/>
                <w:szCs w:val="20"/>
              </w:rPr>
            </w:pPr>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399098B7" w14:textId="295FE6E0" w:rsidR="00093BD8" w:rsidRPr="00A831B4" w:rsidRDefault="00093BD8" w:rsidP="008329C0">
            <w:pPr>
              <w:rPr>
                <w:rFonts w:cstheme="minorHAnsi"/>
                <w:sz w:val="20"/>
                <w:szCs w:val="20"/>
              </w:rPr>
            </w:pPr>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781267">
              <w:rPr>
                <w:rFonts w:cstheme="minorHAnsi"/>
                <w:sz w:val="20"/>
                <w:szCs w:val="20"/>
              </w:rPr>
              <w:t xml:space="preserve">. </w:t>
            </w:r>
            <w:r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Pr>
                <w:rFonts w:cstheme="minorHAnsi"/>
                <w:sz w:val="20"/>
                <w:szCs w:val="20"/>
              </w:rPr>
              <w:t xml:space="preserve"> </w:t>
            </w:r>
            <w:r w:rsidRPr="00651D44">
              <w:rPr>
                <w:rFonts w:cstheme="minorHAnsi"/>
                <w:sz w:val="20"/>
                <w:szCs w:val="20"/>
              </w:rPr>
              <w:t>The degree of consensus and any areas of disagreement must be provided/discussed.</w:t>
            </w:r>
          </w:p>
          <w:p w14:paraId="7B3F788C" w14:textId="3F41636F" w:rsidR="00093BD8" w:rsidRPr="00A831B4" w:rsidRDefault="00093BD8" w:rsidP="008329C0">
            <w:pPr>
              <w:pStyle w:val="FootnoteText"/>
              <w:rPr>
                <w:rFonts w:asciiTheme="minorHAnsi" w:hAnsiTheme="minorHAnsi" w:cstheme="minorHAnsi"/>
              </w:rPr>
            </w:pPr>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781267">
              <w:rPr>
                <w:rFonts w:asciiTheme="minorHAnsi" w:hAnsiTheme="minorHAnsi" w:cstheme="minorHAnsi"/>
              </w:rPr>
              <w:t xml:space="preserve">. </w:t>
            </w:r>
          </w:p>
          <w:p w14:paraId="4D008B6B" w14:textId="77777777" w:rsidR="00093BD8" w:rsidRPr="00A831B4" w:rsidRDefault="00093BD8" w:rsidP="008329C0">
            <w:pPr>
              <w:autoSpaceDE w:val="0"/>
              <w:autoSpaceDN w:val="0"/>
              <w:adjustRightInd w:val="0"/>
              <w:rPr>
                <w:rFonts w:cstheme="minorHAnsi"/>
                <w:b/>
                <w:sz w:val="20"/>
                <w:szCs w:val="20"/>
              </w:rPr>
            </w:pPr>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8F16BC1" w14:textId="77777777" w:rsidR="00093BD8" w:rsidRPr="00A831B4" w:rsidRDefault="00093BD8" w:rsidP="008329C0">
            <w:pPr>
              <w:pStyle w:val="FootnoteText"/>
              <w:rPr>
                <w:b/>
                <w:bCs/>
              </w:rPr>
            </w:pPr>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r>
              <w:rPr>
                <w:rFonts w:asciiTheme="minorHAnsi" w:hAnsiTheme="minorHAnsi" w:cstheme="minorHAnsi"/>
              </w:rPr>
              <w:t>.</w:t>
            </w:r>
          </w:p>
          <w:p w14:paraId="50BF8375" w14:textId="77777777" w:rsidR="00093BD8" w:rsidRPr="00A831B4" w:rsidRDefault="00093BD8" w:rsidP="008329C0">
            <w:pPr>
              <w:rPr>
                <w:rFonts w:cstheme="minorHAnsi"/>
                <w:noProof/>
                <w:sz w:val="20"/>
                <w:szCs w:val="20"/>
              </w:rPr>
            </w:pPr>
            <w:r w:rsidRPr="00A831B4">
              <w:rPr>
                <w:rFonts w:cstheme="minorHAnsi"/>
                <w:b/>
                <w:sz w:val="20"/>
                <w:szCs w:val="20"/>
              </w:rPr>
              <w:t>1</w:t>
            </w:r>
            <w:r>
              <w:rPr>
                <w:rFonts w:cstheme="minorHAnsi"/>
                <w:b/>
                <w:sz w:val="20"/>
                <w:szCs w:val="20"/>
              </w:rPr>
              <w:t>5</w:t>
            </w:r>
            <w:r w:rsidRPr="00A831B4">
              <w:rPr>
                <w:rFonts w:cstheme="minorHAnsi"/>
                <w:b/>
                <w:sz w:val="20"/>
                <w:szCs w:val="20"/>
              </w:rPr>
              <w:t>.</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A01494" w:rsidRPr="00A01494" w14:paraId="0CABCF9A" w14:textId="77777777" w:rsidTr="004C3599">
        <w:trPr>
          <w:jc w:val="center"/>
        </w:trPr>
        <w:tc>
          <w:tcPr>
            <w:tcW w:w="4909"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909"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4C3599">
        <w:trPr>
          <w:jc w:val="center"/>
        </w:trPr>
        <w:tc>
          <w:tcPr>
            <w:tcW w:w="4909" w:type="dxa"/>
          </w:tcPr>
          <w:p w14:paraId="0CABCF9B" w14:textId="77777777" w:rsidR="00A01494" w:rsidRPr="00A01494" w:rsidRDefault="0056462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909" w:type="dxa"/>
          </w:tcPr>
          <w:p w14:paraId="0CABCF9C" w14:textId="77777777" w:rsidR="00A01494" w:rsidRPr="00A01494" w:rsidRDefault="0056462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4C3599">
        <w:trPr>
          <w:jc w:val="center"/>
        </w:trPr>
        <w:tc>
          <w:tcPr>
            <w:tcW w:w="4909" w:type="dxa"/>
          </w:tcPr>
          <w:p w14:paraId="0CABCF9E" w14:textId="77D2372D" w:rsidR="00A01494" w:rsidRPr="000F1B7A" w:rsidRDefault="00564625"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909" w:type="dxa"/>
          </w:tcPr>
          <w:p w14:paraId="0CABCF9F" w14:textId="39B3FF04" w:rsidR="00A01494" w:rsidRPr="000F1B7A" w:rsidRDefault="00564625"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4C3599">
        <w:trPr>
          <w:jc w:val="center"/>
        </w:trPr>
        <w:tc>
          <w:tcPr>
            <w:tcW w:w="4909" w:type="dxa"/>
          </w:tcPr>
          <w:p w14:paraId="0CABCFA1" w14:textId="38318C23" w:rsidR="00A01494" w:rsidRPr="000F1B7A" w:rsidRDefault="00564625"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909" w:type="dxa"/>
          </w:tcPr>
          <w:p w14:paraId="0CABCFA2" w14:textId="562084B1" w:rsidR="00A01494" w:rsidRPr="000F1B7A" w:rsidRDefault="00564625"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4C3599">
        <w:trPr>
          <w:jc w:val="center"/>
        </w:trPr>
        <w:tc>
          <w:tcPr>
            <w:tcW w:w="4909" w:type="dxa"/>
          </w:tcPr>
          <w:p w14:paraId="0CABCFA4" w14:textId="77777777" w:rsidR="00A01494" w:rsidRPr="000F1B7A" w:rsidRDefault="0056462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909" w:type="dxa"/>
          </w:tcPr>
          <w:p w14:paraId="0CABCFA5" w14:textId="77777777" w:rsidR="00A01494" w:rsidRPr="000F1B7A" w:rsidRDefault="0056462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4C3599">
        <w:trPr>
          <w:jc w:val="center"/>
        </w:trPr>
        <w:tc>
          <w:tcPr>
            <w:tcW w:w="4909" w:type="dxa"/>
          </w:tcPr>
          <w:p w14:paraId="0CABCFA7" w14:textId="77777777" w:rsidR="00A01494" w:rsidRPr="000F1B7A" w:rsidRDefault="0056462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909" w:type="dxa"/>
          </w:tcPr>
          <w:p w14:paraId="0CABCFA8" w14:textId="77777777" w:rsidR="00A01494" w:rsidRPr="000F1B7A" w:rsidRDefault="0056462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4C3599">
        <w:trPr>
          <w:jc w:val="center"/>
        </w:trPr>
        <w:tc>
          <w:tcPr>
            <w:tcW w:w="4909" w:type="dxa"/>
          </w:tcPr>
          <w:p w14:paraId="0CABCFAA" w14:textId="4DA5E685" w:rsidR="00A01494" w:rsidRPr="000F1B7A" w:rsidRDefault="00564625" w:rsidP="00CB00EB">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CB00EB">
                  <w:rPr>
                    <w:rStyle w:val="Style1"/>
                  </w:rPr>
                  <w:t>Long-term Minimum Data Set</w:t>
                </w:r>
                <w:r w:rsidR="006D6653">
                  <w:rPr>
                    <w:rStyle w:val="Style1"/>
                  </w:rPr>
                  <w:t>,</w:t>
                </w:r>
                <w:r w:rsidR="00CB00EB">
                  <w:rPr>
                    <w:rStyle w:val="Style1"/>
                  </w:rPr>
                  <w:t xml:space="preserve"> Enrollment Database</w:t>
                </w:r>
                <w:r w:rsidR="006D6653">
                  <w:rPr>
                    <w:rStyle w:val="Style1"/>
                  </w:rPr>
                  <w:t>, and Common Medicare Environment</w:t>
                </w:r>
              </w:sdtContent>
            </w:sdt>
          </w:p>
        </w:tc>
        <w:tc>
          <w:tcPr>
            <w:tcW w:w="4909" w:type="dxa"/>
          </w:tcPr>
          <w:p w14:paraId="0CABCFAB" w14:textId="61AF0981" w:rsidR="00A01494" w:rsidRPr="000F1B7A" w:rsidRDefault="00564625" w:rsidP="008E28BE">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CB00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Style1"/>
                </w:rPr>
              </w:sdtEndPr>
              <w:sdtContent>
                <w:r w:rsidR="00694ACA" w:rsidRPr="00CB00EB">
                  <w:rPr>
                    <w:rStyle w:val="Style1"/>
                  </w:rPr>
                  <w:t>Long-term Minimum Data Set</w:t>
                </w:r>
                <w:r w:rsidR="00694ACA">
                  <w:rPr>
                    <w:rStyle w:val="Style1"/>
                  </w:rPr>
                  <w:t xml:space="preserve"> (assessment data), </w:t>
                </w:r>
                <w:r w:rsidR="00694ACA" w:rsidRPr="00CB00EB">
                  <w:rPr>
                    <w:rStyle w:val="Style1"/>
                  </w:rPr>
                  <w:t>Enrollment Database</w:t>
                </w:r>
                <w:r w:rsidR="00694ACA">
                  <w:rPr>
                    <w:rStyle w:val="Style1"/>
                  </w:rPr>
                  <w:t>, Common Medicare Environment, American Community Survey (ACS)</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00F816B"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781267">
        <w:rPr>
          <w:rFonts w:cstheme="minorHAnsi"/>
          <w:bCs/>
        </w:rPr>
        <w:t xml:space="preserve">. </w:t>
      </w:r>
      <w:r w:rsidR="004348CC" w:rsidRPr="00A25024">
        <w:rPr>
          <w:rFonts w:cstheme="minorHAnsi"/>
          <w:bCs/>
        </w:rPr>
        <w:t xml:space="preserve"> </w:t>
      </w:r>
    </w:p>
    <w:p w14:paraId="5D1F3133" w14:textId="4EABCEB2" w:rsidR="008E28BE" w:rsidRPr="00BC37E8" w:rsidRDefault="008E28BE" w:rsidP="00DB3627">
      <w:pPr>
        <w:autoSpaceDE w:val="0"/>
        <w:autoSpaceDN w:val="0"/>
        <w:adjustRightInd w:val="0"/>
        <w:spacing w:after="0" w:line="240" w:lineRule="auto"/>
        <w:rPr>
          <w:rFonts w:ascii="Times New Roman" w:hAnsi="Times New Roman" w:cs="Times New Roman"/>
          <w:color w:val="0070C0"/>
        </w:rPr>
      </w:pPr>
      <w:r w:rsidRPr="00BC37E8">
        <w:rPr>
          <w:rFonts w:ascii="Times New Roman" w:hAnsi="Times New Roman" w:cs="Times New Roman"/>
          <w:color w:val="0070C0"/>
        </w:rPr>
        <w:t xml:space="preserve">The TPCC measure uses Medicare Part A and Part B claims data maintained by CMS. </w:t>
      </w:r>
      <w:r w:rsidR="009F0A4B" w:rsidRPr="00BC37E8">
        <w:rPr>
          <w:rFonts w:ascii="Times New Roman" w:hAnsi="Times New Roman" w:cs="Times New Roman"/>
          <w:color w:val="0070C0"/>
        </w:rPr>
        <w:t xml:space="preserve">These </w:t>
      </w:r>
      <w:r w:rsidRPr="00BC37E8">
        <w:rPr>
          <w:rFonts w:ascii="Times New Roman" w:hAnsi="Times New Roman" w:cs="Times New Roman"/>
          <w:color w:val="0070C0"/>
        </w:rPr>
        <w:t xml:space="preserve">claims data </w:t>
      </w:r>
      <w:r w:rsidR="009F0A4B" w:rsidRPr="00BC37E8">
        <w:rPr>
          <w:rFonts w:ascii="Times New Roman" w:hAnsi="Times New Roman" w:cs="Times New Roman"/>
          <w:color w:val="0070C0"/>
        </w:rPr>
        <w:t xml:space="preserve">are </w:t>
      </w:r>
      <w:r w:rsidRPr="00BC37E8">
        <w:rPr>
          <w:rFonts w:ascii="Times New Roman" w:hAnsi="Times New Roman" w:cs="Times New Roman"/>
          <w:color w:val="0070C0"/>
        </w:rPr>
        <w:t>used to attribute beneficiary months, calculate beneficiary’s monthly costs, and construct risk adjustors. Data from the EDB are used to determine beneficiary-level exclusions and supplemental risk adjustors, specifically Medicare Parts A, B, and C enrollment, primary payer, disability status, end-stage renal disease (ESRD), beneficiary birth dates, and beneficiary death dates. The risk adjustment models also account for expected differences in payment for services provided to beneficiaries in long-term care based on the data from the MDS. Specifically, the MDS is used to identify beneficiaries that should be risk adjusted through the CMS-HCC</w:t>
      </w:r>
      <w:r w:rsidR="00C0789D" w:rsidRPr="00BC37E8">
        <w:rPr>
          <w:rFonts w:ascii="Times New Roman" w:hAnsi="Times New Roman" w:cs="Times New Roman"/>
          <w:color w:val="0070C0"/>
        </w:rPr>
        <w:t xml:space="preserve"> v22</w:t>
      </w:r>
      <w:r w:rsidRPr="00BC37E8">
        <w:rPr>
          <w:rFonts w:ascii="Times New Roman" w:hAnsi="Times New Roman" w:cs="Times New Roman"/>
          <w:color w:val="0070C0"/>
        </w:rPr>
        <w:t xml:space="preserve"> institutional model.  </w:t>
      </w:r>
    </w:p>
    <w:p w14:paraId="777CC190" w14:textId="77777777" w:rsidR="008E28BE" w:rsidRPr="00BC37E8" w:rsidRDefault="008E28BE" w:rsidP="00DB3627">
      <w:pPr>
        <w:autoSpaceDE w:val="0"/>
        <w:autoSpaceDN w:val="0"/>
        <w:adjustRightInd w:val="0"/>
        <w:spacing w:after="0" w:line="240" w:lineRule="auto"/>
        <w:rPr>
          <w:rFonts w:ascii="Times New Roman" w:hAnsi="Times New Roman" w:cs="Times New Roman"/>
          <w:color w:val="0070C0"/>
        </w:rPr>
      </w:pPr>
    </w:p>
    <w:p w14:paraId="0CABCFAF" w14:textId="37BEAE0B" w:rsidR="009E1846" w:rsidRPr="00BC37E8" w:rsidRDefault="008E28BE" w:rsidP="00DB3627">
      <w:pPr>
        <w:autoSpaceDE w:val="0"/>
        <w:autoSpaceDN w:val="0"/>
        <w:adjustRightInd w:val="0"/>
        <w:spacing w:after="0" w:line="240" w:lineRule="auto"/>
        <w:rPr>
          <w:rFonts w:ascii="Times New Roman" w:hAnsi="Times New Roman" w:cs="Times New Roman"/>
          <w:color w:val="0070C0"/>
        </w:rPr>
      </w:pPr>
      <w:r w:rsidRPr="00BC37E8">
        <w:rPr>
          <w:rFonts w:ascii="Times New Roman" w:hAnsi="Times New Roman" w:cs="Times New Roman"/>
          <w:color w:val="0070C0"/>
        </w:rPr>
        <w:t>For measure testing, data from the American Census, American Community Survey (ACS), and CME are used in analyses evaluating patient cohort</w:t>
      </w:r>
      <w:r w:rsidR="0065164F" w:rsidRPr="00BC37E8">
        <w:rPr>
          <w:rFonts w:ascii="Times New Roman" w:hAnsi="Times New Roman" w:cs="Times New Roman"/>
          <w:color w:val="0070C0"/>
        </w:rPr>
        <w:t xml:space="preserve"> and social risk factors in risk adjustment</w:t>
      </w:r>
      <w:r w:rsidRPr="00BC37E8">
        <w:rPr>
          <w:rFonts w:ascii="Times New Roman" w:hAnsi="Times New Roman" w:cs="Times New Roman"/>
          <w:color w:val="0070C0"/>
        </w:rPr>
        <w:t>.</w:t>
      </w:r>
    </w:p>
    <w:p w14:paraId="13845794" w14:textId="77777777" w:rsidR="008E28BE" w:rsidRDefault="008E28BE" w:rsidP="00DB3627">
      <w:pPr>
        <w:autoSpaceDE w:val="0"/>
        <w:autoSpaceDN w:val="0"/>
        <w:adjustRightInd w:val="0"/>
        <w:spacing w:after="0" w:line="240" w:lineRule="auto"/>
        <w:rPr>
          <w:rFonts w:cstheme="minorHAnsi"/>
          <w:b/>
        </w:rPr>
      </w:pPr>
    </w:p>
    <w:p w14:paraId="0CABCFB0" w14:textId="7214DDD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Times New Roman" w:hAnsi="Times New Roman" w:cs="Times New Roman"/>
            <w:color w:val="0070C0"/>
          </w:rPr>
          <w:id w:val="950514773"/>
          <w:text/>
        </w:sdtPr>
        <w:sdtEndPr/>
        <w:sdtContent>
          <w:r w:rsidR="00FC361F" w:rsidRPr="008F31A6">
            <w:rPr>
              <w:rFonts w:ascii="Times New Roman" w:hAnsi="Times New Roman" w:cs="Times New Roman"/>
              <w:color w:val="0070C0"/>
            </w:rPr>
            <w:t>The measurement period for the TPCC testing is January 1, 2018 through December 31st, 2018. The split-sample intraclass correlation also includes data from the 2017 fiscal year.</w:t>
          </w:r>
          <w:r w:rsidR="001A7B5B" w:rsidRPr="008F31A6">
            <w:rPr>
              <w:rFonts w:ascii="Times New Roman" w:hAnsi="Times New Roman" w:cs="Times New Roman"/>
              <w:color w:val="0070C0"/>
            </w:rPr>
            <w:t xml:space="preserve"> Attribution validity in Section 2b1.3 also uses the 2017 fiscal year. </w:t>
          </w:r>
          <w:r w:rsidR="00FC361F" w:rsidRPr="008F31A6">
            <w:rPr>
              <w:rFonts w:ascii="Times New Roman" w:hAnsi="Times New Roman" w:cs="Times New Roman"/>
              <w:color w:val="0070C0"/>
            </w:rPr>
            <w:t>For further details, please see Question 1.7.</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AAAD354" w:rsidR="000414E8" w:rsidRPr="00A01494" w:rsidRDefault="00564625"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4257AA6D" w:rsidR="000414E8" w:rsidRPr="00A01494" w:rsidRDefault="00564625"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55DEA438" w:rsidR="000414E8" w:rsidRPr="00A01494" w:rsidRDefault="00564625"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BF1AAEC" w:rsidR="000414E8" w:rsidRPr="00A01494" w:rsidRDefault="00564625"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1040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564625"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564625"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56462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56462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56462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56462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937E84E" w14:textId="24B918D9" w:rsidR="00794FD6" w:rsidRPr="00BC37E8" w:rsidRDefault="00C0789D" w:rsidP="00794FD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74</w:t>
      </w:r>
      <w:r w:rsidR="004A71C6" w:rsidRPr="00BC37E8">
        <w:rPr>
          <w:rFonts w:ascii="Times New Roman" w:hAnsi="Times New Roman" w:cs="Times New Roman"/>
          <w:bCs/>
          <w:color w:val="0070C0"/>
        </w:rPr>
        <w:t>,</w:t>
      </w:r>
      <w:r w:rsidRPr="00BC37E8">
        <w:rPr>
          <w:rFonts w:ascii="Times New Roman" w:hAnsi="Times New Roman" w:cs="Times New Roman"/>
          <w:bCs/>
          <w:color w:val="0070C0"/>
        </w:rPr>
        <w:t>191</w:t>
      </w:r>
      <w:r w:rsidR="004A71C6" w:rsidRPr="00BC37E8">
        <w:rPr>
          <w:rFonts w:ascii="Times New Roman" w:hAnsi="Times New Roman" w:cs="Times New Roman"/>
          <w:bCs/>
          <w:color w:val="0070C0"/>
        </w:rPr>
        <w:t xml:space="preserve"> clinician group practices</w:t>
      </w:r>
      <w:r w:rsidR="008B099E">
        <w:rPr>
          <w:rFonts w:ascii="Times New Roman" w:hAnsi="Times New Roman" w:cs="Times New Roman"/>
          <w:bCs/>
          <w:color w:val="0070C0"/>
        </w:rPr>
        <w:t xml:space="preserve"> (identified by Tax Identification Number [TIN])</w:t>
      </w:r>
      <w:r w:rsidR="004A71C6" w:rsidRPr="00BC37E8">
        <w:rPr>
          <w:rFonts w:ascii="Times New Roman" w:hAnsi="Times New Roman" w:cs="Times New Roman"/>
          <w:bCs/>
          <w:color w:val="0070C0"/>
        </w:rPr>
        <w:t xml:space="preserve"> and 3</w:t>
      </w:r>
      <w:r w:rsidRPr="00BC37E8">
        <w:rPr>
          <w:rFonts w:ascii="Times New Roman" w:hAnsi="Times New Roman" w:cs="Times New Roman"/>
          <w:bCs/>
          <w:color w:val="0070C0"/>
        </w:rPr>
        <w:t>35</w:t>
      </w:r>
      <w:r w:rsidR="004A71C6" w:rsidRPr="00BC37E8">
        <w:rPr>
          <w:rFonts w:ascii="Times New Roman" w:hAnsi="Times New Roman" w:cs="Times New Roman"/>
          <w:bCs/>
          <w:color w:val="0070C0"/>
        </w:rPr>
        <w:t>,</w:t>
      </w:r>
      <w:r w:rsidRPr="00BC37E8">
        <w:rPr>
          <w:rFonts w:ascii="Times New Roman" w:hAnsi="Times New Roman" w:cs="Times New Roman"/>
          <w:bCs/>
          <w:color w:val="0070C0"/>
        </w:rPr>
        <w:t>480</w:t>
      </w:r>
      <w:r w:rsidR="004A71C6" w:rsidRPr="00BC37E8">
        <w:rPr>
          <w:rFonts w:ascii="Times New Roman" w:hAnsi="Times New Roman" w:cs="Times New Roman"/>
          <w:bCs/>
          <w:color w:val="0070C0"/>
        </w:rPr>
        <w:t xml:space="preserve"> practitioners </w:t>
      </w:r>
      <w:r w:rsidR="008B099E">
        <w:rPr>
          <w:rFonts w:ascii="Times New Roman" w:hAnsi="Times New Roman" w:cs="Times New Roman"/>
          <w:bCs/>
          <w:color w:val="0070C0"/>
        </w:rPr>
        <w:t xml:space="preserve">(identified by combination of TIN and National Provider Identification [NPI]) </w:t>
      </w:r>
      <w:r w:rsidR="004A71C6" w:rsidRPr="00BC37E8">
        <w:rPr>
          <w:rFonts w:ascii="Times New Roman" w:hAnsi="Times New Roman" w:cs="Times New Roman"/>
          <w:bCs/>
          <w:color w:val="0070C0"/>
        </w:rPr>
        <w:t>were included in the analyses. Clinicians and clinician groups were included in testing if they were attributed 20 or more TPCC beneficiaries during the measurement period of calendar year 2018. Beneficiaries from all 50 States and D.C. receiving evaluation and management care indicative of primary care were included, with their respective costs evaluated from all claim settings.</w:t>
      </w:r>
      <w:r w:rsidR="00794FD6" w:rsidRPr="00BC37E8">
        <w:rPr>
          <w:rFonts w:ascii="Times New Roman" w:hAnsi="Times New Roman" w:cs="Times New Roman"/>
          <w:bCs/>
          <w:color w:val="0070C0"/>
        </w:rPr>
        <w:t xml:space="preserve"> </w:t>
      </w:r>
    </w:p>
    <w:p w14:paraId="0CABCFC8" w14:textId="77777777" w:rsidR="002B5016" w:rsidRPr="007B0444" w:rsidRDefault="002B5016" w:rsidP="00DB3627">
      <w:pPr>
        <w:autoSpaceDE w:val="0"/>
        <w:autoSpaceDN w:val="0"/>
        <w:adjustRightInd w:val="0"/>
        <w:spacing w:after="0" w:line="240" w:lineRule="auto"/>
        <w:rPr>
          <w:rFonts w:cstheme="minorHAnsi"/>
          <w:bCs/>
        </w:rPr>
      </w:pPr>
    </w:p>
    <w:p w14:paraId="097D7D4C" w14:textId="77777777" w:rsidR="003C320A" w:rsidRPr="007B0444" w:rsidRDefault="002B5016" w:rsidP="00DB3627">
      <w:pPr>
        <w:autoSpaceDE w:val="0"/>
        <w:autoSpaceDN w:val="0"/>
        <w:adjustRightInd w:val="0"/>
        <w:spacing w:after="0" w:line="240" w:lineRule="auto"/>
        <w:rPr>
          <w:rFonts w:cstheme="minorHAnsi"/>
          <w:bCs/>
        </w:rPr>
      </w:pPr>
      <w:r w:rsidRPr="007B0444">
        <w:rPr>
          <w:rFonts w:cstheme="minorHAnsi"/>
          <w:b/>
          <w:bCs/>
        </w:rPr>
        <w:t>1.</w:t>
      </w:r>
      <w:r w:rsidR="00E310B9" w:rsidRPr="007B0444">
        <w:rPr>
          <w:rFonts w:cstheme="minorHAnsi"/>
          <w:b/>
          <w:bCs/>
        </w:rPr>
        <w:t xml:space="preserve">6. </w:t>
      </w:r>
      <w:r w:rsidR="007422FD" w:rsidRPr="007B0444">
        <w:rPr>
          <w:rFonts w:cstheme="minorHAnsi"/>
          <w:b/>
          <w:bCs/>
        </w:rPr>
        <w:t xml:space="preserve">How many and which </w:t>
      </w:r>
      <w:r w:rsidR="007422FD" w:rsidRPr="007B0444">
        <w:rPr>
          <w:rFonts w:cstheme="minorHAnsi"/>
          <w:b/>
          <w:bCs/>
          <w:u w:val="single"/>
        </w:rPr>
        <w:t>patients</w:t>
      </w:r>
      <w:r w:rsidR="007422FD" w:rsidRPr="007B0444">
        <w:rPr>
          <w:rFonts w:cstheme="minorHAnsi"/>
          <w:b/>
          <w:bCs/>
        </w:rPr>
        <w:t xml:space="preserve"> were included in the testing and analysis</w:t>
      </w:r>
      <w:r w:rsidR="00AA65A6" w:rsidRPr="007B0444">
        <w:rPr>
          <w:rFonts w:cstheme="minorHAnsi"/>
          <w:b/>
          <w:bCs/>
        </w:rPr>
        <w:t xml:space="preserve"> </w:t>
      </w:r>
      <w:r w:rsidR="00616EB5" w:rsidRPr="007B0444">
        <w:rPr>
          <w:rFonts w:cstheme="minorHAnsi"/>
          <w:b/>
          <w:bCs/>
        </w:rPr>
        <w:t>(</w:t>
      </w:r>
      <w:r w:rsidR="00AA65A6" w:rsidRPr="007B0444">
        <w:rPr>
          <w:rFonts w:cstheme="minorHAnsi"/>
          <w:b/>
          <w:bCs/>
        </w:rPr>
        <w:t>by level of analysis and data source</w:t>
      </w:r>
      <w:r w:rsidR="00616EB5" w:rsidRPr="007B0444">
        <w:rPr>
          <w:rFonts w:cstheme="minorHAnsi"/>
          <w:b/>
          <w:bCs/>
        </w:rPr>
        <w:t>)</w:t>
      </w:r>
      <w:r w:rsidR="007422FD" w:rsidRPr="007B0444">
        <w:rPr>
          <w:rFonts w:cstheme="minorHAnsi"/>
          <w:bCs/>
        </w:rPr>
        <w:t>? (</w:t>
      </w:r>
      <w:r w:rsidR="007422FD" w:rsidRPr="007B0444">
        <w:rPr>
          <w:rFonts w:cstheme="minorHAnsi"/>
          <w:bCs/>
          <w:i/>
        </w:rPr>
        <w:t xml:space="preserve">identify </w:t>
      </w:r>
      <w:r w:rsidR="00F435AA" w:rsidRPr="007B0444">
        <w:rPr>
          <w:rFonts w:cstheme="minorHAnsi"/>
          <w:bCs/>
          <w:i/>
        </w:rPr>
        <w:t>the number</w:t>
      </w:r>
      <w:r w:rsidR="007422FD" w:rsidRPr="007B0444">
        <w:rPr>
          <w:rFonts w:cstheme="minorHAnsi"/>
          <w:bCs/>
          <w:i/>
        </w:rPr>
        <w:t xml:space="preserve"> and </w:t>
      </w:r>
      <w:r w:rsidR="005A7634" w:rsidRPr="007B0444">
        <w:rPr>
          <w:rFonts w:cstheme="minorHAnsi"/>
          <w:bCs/>
          <w:i/>
        </w:rPr>
        <w:t xml:space="preserve">descriptive </w:t>
      </w:r>
      <w:r w:rsidR="007422FD" w:rsidRPr="007B0444">
        <w:rPr>
          <w:rFonts w:cstheme="minorHAnsi"/>
          <w:bCs/>
          <w:i/>
        </w:rPr>
        <w:t>characteristics of patients</w:t>
      </w:r>
      <w:r w:rsidR="00DA7277" w:rsidRPr="007B0444">
        <w:rPr>
          <w:rFonts w:cstheme="minorHAnsi"/>
          <w:bCs/>
          <w:i/>
        </w:rPr>
        <w:t xml:space="preserve"> </w:t>
      </w:r>
      <w:r w:rsidR="007422FD" w:rsidRPr="007B0444">
        <w:rPr>
          <w:rFonts w:cstheme="minorHAnsi"/>
          <w:bCs/>
          <w:i/>
        </w:rPr>
        <w:t>included in the analysis</w:t>
      </w:r>
      <w:r w:rsidR="00DA7277" w:rsidRPr="007B0444">
        <w:rPr>
          <w:rFonts w:cstheme="minorHAnsi"/>
          <w:bCs/>
          <w:i/>
        </w:rPr>
        <w:t xml:space="preserve"> (e.g., age, sex, race, diagnosis)</w:t>
      </w:r>
      <w:r w:rsidR="007422FD" w:rsidRPr="007B0444">
        <w:rPr>
          <w:rFonts w:cstheme="minorHAnsi"/>
          <w:bCs/>
          <w:i/>
        </w:rPr>
        <w:t>; if a sample</w:t>
      </w:r>
      <w:r w:rsidR="00E310B9" w:rsidRPr="007B0444">
        <w:rPr>
          <w:rFonts w:cstheme="minorHAnsi"/>
          <w:bCs/>
          <w:i/>
        </w:rPr>
        <w:t xml:space="preserve"> was used</w:t>
      </w:r>
      <w:r w:rsidR="007422FD" w:rsidRPr="007B0444">
        <w:rPr>
          <w:rFonts w:cstheme="minorHAnsi"/>
          <w:bCs/>
          <w:i/>
        </w:rPr>
        <w:t xml:space="preserve">, describe how </w:t>
      </w:r>
      <w:r w:rsidR="005A7634" w:rsidRPr="007B0444">
        <w:rPr>
          <w:rFonts w:cstheme="minorHAnsi"/>
          <w:bCs/>
          <w:i/>
        </w:rPr>
        <w:t xml:space="preserve">patients were </w:t>
      </w:r>
      <w:r w:rsidR="007422FD" w:rsidRPr="007B0444">
        <w:rPr>
          <w:rFonts w:cstheme="minorHAnsi"/>
          <w:bCs/>
          <w:i/>
        </w:rPr>
        <w:t>selected</w:t>
      </w:r>
      <w:r w:rsidR="005A7634" w:rsidRPr="007B0444">
        <w:rPr>
          <w:rFonts w:cstheme="minorHAnsi"/>
          <w:bCs/>
          <w:i/>
        </w:rPr>
        <w:t xml:space="preserve"> for inclusion in the sample</w:t>
      </w:r>
      <w:r w:rsidR="007422FD" w:rsidRPr="007B0444">
        <w:rPr>
          <w:rFonts w:cstheme="minorHAnsi"/>
          <w:bCs/>
        </w:rPr>
        <w:t xml:space="preserve">) </w:t>
      </w:r>
    </w:p>
    <w:p w14:paraId="724F4861" w14:textId="3CB07950" w:rsidR="004A71C6" w:rsidRPr="00BC37E8" w:rsidRDefault="004A71C6" w:rsidP="004A71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26,6</w:t>
      </w:r>
      <w:r w:rsidR="00BF43D1" w:rsidRPr="00BC37E8">
        <w:rPr>
          <w:rFonts w:ascii="Times New Roman" w:hAnsi="Times New Roman" w:cs="Times New Roman"/>
          <w:bCs/>
          <w:color w:val="0070C0"/>
        </w:rPr>
        <w:t>36</w:t>
      </w:r>
      <w:r w:rsidRPr="00BC37E8">
        <w:rPr>
          <w:rFonts w:ascii="Times New Roman" w:hAnsi="Times New Roman" w:cs="Times New Roman"/>
          <w:bCs/>
          <w:color w:val="0070C0"/>
        </w:rPr>
        <w:t>,</w:t>
      </w:r>
      <w:r w:rsidR="00BF43D1" w:rsidRPr="00BC37E8">
        <w:rPr>
          <w:rFonts w:ascii="Times New Roman" w:hAnsi="Times New Roman" w:cs="Times New Roman"/>
          <w:bCs/>
          <w:color w:val="0070C0"/>
        </w:rPr>
        <w:t>602</w:t>
      </w:r>
      <w:r w:rsidRPr="00BC37E8">
        <w:rPr>
          <w:rFonts w:ascii="Times New Roman" w:hAnsi="Times New Roman" w:cs="Times New Roman"/>
          <w:bCs/>
          <w:color w:val="0070C0"/>
        </w:rPr>
        <w:t xml:space="preserve"> Medicare beneficiaries (with 30</w:t>
      </w:r>
      <w:r w:rsidR="004609D1" w:rsidRPr="00BC37E8">
        <w:rPr>
          <w:rFonts w:ascii="Times New Roman" w:hAnsi="Times New Roman" w:cs="Times New Roman"/>
          <w:bCs/>
          <w:color w:val="0070C0"/>
        </w:rPr>
        <w:t>5</w:t>
      </w:r>
      <w:r w:rsidRPr="00BC37E8">
        <w:rPr>
          <w:rFonts w:ascii="Times New Roman" w:hAnsi="Times New Roman" w:cs="Times New Roman"/>
          <w:bCs/>
          <w:color w:val="0070C0"/>
        </w:rPr>
        <w:t>,</w:t>
      </w:r>
      <w:r w:rsidR="004609D1" w:rsidRPr="00BC37E8">
        <w:rPr>
          <w:rFonts w:ascii="Times New Roman" w:hAnsi="Times New Roman" w:cs="Times New Roman"/>
          <w:bCs/>
          <w:color w:val="0070C0"/>
        </w:rPr>
        <w:t>918,850</w:t>
      </w:r>
      <w:r w:rsidRPr="00BC37E8">
        <w:rPr>
          <w:rFonts w:ascii="Times New Roman" w:hAnsi="Times New Roman" w:cs="Times New Roman"/>
          <w:bCs/>
          <w:color w:val="0070C0"/>
        </w:rPr>
        <w:t xml:space="preserve"> beneficiary months) were included in TIN level testing and analysis, and </w:t>
      </w:r>
      <w:r w:rsidR="004609D1" w:rsidRPr="00BC37E8">
        <w:rPr>
          <w:rFonts w:ascii="Times New Roman" w:hAnsi="Times New Roman" w:cs="Times New Roman"/>
          <w:bCs/>
          <w:color w:val="0070C0"/>
        </w:rPr>
        <w:t>26,374</w:t>
      </w:r>
      <w:r w:rsidRPr="00BC37E8">
        <w:rPr>
          <w:rFonts w:ascii="Times New Roman" w:hAnsi="Times New Roman" w:cs="Times New Roman"/>
          <w:bCs/>
          <w:color w:val="0070C0"/>
        </w:rPr>
        <w:t>,</w:t>
      </w:r>
      <w:r w:rsidR="004609D1" w:rsidRPr="00BC37E8">
        <w:rPr>
          <w:rFonts w:ascii="Times New Roman" w:hAnsi="Times New Roman" w:cs="Times New Roman"/>
          <w:bCs/>
          <w:color w:val="0070C0"/>
        </w:rPr>
        <w:t>993</w:t>
      </w:r>
      <w:r w:rsidRPr="00BC37E8">
        <w:rPr>
          <w:rFonts w:ascii="Times New Roman" w:hAnsi="Times New Roman" w:cs="Times New Roman"/>
          <w:bCs/>
          <w:color w:val="0070C0"/>
        </w:rPr>
        <w:t xml:space="preserve"> beneficiaries (with 29</w:t>
      </w:r>
      <w:r w:rsidR="004609D1" w:rsidRPr="00BC37E8">
        <w:rPr>
          <w:rFonts w:ascii="Times New Roman" w:hAnsi="Times New Roman" w:cs="Times New Roman"/>
          <w:bCs/>
          <w:color w:val="0070C0"/>
        </w:rPr>
        <w:t>7</w:t>
      </w:r>
      <w:r w:rsidRPr="00BC37E8">
        <w:rPr>
          <w:rFonts w:ascii="Times New Roman" w:hAnsi="Times New Roman" w:cs="Times New Roman"/>
          <w:bCs/>
          <w:color w:val="0070C0"/>
        </w:rPr>
        <w:t>,</w:t>
      </w:r>
      <w:r w:rsidR="004609D1" w:rsidRPr="00BC37E8">
        <w:rPr>
          <w:rFonts w:ascii="Times New Roman" w:hAnsi="Times New Roman" w:cs="Times New Roman"/>
          <w:bCs/>
          <w:color w:val="0070C0"/>
        </w:rPr>
        <w:t>584</w:t>
      </w:r>
      <w:r w:rsidRPr="00BC37E8">
        <w:rPr>
          <w:rFonts w:ascii="Times New Roman" w:hAnsi="Times New Roman" w:cs="Times New Roman"/>
          <w:bCs/>
          <w:color w:val="0070C0"/>
        </w:rPr>
        <w:t>,</w:t>
      </w:r>
      <w:r w:rsidR="004609D1" w:rsidRPr="00BC37E8">
        <w:rPr>
          <w:rFonts w:ascii="Times New Roman" w:hAnsi="Times New Roman" w:cs="Times New Roman"/>
          <w:bCs/>
          <w:color w:val="0070C0"/>
        </w:rPr>
        <w:t>563</w:t>
      </w:r>
      <w:r w:rsidRPr="00BC37E8">
        <w:rPr>
          <w:rFonts w:ascii="Times New Roman" w:hAnsi="Times New Roman" w:cs="Times New Roman"/>
          <w:bCs/>
          <w:color w:val="0070C0"/>
        </w:rPr>
        <w:t xml:space="preserve"> beneficiary months) included in TIN-NPI level measure testing.  </w:t>
      </w:r>
    </w:p>
    <w:p w14:paraId="4D5D1DBA" w14:textId="77777777" w:rsidR="004A71C6" w:rsidRPr="00BC37E8" w:rsidRDefault="004A71C6" w:rsidP="004A71C6">
      <w:pPr>
        <w:autoSpaceDE w:val="0"/>
        <w:autoSpaceDN w:val="0"/>
        <w:adjustRightInd w:val="0"/>
        <w:spacing w:after="0" w:line="240" w:lineRule="auto"/>
        <w:rPr>
          <w:rFonts w:ascii="Times New Roman" w:hAnsi="Times New Roman" w:cs="Times New Roman"/>
          <w:bCs/>
          <w:color w:val="0070C0"/>
        </w:rPr>
      </w:pPr>
    </w:p>
    <w:p w14:paraId="19AEA8DA" w14:textId="4E3D29E6" w:rsidR="004A71C6" w:rsidRPr="00BC37E8" w:rsidRDefault="004A71C6" w:rsidP="004A71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The beneficiary population eligible for the TPCC attribution consists of Medicare beneficiaries enrolled in Medicare Parts A and B (but not Part C) receiving evaluation and management services that indicate a primary care relationship. Beneficiaries were included in the sample if they met a set of inclusion criteria meant to ensure completeness of data.  The inclusion criteria are:</w:t>
      </w:r>
    </w:p>
    <w:p w14:paraId="5FF87BB8" w14:textId="77777777" w:rsidR="004A71C6" w:rsidRPr="00BC37E8" w:rsidRDefault="004A71C6" w:rsidP="004A71C6">
      <w:pPr>
        <w:pStyle w:val="ListParagraph"/>
        <w:numPr>
          <w:ilvl w:val="0"/>
          <w:numId w:val="39"/>
        </w:num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The beneficiary has Medicare as their primary payer for the entire measurement period.</w:t>
      </w:r>
    </w:p>
    <w:p w14:paraId="28D2C4B6" w14:textId="77777777" w:rsidR="004A71C6" w:rsidRPr="00BC37E8" w:rsidRDefault="004A71C6" w:rsidP="004A71C6">
      <w:pPr>
        <w:pStyle w:val="ListParagraph"/>
        <w:numPr>
          <w:ilvl w:val="0"/>
          <w:numId w:val="39"/>
        </w:num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The beneficiary was continuously enrolled in Medicare Parts A and B and any instance of partial enrollment was the result of either new enrollment or death only. </w:t>
      </w:r>
    </w:p>
    <w:p w14:paraId="1B8C133C" w14:textId="77777777" w:rsidR="004A71C6" w:rsidRPr="00BC37E8" w:rsidRDefault="004A71C6" w:rsidP="004A71C6">
      <w:pPr>
        <w:pStyle w:val="ListParagraph"/>
        <w:numPr>
          <w:ilvl w:val="0"/>
          <w:numId w:val="39"/>
        </w:num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The beneficiary date of birth is not missing.</w:t>
      </w:r>
    </w:p>
    <w:p w14:paraId="09010A54" w14:textId="77777777" w:rsidR="004A71C6" w:rsidRPr="00BC37E8" w:rsidRDefault="004A71C6" w:rsidP="004A71C6">
      <w:pPr>
        <w:pStyle w:val="ListParagraph"/>
        <w:numPr>
          <w:ilvl w:val="0"/>
          <w:numId w:val="39"/>
        </w:num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The beneficiary did not reside outside the United States or its territories during any month of the measurement period </w:t>
      </w:r>
    </w:p>
    <w:p w14:paraId="5346DFC2" w14:textId="77777777" w:rsidR="004A71C6" w:rsidRPr="00BC37E8" w:rsidRDefault="004A71C6" w:rsidP="004A71C6">
      <w:pPr>
        <w:pStyle w:val="ListParagraph"/>
        <w:numPr>
          <w:ilvl w:val="0"/>
          <w:numId w:val="39"/>
        </w:num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The beneficiary is not covered by the Railroad Retirement Board </w:t>
      </w:r>
    </w:p>
    <w:p w14:paraId="60FDD16B" w14:textId="77777777" w:rsidR="004A71C6" w:rsidRPr="00BC37E8" w:rsidRDefault="004A71C6" w:rsidP="004A71C6">
      <w:pPr>
        <w:autoSpaceDE w:val="0"/>
        <w:autoSpaceDN w:val="0"/>
        <w:adjustRightInd w:val="0"/>
        <w:spacing w:after="0" w:line="240" w:lineRule="auto"/>
        <w:rPr>
          <w:rFonts w:ascii="Times New Roman" w:hAnsi="Times New Roman" w:cs="Times New Roman"/>
          <w:bCs/>
          <w:color w:val="0070C0"/>
        </w:rPr>
      </w:pPr>
    </w:p>
    <w:p w14:paraId="19F3D7B1" w14:textId="77777777" w:rsidR="00C876BD" w:rsidRPr="00BC37E8" w:rsidRDefault="004A71C6" w:rsidP="004A71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To determine whether the TPCC measure’s inclusion criteria distort patient characteristics, we produced and analyzed distributions of patient characteristics (age, race, sex, dual eligibility status, income, unemployment, hierarchical condition categories [HCCs]) for (i) attribution events with inclusion criteria, (ii) attribution events without inclusion criteria, (iii) beneficiaries with inclusion criteria, and (iv) beneficiaries without inclusion criteria.  </w:t>
      </w:r>
    </w:p>
    <w:p w14:paraId="2967700E" w14:textId="77777777" w:rsidR="00C876BD" w:rsidRPr="00BC37E8" w:rsidRDefault="00C876BD" w:rsidP="004A71C6">
      <w:pPr>
        <w:autoSpaceDE w:val="0"/>
        <w:autoSpaceDN w:val="0"/>
        <w:adjustRightInd w:val="0"/>
        <w:spacing w:after="0" w:line="240" w:lineRule="auto"/>
        <w:rPr>
          <w:rFonts w:ascii="Times New Roman" w:hAnsi="Times New Roman" w:cs="Times New Roman"/>
          <w:bCs/>
          <w:color w:val="0070C0"/>
        </w:rPr>
      </w:pPr>
    </w:p>
    <w:p w14:paraId="0CABCFC9" w14:textId="38B6C196" w:rsidR="007422FD" w:rsidRPr="00BC37E8" w:rsidRDefault="004A71C6" w:rsidP="004A71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This analysis shows that the TPCC measure’s inclusion criteria have only a minimal effect on the percentage of total beneficiaries of any particular demographic at the TIN level</w:t>
      </w:r>
      <w:r w:rsidR="00C876BD" w:rsidRPr="00BC37E8">
        <w:rPr>
          <w:rFonts w:ascii="Times New Roman" w:hAnsi="Times New Roman" w:cs="Times New Roman"/>
          <w:bCs/>
          <w:color w:val="0070C0"/>
        </w:rPr>
        <w:t xml:space="preserve"> (Appendix Table 1.6)</w:t>
      </w:r>
      <w:r w:rsidRPr="00BC37E8">
        <w:rPr>
          <w:rFonts w:ascii="Times New Roman" w:hAnsi="Times New Roman" w:cs="Times New Roman"/>
          <w:bCs/>
          <w:color w:val="0070C0"/>
        </w:rPr>
        <w:t xml:space="preserve">. </w:t>
      </w:r>
      <w:r w:rsidR="00C876BD" w:rsidRPr="00BC37E8">
        <w:rPr>
          <w:rFonts w:ascii="Times New Roman" w:hAnsi="Times New Roman" w:cs="Times New Roman"/>
          <w:bCs/>
          <w:color w:val="0070C0"/>
        </w:rPr>
        <w:t>The difference between the proportion of beneficiaries observed for each of the demographic before and after applying inclusion criteria is between -</w:t>
      </w:r>
      <w:r w:rsidR="00AF1A1E" w:rsidRPr="00BC37E8">
        <w:rPr>
          <w:rFonts w:ascii="Times New Roman" w:hAnsi="Times New Roman" w:cs="Times New Roman"/>
          <w:bCs/>
          <w:color w:val="0070C0"/>
        </w:rPr>
        <w:t>2.5</w:t>
      </w:r>
      <w:r w:rsidR="00C876BD" w:rsidRPr="00BC37E8">
        <w:rPr>
          <w:rFonts w:ascii="Times New Roman" w:hAnsi="Times New Roman" w:cs="Times New Roman"/>
          <w:bCs/>
          <w:color w:val="0070C0"/>
        </w:rPr>
        <w:t xml:space="preserve"> and </w:t>
      </w:r>
      <w:r w:rsidR="00AF1A1E" w:rsidRPr="00BC37E8">
        <w:rPr>
          <w:rFonts w:ascii="Times New Roman" w:hAnsi="Times New Roman" w:cs="Times New Roman"/>
          <w:bCs/>
          <w:color w:val="0070C0"/>
        </w:rPr>
        <w:t>2.3</w:t>
      </w:r>
      <w:r w:rsidR="00C876BD" w:rsidRPr="00BC37E8">
        <w:rPr>
          <w:rFonts w:ascii="Times New Roman" w:hAnsi="Times New Roman" w:cs="Times New Roman"/>
          <w:bCs/>
          <w:color w:val="0070C0"/>
        </w:rPr>
        <w:t xml:space="preserve"> percentage points. </w:t>
      </w:r>
      <w:r w:rsidRPr="00BC37E8">
        <w:rPr>
          <w:rFonts w:ascii="Times New Roman" w:hAnsi="Times New Roman" w:cs="Times New Roman"/>
          <w:bCs/>
          <w:color w:val="0070C0"/>
        </w:rPr>
        <w:t>To illustrate, the percentage of beneficiaries aged 65 to 69 without applying the inclusion criteria is 3</w:t>
      </w:r>
      <w:r w:rsidR="00C876BD" w:rsidRPr="00BC37E8">
        <w:rPr>
          <w:rFonts w:ascii="Times New Roman" w:hAnsi="Times New Roman" w:cs="Times New Roman"/>
          <w:bCs/>
          <w:color w:val="0070C0"/>
        </w:rPr>
        <w:t>0.8</w:t>
      </w:r>
      <w:r w:rsidRPr="00BC37E8">
        <w:rPr>
          <w:rFonts w:ascii="Times New Roman" w:hAnsi="Times New Roman" w:cs="Times New Roman"/>
          <w:bCs/>
          <w:color w:val="0070C0"/>
        </w:rPr>
        <w:t xml:space="preserve"> percent, compared to 3</w:t>
      </w:r>
      <w:r w:rsidR="00C876BD" w:rsidRPr="00BC37E8">
        <w:rPr>
          <w:rFonts w:ascii="Times New Roman" w:hAnsi="Times New Roman" w:cs="Times New Roman"/>
          <w:bCs/>
          <w:color w:val="0070C0"/>
        </w:rPr>
        <w:t>1.2</w:t>
      </w:r>
      <w:r w:rsidRPr="00BC37E8">
        <w:rPr>
          <w:rFonts w:ascii="Times New Roman" w:hAnsi="Times New Roman" w:cs="Times New Roman"/>
          <w:bCs/>
          <w:color w:val="0070C0"/>
        </w:rPr>
        <w:t xml:space="preserve"> percent with the inclusion criteria at TIN level testing. The </w:t>
      </w:r>
      <w:r w:rsidR="00187D22" w:rsidRPr="00BC37E8">
        <w:rPr>
          <w:rFonts w:ascii="Times New Roman" w:hAnsi="Times New Roman" w:cs="Times New Roman"/>
          <w:bCs/>
          <w:color w:val="0070C0"/>
        </w:rPr>
        <w:t xml:space="preserve">difference in the proportion </w:t>
      </w:r>
      <w:r w:rsidRPr="00BC37E8">
        <w:rPr>
          <w:rFonts w:ascii="Times New Roman" w:hAnsi="Times New Roman" w:cs="Times New Roman"/>
          <w:bCs/>
          <w:color w:val="0070C0"/>
        </w:rPr>
        <w:t xml:space="preserve">of male and </w:t>
      </w:r>
      <w:r w:rsidRPr="00BC37E8">
        <w:rPr>
          <w:rFonts w:ascii="Times New Roman" w:hAnsi="Times New Roman" w:cs="Times New Roman"/>
          <w:bCs/>
          <w:color w:val="0070C0"/>
        </w:rPr>
        <w:lastRenderedPageBreak/>
        <w:t xml:space="preserve">female beneficiaries </w:t>
      </w:r>
      <w:r w:rsidR="00341CF9" w:rsidRPr="00BC37E8">
        <w:rPr>
          <w:rFonts w:ascii="Times New Roman" w:hAnsi="Times New Roman" w:cs="Times New Roman"/>
          <w:bCs/>
          <w:color w:val="0070C0"/>
        </w:rPr>
        <w:t xml:space="preserve">is </w:t>
      </w:r>
      <w:r w:rsidR="00187D22" w:rsidRPr="00BC37E8">
        <w:rPr>
          <w:rFonts w:ascii="Times New Roman" w:hAnsi="Times New Roman" w:cs="Times New Roman"/>
          <w:bCs/>
          <w:color w:val="0070C0"/>
        </w:rPr>
        <w:t>less than</w:t>
      </w:r>
      <w:r w:rsidRPr="00BC37E8">
        <w:rPr>
          <w:rFonts w:ascii="Times New Roman" w:hAnsi="Times New Roman" w:cs="Times New Roman"/>
          <w:bCs/>
          <w:color w:val="0070C0"/>
        </w:rPr>
        <w:t xml:space="preserve"> 0.01 percentage point</w:t>
      </w:r>
      <w:r w:rsidR="00341CF9" w:rsidRPr="00BC37E8">
        <w:rPr>
          <w:rFonts w:ascii="Times New Roman" w:hAnsi="Times New Roman" w:cs="Times New Roman"/>
          <w:bCs/>
          <w:color w:val="0070C0"/>
        </w:rPr>
        <w:t>s</w:t>
      </w:r>
      <w:r w:rsidRPr="00BC37E8">
        <w:rPr>
          <w:rFonts w:ascii="Times New Roman" w:hAnsi="Times New Roman" w:cs="Times New Roman"/>
          <w:bCs/>
          <w:color w:val="0070C0"/>
        </w:rPr>
        <w:t xml:space="preserve"> when comparing the application of inclusion criteria. The percentage of beneficiaries identified as female </w:t>
      </w:r>
      <w:r w:rsidR="00341CF9" w:rsidRPr="00BC37E8">
        <w:rPr>
          <w:rFonts w:ascii="Times New Roman" w:hAnsi="Times New Roman" w:cs="Times New Roman"/>
          <w:bCs/>
          <w:color w:val="0070C0"/>
        </w:rPr>
        <w:t xml:space="preserve">is </w:t>
      </w:r>
      <w:r w:rsidRPr="00BC37E8">
        <w:rPr>
          <w:rFonts w:ascii="Times New Roman" w:hAnsi="Times New Roman" w:cs="Times New Roman"/>
          <w:bCs/>
          <w:color w:val="0070C0"/>
        </w:rPr>
        <w:t>56.</w:t>
      </w:r>
      <w:r w:rsidR="00341CF9" w:rsidRPr="00BC37E8">
        <w:rPr>
          <w:rFonts w:ascii="Times New Roman" w:hAnsi="Times New Roman" w:cs="Times New Roman"/>
          <w:bCs/>
          <w:color w:val="0070C0"/>
        </w:rPr>
        <w:t>2</w:t>
      </w:r>
      <w:r w:rsidRPr="00BC37E8">
        <w:rPr>
          <w:rFonts w:ascii="Times New Roman" w:hAnsi="Times New Roman" w:cs="Times New Roman"/>
          <w:bCs/>
          <w:color w:val="0070C0"/>
        </w:rPr>
        <w:t xml:space="preserve"> percent</w:t>
      </w:r>
      <w:r w:rsidR="00341CF9" w:rsidRPr="00BC37E8">
        <w:rPr>
          <w:rFonts w:ascii="Times New Roman" w:hAnsi="Times New Roman" w:cs="Times New Roman"/>
          <w:bCs/>
          <w:color w:val="0070C0"/>
        </w:rPr>
        <w:t xml:space="preserve"> with or without applying inclusion criteria</w:t>
      </w:r>
      <w:r w:rsidRPr="00BC37E8">
        <w:rPr>
          <w:rFonts w:ascii="Times New Roman" w:hAnsi="Times New Roman" w:cs="Times New Roman"/>
          <w:bCs/>
          <w:color w:val="0070C0"/>
        </w:rPr>
        <w:t xml:space="preserve">. </w:t>
      </w:r>
      <w:r w:rsidR="00C876BD" w:rsidRPr="00BC37E8">
        <w:rPr>
          <w:rFonts w:ascii="Times New Roman" w:hAnsi="Times New Roman" w:cs="Times New Roman"/>
          <w:bCs/>
          <w:color w:val="0070C0"/>
        </w:rPr>
        <w:t>These results indicate that there is minimal shift in patient characteristics after application of the inclusion criteria listed above.</w:t>
      </w:r>
    </w:p>
    <w:p w14:paraId="5EF0B40C" w14:textId="77777777" w:rsidR="004A71C6" w:rsidRPr="007B0444" w:rsidRDefault="004A71C6" w:rsidP="004A71C6">
      <w:pPr>
        <w:autoSpaceDE w:val="0"/>
        <w:autoSpaceDN w:val="0"/>
        <w:adjustRightInd w:val="0"/>
        <w:spacing w:after="0" w:line="240" w:lineRule="auto"/>
        <w:rPr>
          <w:rFonts w:cstheme="minorHAnsi"/>
          <w:bCs/>
          <w:color w:val="0070C0"/>
        </w:rPr>
      </w:pPr>
    </w:p>
    <w:p w14:paraId="0CABCFCA" w14:textId="77777777" w:rsidR="0021054A" w:rsidRPr="007B0444" w:rsidRDefault="002B5016" w:rsidP="00E37E1B">
      <w:pPr>
        <w:autoSpaceDE w:val="0"/>
        <w:autoSpaceDN w:val="0"/>
        <w:adjustRightInd w:val="0"/>
        <w:spacing w:after="0" w:line="240" w:lineRule="auto"/>
        <w:rPr>
          <w:rFonts w:cstheme="minorHAnsi"/>
          <w:bCs/>
        </w:rPr>
      </w:pPr>
      <w:r w:rsidRPr="007B0444">
        <w:rPr>
          <w:rFonts w:cstheme="minorHAnsi"/>
          <w:b/>
          <w:bCs/>
        </w:rPr>
        <w:t>1.</w:t>
      </w:r>
      <w:r w:rsidR="00E310B9" w:rsidRPr="007B0444">
        <w:rPr>
          <w:rFonts w:cstheme="minorHAnsi"/>
          <w:b/>
          <w:bCs/>
        </w:rPr>
        <w:t xml:space="preserve">7. </w:t>
      </w:r>
      <w:r w:rsidR="000574AB" w:rsidRPr="007B0444">
        <w:rPr>
          <w:rFonts w:cstheme="minorHAnsi"/>
          <w:b/>
          <w:bCs/>
        </w:rPr>
        <w:t>If there are differences in the data</w:t>
      </w:r>
      <w:r w:rsidR="009726E1" w:rsidRPr="007B0444">
        <w:rPr>
          <w:rFonts w:cstheme="minorHAnsi"/>
          <w:b/>
          <w:bCs/>
        </w:rPr>
        <w:t xml:space="preserve"> or sample</w:t>
      </w:r>
      <w:r w:rsidR="000574AB" w:rsidRPr="007B0444">
        <w:rPr>
          <w:rFonts w:cstheme="minorHAnsi"/>
          <w:b/>
          <w:bCs/>
        </w:rPr>
        <w:t xml:space="preserve"> used for different </w:t>
      </w:r>
      <w:r w:rsidR="000968F8" w:rsidRPr="007B0444">
        <w:rPr>
          <w:rFonts w:cstheme="minorHAnsi"/>
          <w:b/>
          <w:bCs/>
        </w:rPr>
        <w:t>aspects</w:t>
      </w:r>
      <w:r w:rsidR="000574AB" w:rsidRPr="007B0444">
        <w:rPr>
          <w:rFonts w:cstheme="minorHAnsi"/>
          <w:b/>
          <w:bCs/>
        </w:rPr>
        <w:t xml:space="preserve"> of testing (e.g., reliability, validi</w:t>
      </w:r>
      <w:r w:rsidR="007422FD" w:rsidRPr="007B0444">
        <w:rPr>
          <w:rFonts w:cstheme="minorHAnsi"/>
          <w:b/>
          <w:bCs/>
        </w:rPr>
        <w:t>ty, exclusions, risk adjustment</w:t>
      </w:r>
      <w:r w:rsidR="000574AB" w:rsidRPr="007B0444">
        <w:rPr>
          <w:rFonts w:cstheme="minorHAnsi"/>
          <w:b/>
          <w:bCs/>
        </w:rPr>
        <w:t xml:space="preserve">), identify </w:t>
      </w:r>
      <w:r w:rsidR="005A7634" w:rsidRPr="007B0444">
        <w:rPr>
          <w:rFonts w:cstheme="minorHAnsi"/>
          <w:b/>
          <w:bCs/>
        </w:rPr>
        <w:t xml:space="preserve">how the data or sample are different for </w:t>
      </w:r>
      <w:r w:rsidR="000574AB" w:rsidRPr="007B0444">
        <w:rPr>
          <w:rFonts w:cstheme="minorHAnsi"/>
          <w:b/>
          <w:bCs/>
        </w:rPr>
        <w:t xml:space="preserve">each </w:t>
      </w:r>
      <w:r w:rsidR="000968F8" w:rsidRPr="007B0444">
        <w:rPr>
          <w:rFonts w:cstheme="minorHAnsi"/>
          <w:b/>
          <w:bCs/>
        </w:rPr>
        <w:t>aspect</w:t>
      </w:r>
      <w:r w:rsidR="000574AB" w:rsidRPr="007B0444">
        <w:rPr>
          <w:rFonts w:cstheme="minorHAnsi"/>
          <w:b/>
          <w:bCs/>
        </w:rPr>
        <w:t xml:space="preserve"> of testing reported </w:t>
      </w:r>
      <w:r w:rsidR="00857EE8" w:rsidRPr="007B0444">
        <w:rPr>
          <w:rFonts w:cstheme="minorHAnsi"/>
          <w:b/>
          <w:bCs/>
        </w:rPr>
        <w:t>below</w:t>
      </w:r>
      <w:r w:rsidR="00E37E1B" w:rsidRPr="007B0444">
        <w:rPr>
          <w:rFonts w:cstheme="minorHAnsi"/>
          <w:bCs/>
        </w:rPr>
        <w:t>.</w:t>
      </w:r>
    </w:p>
    <w:p w14:paraId="4456EC84" w14:textId="47B66637" w:rsidR="005F5491" w:rsidRPr="00BC37E8" w:rsidRDefault="001A7B5B" w:rsidP="00E37E1B">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The calculation of a split-sample intraclass correlation to test reliability (Section 2a2) aggregates </w:t>
      </w:r>
      <w:r w:rsidR="00AF1A1E" w:rsidRPr="00BC37E8">
        <w:rPr>
          <w:rFonts w:ascii="Times New Roman" w:hAnsi="Times New Roman" w:cs="Times New Roman"/>
          <w:bCs/>
          <w:color w:val="0070C0"/>
        </w:rPr>
        <w:t xml:space="preserve">data from </w:t>
      </w:r>
      <w:r w:rsidRPr="00BC37E8">
        <w:rPr>
          <w:rFonts w:ascii="Times New Roman" w:hAnsi="Times New Roman" w:cs="Times New Roman"/>
          <w:bCs/>
          <w:color w:val="0070C0"/>
        </w:rPr>
        <w:t>calendar year</w:t>
      </w:r>
      <w:r w:rsidR="00D05D38">
        <w:rPr>
          <w:rFonts w:ascii="Times New Roman" w:hAnsi="Times New Roman" w:cs="Times New Roman"/>
          <w:bCs/>
          <w:color w:val="0070C0"/>
        </w:rPr>
        <w:t>s</w:t>
      </w:r>
      <w:r w:rsidRPr="00BC37E8">
        <w:rPr>
          <w:rFonts w:ascii="Times New Roman" w:hAnsi="Times New Roman" w:cs="Times New Roman"/>
          <w:bCs/>
          <w:color w:val="0070C0"/>
        </w:rPr>
        <w:t xml:space="preserve"> 2018 and fiscal year 2017. Attribution validation (Section 2b1.3, Tables 5 and 6) was conducted on fiscal year 2017 data. All other testing used the study period of January 1, 2018 to December 31, 2018.</w:t>
      </w:r>
    </w:p>
    <w:p w14:paraId="647BF515" w14:textId="77777777" w:rsidR="001A7B5B" w:rsidRPr="007B0444" w:rsidRDefault="001A7B5B" w:rsidP="00E37E1B">
      <w:pPr>
        <w:autoSpaceDE w:val="0"/>
        <w:autoSpaceDN w:val="0"/>
        <w:adjustRightInd w:val="0"/>
        <w:spacing w:after="0" w:line="240" w:lineRule="auto"/>
        <w:rPr>
          <w:rFonts w:cstheme="minorHAnsi"/>
          <w:bCs/>
          <w:color w:val="0070C0"/>
        </w:rPr>
      </w:pPr>
    </w:p>
    <w:p w14:paraId="0CABCFCC" w14:textId="701A846B" w:rsidR="0021054A" w:rsidRPr="007B0444" w:rsidRDefault="0021054A" w:rsidP="00E37E1B">
      <w:pPr>
        <w:autoSpaceDE w:val="0"/>
        <w:autoSpaceDN w:val="0"/>
        <w:adjustRightInd w:val="0"/>
        <w:spacing w:after="0" w:line="240" w:lineRule="auto"/>
        <w:rPr>
          <w:rFonts w:cstheme="minorHAnsi"/>
          <w:bCs/>
        </w:rPr>
      </w:pPr>
      <w:r w:rsidRPr="007B0444">
        <w:rPr>
          <w:rFonts w:cstheme="minorHAnsi"/>
          <w:b/>
          <w:bCs/>
        </w:rPr>
        <w:t>1.8</w:t>
      </w:r>
      <w:r w:rsidRPr="007B0444">
        <w:rPr>
          <w:rFonts w:cstheme="minorHAnsi"/>
          <w:bCs/>
        </w:rPr>
        <w:t xml:space="preserve"> </w:t>
      </w:r>
      <w:r w:rsidRPr="007B0444">
        <w:rPr>
          <w:rFonts w:cstheme="minorHAnsi"/>
          <w:b/>
          <w:bCs/>
        </w:rPr>
        <w:t xml:space="preserve">What were the </w:t>
      </w:r>
      <w:r w:rsidR="009C7513" w:rsidRPr="007B0444">
        <w:rPr>
          <w:rFonts w:cstheme="minorHAnsi"/>
          <w:b/>
          <w:bCs/>
        </w:rPr>
        <w:t>social risk factors</w:t>
      </w:r>
      <w:r w:rsidRPr="007B0444">
        <w:rPr>
          <w:rFonts w:cstheme="minorHAnsi"/>
          <w:b/>
          <w:bCs/>
        </w:rPr>
        <w:t xml:space="preserve"> that were available and analyzed</w:t>
      </w:r>
      <w:r w:rsidRPr="007B0444">
        <w:rPr>
          <w:rFonts w:cstheme="minorHAnsi"/>
          <w:bCs/>
        </w:rPr>
        <w:t xml:space="preserve">? For example, patient-reported data (e.g., income, education, language), proxy variables when </w:t>
      </w:r>
      <w:r w:rsidR="009C7513" w:rsidRPr="007B0444">
        <w:rPr>
          <w:rFonts w:cstheme="minorHAnsi"/>
          <w:bCs/>
        </w:rPr>
        <w:t>social risk</w:t>
      </w:r>
      <w:r w:rsidRPr="007B0444">
        <w:rPr>
          <w:rFonts w:cstheme="minorHAnsi"/>
          <w:bCs/>
        </w:rPr>
        <w:t xml:space="preserve"> data are not collected from each patient (e.g. census tract), or patient community characteristics (e.g. percent vacant housing, crime rate)</w:t>
      </w:r>
      <w:r w:rsidR="009C7513" w:rsidRPr="007B0444">
        <w:rPr>
          <w:rFonts w:cstheme="minorHAnsi"/>
          <w:bCs/>
        </w:rPr>
        <w:t xml:space="preserve"> which do not have to be a proxy for patient-level data</w:t>
      </w:r>
      <w:r w:rsidRPr="007B0444">
        <w:rPr>
          <w:rFonts w:cstheme="minorHAnsi"/>
          <w:bCs/>
        </w:rPr>
        <w:t xml:space="preserve">. </w:t>
      </w:r>
    </w:p>
    <w:p w14:paraId="269C5124" w14:textId="595054ED" w:rsidR="009E0DAE" w:rsidRPr="00BC37E8" w:rsidRDefault="009E0DAE" w:rsidP="001838A9">
      <w:pPr>
        <w:autoSpaceDE w:val="0"/>
        <w:autoSpaceDN w:val="0"/>
        <w:adjustRightInd w:val="0"/>
        <w:spacing w:after="0" w:line="240" w:lineRule="auto"/>
        <w:rPr>
          <w:rFonts w:ascii="Times New Roman" w:hAnsi="Times New Roman" w:cs="Times New Roman"/>
          <w:noProof/>
          <w:color w:val="0070C0"/>
        </w:rPr>
      </w:pPr>
      <w:r w:rsidRPr="00BC37E8">
        <w:rPr>
          <w:rFonts w:ascii="Times New Roman" w:hAnsi="Times New Roman" w:cs="Times New Roman"/>
          <w:noProof/>
          <w:color w:val="0070C0"/>
        </w:rPr>
        <w:t xml:space="preserve">The social risk factors analyzed were variables from the </w:t>
      </w:r>
      <w:r w:rsidR="00993002" w:rsidRPr="00BC37E8">
        <w:rPr>
          <w:rFonts w:ascii="Times New Roman" w:hAnsi="Times New Roman" w:cs="Times New Roman"/>
          <w:noProof/>
          <w:color w:val="0070C0"/>
        </w:rPr>
        <w:t xml:space="preserve">ACS, </w:t>
      </w:r>
      <w:r w:rsidRPr="00BC37E8">
        <w:rPr>
          <w:rFonts w:ascii="Times New Roman" w:hAnsi="Times New Roman" w:cs="Times New Roman"/>
          <w:noProof/>
          <w:color w:val="0070C0"/>
        </w:rPr>
        <w:t xml:space="preserve">EDB, and CME. Social risk variables </w:t>
      </w:r>
      <w:r w:rsidR="00993002" w:rsidRPr="00BC37E8">
        <w:rPr>
          <w:rFonts w:ascii="Times New Roman" w:hAnsi="Times New Roman" w:cs="Times New Roman"/>
          <w:noProof/>
          <w:color w:val="0070C0"/>
        </w:rPr>
        <w:t xml:space="preserve">analyzed from the EDB and CME </w:t>
      </w:r>
      <w:r w:rsidR="00341CF9" w:rsidRPr="00BC37E8">
        <w:rPr>
          <w:rFonts w:ascii="Times New Roman" w:hAnsi="Times New Roman" w:cs="Times New Roman"/>
          <w:noProof/>
          <w:color w:val="0070C0"/>
        </w:rPr>
        <w:t>were sex and dual status.</w:t>
      </w:r>
      <w:r w:rsidR="00993002" w:rsidRPr="00BC37E8">
        <w:rPr>
          <w:rFonts w:ascii="Times New Roman" w:hAnsi="Times New Roman" w:cs="Times New Roman"/>
          <w:noProof/>
          <w:color w:val="0070C0"/>
        </w:rPr>
        <w:t>The ACS was used to calculate the Agency of Healthcare Research and Quality (AHRQ) SES Index</w:t>
      </w:r>
      <w:r w:rsidR="00D05D38">
        <w:rPr>
          <w:rFonts w:ascii="Times New Roman" w:hAnsi="Times New Roman" w:cs="Times New Roman"/>
          <w:noProof/>
          <w:color w:val="0070C0"/>
        </w:rPr>
        <w:t>. The</w:t>
      </w:r>
      <w:r w:rsidR="00D05D38" w:rsidRPr="00D05D38">
        <w:rPr>
          <w:rFonts w:ascii="Times New Roman" w:hAnsi="Times New Roman" w:cs="Times New Roman"/>
          <w:noProof/>
          <w:color w:val="0070C0"/>
        </w:rPr>
        <w:t xml:space="preserve"> </w:t>
      </w:r>
      <w:r w:rsidR="00D05D38" w:rsidRPr="004C5C9D">
        <w:rPr>
          <w:rFonts w:ascii="Times New Roman" w:hAnsi="Times New Roman" w:cs="Times New Roman"/>
          <w:noProof/>
          <w:color w:val="0070C0"/>
        </w:rPr>
        <w:t xml:space="preserve">AHRQ index scores are calculated using the AHRQ scoring algorithm and is a continous dependent variable as a replacement of all </w:t>
      </w:r>
      <w:r w:rsidR="00D05D38">
        <w:rPr>
          <w:rFonts w:ascii="Times New Roman" w:hAnsi="Times New Roman" w:cs="Times New Roman"/>
          <w:noProof/>
          <w:color w:val="0070C0"/>
        </w:rPr>
        <w:t xml:space="preserve">of the followign </w:t>
      </w:r>
      <w:r w:rsidR="00D05D38" w:rsidRPr="004C5C9D">
        <w:rPr>
          <w:rFonts w:ascii="Times New Roman" w:hAnsi="Times New Roman" w:cs="Times New Roman"/>
          <w:noProof/>
          <w:color w:val="0070C0"/>
        </w:rPr>
        <w:t>SES variable</w:t>
      </w:r>
      <w:r w:rsidR="00D05D38">
        <w:rPr>
          <w:rFonts w:ascii="Times New Roman" w:hAnsi="Times New Roman" w:cs="Times New Roman"/>
          <w:noProof/>
          <w:color w:val="0070C0"/>
        </w:rPr>
        <w:t>s. The index includes percentage of households containing one or more person per room, median value of owner-occupied dwelling, percentage of persons below the federally defined poverty line, median household income, percentage of persons aged ≥ 25 years with at least 4 years of college, percentage of persons aged ≥ 25 years with less than a 12</w:t>
      </w:r>
      <w:r w:rsidR="00D05D38" w:rsidRPr="00445802">
        <w:rPr>
          <w:rFonts w:ascii="Times New Roman" w:hAnsi="Times New Roman" w:cs="Times New Roman"/>
          <w:noProof/>
          <w:color w:val="0070C0"/>
          <w:vertAlign w:val="superscript"/>
        </w:rPr>
        <w:t>th</w:t>
      </w:r>
      <w:r w:rsidR="00D05D38">
        <w:rPr>
          <w:rFonts w:ascii="Times New Roman" w:hAnsi="Times New Roman" w:cs="Times New Roman"/>
          <w:noProof/>
          <w:color w:val="0070C0"/>
        </w:rPr>
        <w:t xml:space="preserve"> grade education, and percentage of persons aged 16 or older in the labor force who are unemployed.</w:t>
      </w:r>
      <w:r w:rsidR="00D05D38" w:rsidRPr="004C5C9D">
        <w:rPr>
          <w:rStyle w:val="FootnoteReference"/>
          <w:rFonts w:ascii="Times New Roman" w:hAnsi="Times New Roman"/>
          <w:noProof/>
          <w:color w:val="0070C0"/>
        </w:rPr>
        <w:footnoteReference w:id="1"/>
      </w:r>
      <w:r w:rsidR="00D05D38" w:rsidRPr="00445802">
        <w:rPr>
          <w:rFonts w:ascii="Times New Roman" w:hAnsi="Times New Roman" w:cs="Times New Roman"/>
          <w:noProof/>
          <w:color w:val="0070C0"/>
          <w:vertAlign w:val="superscript"/>
        </w:rPr>
        <w:t>,</w:t>
      </w:r>
      <w:r w:rsidR="00D05D38">
        <w:rPr>
          <w:rStyle w:val="FootnoteReference"/>
          <w:rFonts w:ascii="Times New Roman" w:hAnsi="Times New Roman"/>
          <w:noProof/>
          <w:color w:val="0070C0"/>
        </w:rPr>
        <w:footnoteReference w:id="2"/>
      </w:r>
    </w:p>
    <w:p w14:paraId="0CABCFCD" w14:textId="1080AE9C" w:rsidR="004348CC" w:rsidRPr="007B0444" w:rsidRDefault="00483E94" w:rsidP="00E37E1B">
      <w:pPr>
        <w:autoSpaceDE w:val="0"/>
        <w:autoSpaceDN w:val="0"/>
        <w:adjustRightInd w:val="0"/>
        <w:spacing w:after="0" w:line="240" w:lineRule="auto"/>
        <w:rPr>
          <w:rFonts w:cstheme="minorHAnsi"/>
          <w:bCs/>
        </w:rPr>
      </w:pPr>
      <w:r w:rsidRPr="007B0444">
        <w:rPr>
          <w:rFonts w:cstheme="minorHAnsi"/>
          <w:noProof/>
        </w:rPr>
        <w:t>_</w:t>
      </w:r>
      <w:r w:rsidR="00E37E1B" w:rsidRPr="007B0444">
        <w:rPr>
          <w:rFonts w:cstheme="minorHAnsi"/>
          <w:noProof/>
        </w:rPr>
        <w:t>_______________</w:t>
      </w:r>
      <w:r w:rsidR="003755CB" w:rsidRPr="007B0444">
        <w:rPr>
          <w:rFonts w:cstheme="minorHAnsi"/>
          <w:noProof/>
        </w:rPr>
        <w:t>_________</w:t>
      </w:r>
    </w:p>
    <w:p w14:paraId="0CABCFCE" w14:textId="77777777" w:rsidR="008A403A" w:rsidRPr="007B0444" w:rsidRDefault="00021170" w:rsidP="00DB3627">
      <w:pPr>
        <w:autoSpaceDE w:val="0"/>
        <w:autoSpaceDN w:val="0"/>
        <w:adjustRightInd w:val="0"/>
        <w:spacing w:after="0" w:line="240" w:lineRule="auto"/>
        <w:rPr>
          <w:rFonts w:cstheme="minorHAnsi"/>
          <w:b/>
          <w:bCs/>
        </w:rPr>
      </w:pPr>
      <w:r w:rsidRPr="007B0444">
        <w:rPr>
          <w:rFonts w:cstheme="minorHAnsi"/>
          <w:b/>
          <w:noProof/>
        </w:rPr>
        <w:t>2</w:t>
      </w:r>
      <w:r w:rsidR="00EA5F47" w:rsidRPr="007B0444">
        <w:rPr>
          <w:rFonts w:cstheme="minorHAnsi"/>
          <w:b/>
          <w:noProof/>
        </w:rPr>
        <w:t>a</w:t>
      </w:r>
      <w:r w:rsidRPr="007B0444">
        <w:rPr>
          <w:rFonts w:cstheme="minorHAnsi"/>
          <w:b/>
          <w:noProof/>
        </w:rPr>
        <w:t xml:space="preserve">2. </w:t>
      </w:r>
      <w:r w:rsidRPr="007B0444">
        <w:rPr>
          <w:rFonts w:cstheme="minorHAnsi"/>
          <w:b/>
          <w:bCs/>
        </w:rPr>
        <w:t>RELIABILITY TESTING</w:t>
      </w:r>
      <w:r w:rsidR="008A403A" w:rsidRPr="007B0444">
        <w:rPr>
          <w:rFonts w:cstheme="minorHAnsi"/>
          <w:b/>
          <w:bCs/>
        </w:rPr>
        <w:t xml:space="preserve"> </w:t>
      </w:r>
    </w:p>
    <w:p w14:paraId="0CABCFCF" w14:textId="77777777" w:rsidR="00E310B9" w:rsidRPr="007B0444" w:rsidRDefault="00E310B9" w:rsidP="00DB3627">
      <w:pPr>
        <w:autoSpaceDE w:val="0"/>
        <w:autoSpaceDN w:val="0"/>
        <w:adjustRightInd w:val="0"/>
        <w:spacing w:after="0" w:line="240" w:lineRule="auto"/>
        <w:rPr>
          <w:rFonts w:cstheme="minorHAnsi"/>
          <w:b/>
          <w:bCs/>
        </w:rPr>
      </w:pPr>
      <w:r w:rsidRPr="007B0444">
        <w:rPr>
          <w:rFonts w:cstheme="minorHAnsi"/>
          <w:b/>
          <w:bCs/>
          <w:i/>
          <w:u w:val="single"/>
        </w:rPr>
        <w:t>Note</w:t>
      </w:r>
      <w:r w:rsidRPr="007B0444">
        <w:rPr>
          <w:rFonts w:cstheme="minorHAnsi"/>
          <w:bCs/>
          <w:i/>
        </w:rPr>
        <w:t>: If accuracy/correctness (validity) of data elements was empirically tested</w:t>
      </w:r>
      <w:r w:rsidRPr="007B0444">
        <w:rPr>
          <w:rFonts w:cstheme="minorHAnsi"/>
          <w:bCs/>
        </w:rPr>
        <w:t xml:space="preserve">, </w:t>
      </w:r>
      <w:r w:rsidRPr="007B0444">
        <w:rPr>
          <w:rFonts w:cstheme="minorHAnsi"/>
          <w:bCs/>
          <w:i/>
        </w:rPr>
        <w:t xml:space="preserve">separate reliability testing of data elements is not required – </w:t>
      </w:r>
      <w:r w:rsidR="00127C06" w:rsidRPr="007B0444">
        <w:rPr>
          <w:rFonts w:cstheme="minorHAnsi"/>
          <w:bCs/>
          <w:i/>
        </w:rPr>
        <w:t xml:space="preserve">in 2a2.1 </w:t>
      </w:r>
      <w:r w:rsidR="00C867F0" w:rsidRPr="007B0444">
        <w:rPr>
          <w:rFonts w:cstheme="minorHAnsi"/>
          <w:bCs/>
          <w:i/>
        </w:rPr>
        <w:t>check critical data elements;</w:t>
      </w:r>
      <w:r w:rsidR="00127C06" w:rsidRPr="007B0444">
        <w:rPr>
          <w:rFonts w:cstheme="minorHAnsi"/>
          <w:bCs/>
          <w:i/>
        </w:rPr>
        <w:t xml:space="preserve"> in 2a2.2 enter “see s</w:t>
      </w:r>
      <w:r w:rsidR="002F2687" w:rsidRPr="007B0444">
        <w:rPr>
          <w:rFonts w:cstheme="minorHAnsi"/>
          <w:bCs/>
          <w:i/>
        </w:rPr>
        <w:t>e</w:t>
      </w:r>
      <w:r w:rsidR="00127C06" w:rsidRPr="007B0444">
        <w:rPr>
          <w:rFonts w:cstheme="minorHAnsi"/>
          <w:bCs/>
          <w:i/>
        </w:rPr>
        <w:t xml:space="preserve">ction 2b2 for </w:t>
      </w:r>
      <w:r w:rsidRPr="007B0444">
        <w:rPr>
          <w:rFonts w:cstheme="minorHAnsi"/>
          <w:bCs/>
          <w:i/>
        </w:rPr>
        <w:t xml:space="preserve">validity </w:t>
      </w:r>
      <w:r w:rsidR="00127C06" w:rsidRPr="007B0444">
        <w:rPr>
          <w:rFonts w:cstheme="minorHAnsi"/>
          <w:bCs/>
          <w:i/>
        </w:rPr>
        <w:t xml:space="preserve">testing </w:t>
      </w:r>
      <w:r w:rsidR="002F2687" w:rsidRPr="007B0444">
        <w:rPr>
          <w:rFonts w:cstheme="minorHAnsi"/>
          <w:bCs/>
          <w:i/>
        </w:rPr>
        <w:t>of data elements”</w:t>
      </w:r>
      <w:r w:rsidR="00C867F0" w:rsidRPr="007B0444">
        <w:rPr>
          <w:rFonts w:cstheme="minorHAnsi"/>
          <w:bCs/>
          <w:i/>
        </w:rPr>
        <w:t>;</w:t>
      </w:r>
      <w:r w:rsidR="002F2687" w:rsidRPr="007B0444">
        <w:rPr>
          <w:rFonts w:cstheme="minorHAnsi"/>
          <w:bCs/>
          <w:i/>
        </w:rPr>
        <w:t xml:space="preserve"> and skip 2a2.3 and 2a2.4.</w:t>
      </w:r>
    </w:p>
    <w:p w14:paraId="0CABCFD0" w14:textId="77777777" w:rsidR="008C54A9" w:rsidRPr="007B0444" w:rsidRDefault="008C54A9" w:rsidP="00DB3627">
      <w:pPr>
        <w:autoSpaceDE w:val="0"/>
        <w:autoSpaceDN w:val="0"/>
        <w:adjustRightInd w:val="0"/>
        <w:spacing w:after="0" w:line="240" w:lineRule="auto"/>
        <w:rPr>
          <w:rFonts w:cstheme="minorHAnsi"/>
          <w:b/>
          <w:bCs/>
        </w:rPr>
      </w:pPr>
    </w:p>
    <w:p w14:paraId="0CABCFD1" w14:textId="0A0E17D4" w:rsidR="001969C5" w:rsidRPr="007B0444" w:rsidRDefault="00092566" w:rsidP="008C54A9">
      <w:pPr>
        <w:autoSpaceDE w:val="0"/>
        <w:autoSpaceDN w:val="0"/>
        <w:adjustRightInd w:val="0"/>
        <w:spacing w:after="0" w:line="240" w:lineRule="auto"/>
        <w:rPr>
          <w:rFonts w:cstheme="minorHAnsi"/>
          <w:bCs/>
        </w:rPr>
      </w:pPr>
      <w:r w:rsidRPr="007B0444">
        <w:rPr>
          <w:rFonts w:cstheme="minorHAnsi"/>
          <w:b/>
          <w:bCs/>
        </w:rPr>
        <w:t>2a2.1</w:t>
      </w:r>
      <w:r w:rsidR="008C54A9" w:rsidRPr="007B0444">
        <w:rPr>
          <w:rFonts w:cstheme="minorHAnsi"/>
          <w:b/>
          <w:bCs/>
        </w:rPr>
        <w:t xml:space="preserve">. </w:t>
      </w:r>
      <w:r w:rsidR="000968F8" w:rsidRPr="007B0444">
        <w:rPr>
          <w:rFonts w:cstheme="minorHAnsi"/>
          <w:b/>
          <w:bCs/>
        </w:rPr>
        <w:t>What level of reliability testing was conducted</w:t>
      </w:r>
      <w:r w:rsidR="000574AB" w:rsidRPr="007B0444">
        <w:rPr>
          <w:rFonts w:cstheme="minorHAnsi"/>
          <w:bCs/>
        </w:rPr>
        <w:t>?</w:t>
      </w:r>
      <w:r w:rsidR="00D50704" w:rsidRPr="007B0444">
        <w:rPr>
          <w:rFonts w:cstheme="minorHAnsi"/>
          <w:bCs/>
        </w:rPr>
        <w:t xml:space="preserve"> (</w:t>
      </w:r>
      <w:r w:rsidR="00E310B9" w:rsidRPr="007B0444">
        <w:rPr>
          <w:rFonts w:cstheme="minorHAnsi"/>
          <w:bCs/>
          <w:i/>
        </w:rPr>
        <w:t xml:space="preserve">may </w:t>
      </w:r>
      <w:r w:rsidR="00D50704" w:rsidRPr="007B0444">
        <w:rPr>
          <w:rFonts w:cstheme="minorHAnsi"/>
          <w:bCs/>
          <w:i/>
        </w:rPr>
        <w:t>be one or both levels</w:t>
      </w:r>
      <w:r w:rsidR="00D50704" w:rsidRPr="007B0444">
        <w:rPr>
          <w:rFonts w:cstheme="minorHAnsi"/>
          <w:bCs/>
        </w:rPr>
        <w:t>)</w:t>
      </w:r>
      <w:r w:rsidR="00B8015A" w:rsidRPr="007B044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540E5B" w:rsidRPr="00466186">
            <w:rPr>
              <w:rFonts w:ascii="MS Gothic" w:eastAsia="MS Gothic" w:hAnsi="MS Gothic" w:cstheme="minorHAnsi" w:hint="eastAsia"/>
              <w:bCs/>
              <w:color w:val="0000FF"/>
            </w:rPr>
            <w:t>☐</w:t>
          </w:r>
        </w:sdtContent>
      </w:sdt>
      <w:r w:rsidR="00A25024" w:rsidRPr="00466186">
        <w:rPr>
          <w:rFonts w:eastAsia="MS Mincho" w:cstheme="minorHAnsi"/>
          <w:b/>
          <w:bCs/>
          <w:color w:val="0000FF"/>
        </w:rPr>
        <w:t xml:space="preserve"> </w:t>
      </w:r>
      <w:r w:rsidR="001F7A20" w:rsidRPr="00466186">
        <w:rPr>
          <w:rFonts w:cstheme="minorHAnsi"/>
          <w:b/>
          <w:bCs/>
        </w:rPr>
        <w:t>Critical data elements used in the measure</w:t>
      </w:r>
      <w:r w:rsidR="001F7A20" w:rsidRPr="007B0444">
        <w:rPr>
          <w:rFonts w:cstheme="minorHAnsi"/>
          <w:bCs/>
        </w:rPr>
        <w:t xml:space="preserve"> (</w:t>
      </w:r>
      <w:r w:rsidR="001F7A20" w:rsidRPr="007B0444">
        <w:rPr>
          <w:rFonts w:cstheme="minorHAnsi"/>
          <w:bCs/>
          <w:i/>
        </w:rPr>
        <w:t>e.g., inter-abstractor reliability; data element reliability must address ALL critical data elements</w:t>
      </w:r>
      <w:r w:rsidR="001F7A20" w:rsidRPr="007B0444">
        <w:rPr>
          <w:rFonts w:cstheme="minorHAnsi"/>
          <w:bCs/>
        </w:rPr>
        <w:t>)</w:t>
      </w:r>
      <w:r w:rsidR="001F7A20" w:rsidRPr="007B044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931FB5" w:rsidRPr="007B0444">
            <w:rPr>
              <w:rFonts w:ascii="MS Gothic" w:eastAsia="MS Gothic" w:hAnsi="MS Gothic" w:cstheme="minorHAnsi" w:hint="eastAsia"/>
              <w:bCs/>
              <w:color w:val="0000FF"/>
            </w:rPr>
            <w:t>☒</w:t>
          </w:r>
        </w:sdtContent>
      </w:sdt>
      <w:r w:rsidR="001F7A20" w:rsidRPr="007B0444">
        <w:rPr>
          <w:rFonts w:eastAsia="MS Mincho" w:cstheme="minorHAnsi"/>
          <w:b/>
          <w:bCs/>
          <w:color w:val="0000FF"/>
        </w:rPr>
        <w:t xml:space="preserve"> </w:t>
      </w:r>
      <w:r w:rsidR="001F7A20" w:rsidRPr="007B0444">
        <w:rPr>
          <w:rFonts w:cstheme="minorHAnsi"/>
          <w:b/>
          <w:bCs/>
        </w:rPr>
        <w:t>Performance measure score</w:t>
      </w:r>
      <w:r w:rsidR="001F7A20" w:rsidRPr="007B0444">
        <w:rPr>
          <w:rFonts w:cstheme="minorHAnsi"/>
          <w:bCs/>
        </w:rPr>
        <w:t xml:space="preserve"> (e.g., </w:t>
      </w:r>
      <w:r w:rsidR="001F7A20" w:rsidRPr="007B0444">
        <w:rPr>
          <w:rFonts w:cstheme="minorHAnsi"/>
          <w:bCs/>
          <w:i/>
        </w:rPr>
        <w:t>signal-to-noise analysis</w:t>
      </w:r>
      <w:r w:rsidR="001F7A20" w:rsidRPr="007B0444">
        <w:rPr>
          <w:rFonts w:cstheme="minorHAnsi"/>
          <w:bCs/>
        </w:rPr>
        <w:t>)</w:t>
      </w:r>
      <w:r w:rsidR="001F7A20" w:rsidRPr="007B0444">
        <w:rPr>
          <w:rFonts w:cstheme="minorHAnsi"/>
          <w:bCs/>
        </w:rPr>
        <w:br/>
      </w:r>
      <w:r w:rsidR="001F7A20" w:rsidRPr="007B0444">
        <w:rPr>
          <w:rFonts w:cstheme="minorHAnsi"/>
          <w:bCs/>
          <w:u w:val="single"/>
        </w:rPr>
        <w:br/>
      </w:r>
      <w:r w:rsidR="001F7A20" w:rsidRPr="007B0444">
        <w:rPr>
          <w:rFonts w:cstheme="minorHAnsi"/>
          <w:b/>
          <w:bCs/>
        </w:rPr>
        <w:t xml:space="preserve">2a2.2. </w:t>
      </w:r>
      <w:r w:rsidR="008C54A9" w:rsidRPr="007B0444">
        <w:rPr>
          <w:rFonts w:cstheme="minorHAnsi"/>
          <w:b/>
          <w:bCs/>
        </w:rPr>
        <w:t xml:space="preserve">For each level checked above, describe the method of </w:t>
      </w:r>
      <w:r w:rsidR="000968F8" w:rsidRPr="007B0444">
        <w:rPr>
          <w:rFonts w:cstheme="minorHAnsi"/>
          <w:b/>
          <w:bCs/>
        </w:rPr>
        <w:t xml:space="preserve">reliability </w:t>
      </w:r>
      <w:r w:rsidR="008C54A9" w:rsidRPr="007B0444">
        <w:rPr>
          <w:rFonts w:cstheme="minorHAnsi"/>
          <w:b/>
          <w:bCs/>
        </w:rPr>
        <w:t>testing and what it tests</w:t>
      </w:r>
      <w:r w:rsidR="008C54A9" w:rsidRPr="007B0444">
        <w:rPr>
          <w:rFonts w:cstheme="minorHAnsi"/>
          <w:bCs/>
        </w:rPr>
        <w:t xml:space="preserve"> (</w:t>
      </w:r>
      <w:r w:rsidR="008C54A9" w:rsidRPr="007B0444">
        <w:rPr>
          <w:rFonts w:cstheme="minorHAnsi"/>
          <w:bCs/>
          <w:i/>
        </w:rPr>
        <w:t xml:space="preserve">describe the steps―do not just name a method; what </w:t>
      </w:r>
      <w:r w:rsidR="002408E4" w:rsidRPr="007B0444">
        <w:rPr>
          <w:rFonts w:cstheme="minorHAnsi"/>
          <w:bCs/>
          <w:i/>
        </w:rPr>
        <w:t>type of erro</w:t>
      </w:r>
      <w:r w:rsidR="007D7019" w:rsidRPr="007B0444">
        <w:rPr>
          <w:rFonts w:cstheme="minorHAnsi"/>
          <w:bCs/>
          <w:i/>
        </w:rPr>
        <w:t>r</w:t>
      </w:r>
      <w:r w:rsidR="002408E4" w:rsidRPr="007B0444">
        <w:rPr>
          <w:rFonts w:cstheme="minorHAnsi"/>
          <w:bCs/>
          <w:i/>
        </w:rPr>
        <w:t xml:space="preserve"> </w:t>
      </w:r>
      <w:r w:rsidR="008C54A9" w:rsidRPr="007B0444">
        <w:rPr>
          <w:rFonts w:cstheme="minorHAnsi"/>
          <w:bCs/>
          <w:i/>
        </w:rPr>
        <w:t>does it test</w:t>
      </w:r>
      <w:r w:rsidR="0022691B" w:rsidRPr="007B0444">
        <w:rPr>
          <w:rFonts w:cstheme="minorHAnsi"/>
          <w:bCs/>
          <w:i/>
        </w:rPr>
        <w:t>; what statistical analysis was used</w:t>
      </w:r>
      <w:r w:rsidR="007757CE" w:rsidRPr="007B0444">
        <w:rPr>
          <w:rFonts w:cstheme="minorHAnsi"/>
          <w:bCs/>
        </w:rPr>
        <w:t>)</w:t>
      </w:r>
    </w:p>
    <w:p w14:paraId="0849B5D0" w14:textId="013C91EB" w:rsidR="009B6809" w:rsidRPr="00BC37E8" w:rsidRDefault="00990AE0" w:rsidP="0046618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lastRenderedPageBreak/>
        <w:t>Reliability</w:t>
      </w:r>
      <w:r w:rsidR="00C9703A" w:rsidRPr="00BC37E8">
        <w:rPr>
          <w:rFonts w:ascii="Times New Roman" w:hAnsi="Times New Roman" w:cs="Times New Roman"/>
          <w:b/>
          <w:bCs/>
          <w:color w:val="0070C0"/>
        </w:rPr>
        <w:t xml:space="preserve"> Score</w:t>
      </w:r>
      <w:r w:rsidR="00466186" w:rsidRPr="00BC37E8">
        <w:rPr>
          <w:rFonts w:ascii="Times New Roman" w:hAnsi="Times New Roman" w:cs="Times New Roman"/>
          <w:b/>
          <w:bCs/>
          <w:color w:val="0070C0"/>
        </w:rPr>
        <w:t xml:space="preserve">: </w:t>
      </w:r>
      <w:r w:rsidR="009B6809" w:rsidRPr="00BC37E8">
        <w:rPr>
          <w:rFonts w:ascii="Times New Roman" w:hAnsi="Times New Roman" w:cs="Times New Roman"/>
          <w:bCs/>
          <w:color w:val="0070C0"/>
        </w:rPr>
        <w:t xml:space="preserve">Measure reliability </w:t>
      </w:r>
      <w:r w:rsidR="00C9703A" w:rsidRPr="00BC37E8">
        <w:rPr>
          <w:rFonts w:ascii="Times New Roman" w:hAnsi="Times New Roman" w:cs="Times New Roman"/>
          <w:bCs/>
          <w:color w:val="0070C0"/>
        </w:rPr>
        <w:t>scores are</w:t>
      </w:r>
      <w:r w:rsidR="009B6809" w:rsidRPr="00BC37E8">
        <w:rPr>
          <w:rFonts w:ascii="Times New Roman" w:hAnsi="Times New Roman" w:cs="Times New Roman"/>
          <w:bCs/>
          <w:color w:val="0070C0"/>
        </w:rPr>
        <w:t xml:space="preserve"> the degree to which repeated measurements of the same entity agree with each other. For measures of clinician performance, the measured entity is the TIN or TIN-NPI, and reliability is the extent to which repeated measurements of the TIN or TIN-NPI give similar results. To estimate measure reliability, we used a signal-to-noise analysis. </w:t>
      </w:r>
    </w:p>
    <w:p w14:paraId="0CF2EF30" w14:textId="77777777" w:rsidR="009B6809" w:rsidRPr="00BC37E8" w:rsidRDefault="009B6809" w:rsidP="009B6809">
      <w:pPr>
        <w:tabs>
          <w:tab w:val="left" w:pos="6660"/>
        </w:tabs>
        <w:autoSpaceDE w:val="0"/>
        <w:autoSpaceDN w:val="0"/>
        <w:adjustRightInd w:val="0"/>
        <w:spacing w:after="0" w:line="240" w:lineRule="auto"/>
        <w:rPr>
          <w:rFonts w:ascii="Times New Roman" w:hAnsi="Times New Roman" w:cs="Times New Roman"/>
          <w:bCs/>
          <w:color w:val="0070C0"/>
        </w:rPr>
      </w:pPr>
    </w:p>
    <w:p w14:paraId="0ED0B180" w14:textId="77777777" w:rsidR="009B6809" w:rsidRPr="00BC37E8" w:rsidRDefault="009B6809" w:rsidP="009B6809">
      <w:pPr>
        <w:tabs>
          <w:tab w:val="left" w:pos="666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This approach seeks to determine the extent to which variation in the measure is due to true, underlying clinician performance, rather than random variation (i.e., statistical noise) within clinicians due to the sample of cases observed. To achieve this, we calculate reliability scores as:</w:t>
      </w:r>
    </w:p>
    <w:p w14:paraId="4C63F5B4" w14:textId="73F6EDEE" w:rsidR="004C58AD" w:rsidRPr="007B0444" w:rsidRDefault="009C27C5" w:rsidP="00F63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color w:val="0070C0"/>
        </w:rPr>
        <w:drawing>
          <wp:inline distT="0" distB="0" distL="0" distR="0" wp14:anchorId="7D677212" wp14:editId="04901268">
            <wp:extent cx="1438910" cy="588645"/>
            <wp:effectExtent l="0" t="0" r="8890" b="1905"/>
            <wp:docPr id="4" name="Picture 4" descr="R subscript open parentheses j close parentheses equals to ratio of open parenthesis sigma subscript open parentheses b close parentheses squared divided by open parentheses sigma  subscript open parentheses b close parentheses squared plus sigma subscript open parentheses w subscript open parenthesis j close parentheses close parentheses  squared close parentheses.&#10;" title="Reliability 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 subscript open parentheses j close parentheses equals to ratio of open parenthesis sigma subscript open parentheses b close parentheses squared divided by open parentheses sigma  subscript open parentheses b close parentheses squared plus sigma subscript open parentheses w subscript open parenthesis j close parentheses close parentheses  squared close parentheses.&#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910" cy="588645"/>
                    </a:xfrm>
                    <a:prstGeom prst="rect">
                      <a:avLst/>
                    </a:prstGeom>
                    <a:noFill/>
                    <a:ln>
                      <a:noFill/>
                    </a:ln>
                  </pic:spPr>
                </pic:pic>
              </a:graphicData>
            </a:graphic>
          </wp:inline>
        </w:drawing>
      </w:r>
    </w:p>
    <w:p w14:paraId="6FE76F2E" w14:textId="1ECFA470" w:rsidR="007275CA" w:rsidRPr="00BC37E8" w:rsidRDefault="00F63D73" w:rsidP="008C54A9">
      <w:pPr>
        <w:autoSpaceDE w:val="0"/>
        <w:autoSpaceDN w:val="0"/>
        <w:adjustRightInd w:val="0"/>
        <w:spacing w:after="0" w:line="240" w:lineRule="auto"/>
        <w:rPr>
          <w:rFonts w:ascii="Times New Roman" w:hAnsi="Times New Roman" w:cs="Times New Roman"/>
          <w:color w:val="0070C0"/>
        </w:rPr>
      </w:pPr>
      <w:r w:rsidRPr="00BC37E8">
        <w:rPr>
          <w:rFonts w:ascii="Times New Roman" w:hAnsi="Times New Roman" w:cs="Times New Roman"/>
          <w:color w:val="0070C0"/>
        </w:rPr>
        <w:t>w</w:t>
      </w:r>
      <w:r w:rsidR="004C58AD" w:rsidRPr="00BC37E8">
        <w:rPr>
          <w:rFonts w:ascii="Times New Roman" w:hAnsi="Times New Roman" w:cs="Times New Roman"/>
          <w:color w:val="0070C0"/>
        </w:rPr>
        <w:t>here</w:t>
      </w:r>
      <w:r w:rsidR="000F4A20" w:rsidRPr="00BC37E8">
        <w:rPr>
          <w:rFonts w:ascii="Times New Roman" w:hAnsi="Times New Roman" w:cs="Times New Roman"/>
          <w:color w:val="0070C0"/>
        </w:rPr>
        <w:t xml:space="preserve"> </w:t>
      </w:r>
      <m:oMath>
        <m:sSubSup>
          <m:sSubSupPr>
            <m:ctrlPr>
              <w:rPr>
                <w:rFonts w:ascii="Cambria Math" w:hAnsi="Cambria Math" w:cs="Times New Roman"/>
                <w:i/>
                <w:color w:val="0070C0"/>
              </w:rPr>
            </m:ctrlPr>
          </m:sSubSupPr>
          <m:e>
            <m:r>
              <w:rPr>
                <w:rFonts w:ascii="Cambria Math" w:hAnsi="Cambria Math" w:cs="Times New Roman"/>
                <w:color w:val="0070C0"/>
              </w:rPr>
              <m:t>σ</m:t>
            </m:r>
          </m:e>
          <m:sub>
            <m:sSub>
              <m:sSubPr>
                <m:ctrlPr>
                  <w:rPr>
                    <w:rFonts w:ascii="Cambria Math" w:hAnsi="Cambria Math" w:cs="Times New Roman"/>
                    <w:i/>
                    <w:color w:val="0070C0"/>
                  </w:rPr>
                </m:ctrlPr>
              </m:sSubPr>
              <m:e>
                <m:r>
                  <w:rPr>
                    <w:rFonts w:ascii="Cambria Math" w:hAnsi="Cambria Math" w:cs="Times New Roman"/>
                    <w:color w:val="0070C0"/>
                  </w:rPr>
                  <m:t>w</m:t>
                </m:r>
              </m:e>
              <m:sub>
                <m:r>
                  <w:rPr>
                    <w:rFonts w:ascii="Cambria Math" w:hAnsi="Cambria Math" w:cs="Times New Roman"/>
                    <w:color w:val="0070C0"/>
                  </w:rPr>
                  <m:t>j</m:t>
                </m:r>
              </m:sub>
            </m:sSub>
          </m:sub>
          <m:sup>
            <m:r>
              <w:rPr>
                <w:rFonts w:ascii="Cambria Math" w:hAnsi="Cambria Math" w:cs="Times New Roman"/>
                <w:color w:val="0070C0"/>
              </w:rPr>
              <m:t>2</m:t>
            </m:r>
          </m:sup>
        </m:sSubSup>
      </m:oMath>
      <w:r w:rsidR="004C58AD" w:rsidRPr="00BC37E8">
        <w:rPr>
          <w:rFonts w:ascii="Times New Roman" w:hAnsi="Times New Roman" w:cs="Times New Roman"/>
          <w:color w:val="0070C0"/>
        </w:rPr>
        <w:t xml:space="preserve"> is the within-group variance of the mean measure score of </w:t>
      </w:r>
      <w:r w:rsidR="00005D15" w:rsidRPr="00BC37E8">
        <w:rPr>
          <w:rFonts w:ascii="Times New Roman" w:hAnsi="Times New Roman" w:cs="Times New Roman"/>
          <w:color w:val="0070C0"/>
        </w:rPr>
        <w:t>clinician</w:t>
      </w:r>
      <w:r w:rsidR="000F4A20" w:rsidRPr="00BC37E8">
        <w:rPr>
          <w:rFonts w:ascii="Times New Roman" w:hAnsi="Times New Roman" w:cs="Times New Roman"/>
          <w:color w:val="0070C0"/>
        </w:rPr>
        <w:t xml:space="preserve"> </w:t>
      </w:r>
      <w:r w:rsidR="000F4A20" w:rsidRPr="00BC37E8">
        <w:rPr>
          <w:rFonts w:ascii="Times New Roman" w:hAnsi="Times New Roman" w:cs="Times New Roman"/>
          <w:i/>
          <w:color w:val="0070C0"/>
        </w:rPr>
        <w:t>j</w:t>
      </w:r>
      <w:r w:rsidR="004C58AD" w:rsidRPr="00BC37E8">
        <w:rPr>
          <w:rFonts w:ascii="Times New Roman" w:hAnsi="Times New Roman" w:cs="Times New Roman"/>
          <w:color w:val="0070C0"/>
        </w:rPr>
        <w:t xml:space="preserve"> and </w:t>
      </w:r>
      <m:oMath>
        <m:sSubSup>
          <m:sSubSupPr>
            <m:ctrlPr>
              <w:rPr>
                <w:rFonts w:ascii="Cambria Math" w:hAnsi="Cambria Math" w:cs="Times New Roman"/>
                <w:i/>
                <w:color w:val="0070C0"/>
              </w:rPr>
            </m:ctrlPr>
          </m:sSubSupPr>
          <m:e>
            <m:r>
              <w:rPr>
                <w:rFonts w:ascii="Cambria Math" w:hAnsi="Cambria Math" w:cs="Times New Roman"/>
                <w:color w:val="0070C0"/>
              </w:rPr>
              <m:t>σ</m:t>
            </m:r>
          </m:e>
          <m:sub>
            <m:r>
              <w:rPr>
                <w:rFonts w:ascii="Cambria Math" w:hAnsi="Cambria Math" w:cs="Times New Roman"/>
                <w:color w:val="0070C0"/>
              </w:rPr>
              <m:t>b</m:t>
            </m:r>
          </m:sub>
          <m:sup>
            <m:r>
              <w:rPr>
                <w:rFonts w:ascii="Cambria Math" w:hAnsi="Cambria Math" w:cs="Times New Roman"/>
                <w:color w:val="0070C0"/>
              </w:rPr>
              <m:t>2</m:t>
            </m:r>
          </m:sup>
        </m:sSubSup>
      </m:oMath>
      <w:r w:rsidR="004C58AD" w:rsidRPr="00BC37E8">
        <w:rPr>
          <w:rFonts w:ascii="Times New Roman" w:hAnsi="Times New Roman" w:cs="Times New Roman"/>
          <w:color w:val="0070C0"/>
        </w:rPr>
        <w:t xml:space="preserve"> is the between-group variance of </w:t>
      </w:r>
      <w:r w:rsidR="00005D15" w:rsidRPr="00BC37E8">
        <w:rPr>
          <w:rFonts w:ascii="Times New Roman" w:hAnsi="Times New Roman" w:cs="Times New Roman"/>
          <w:color w:val="0070C0"/>
        </w:rPr>
        <w:t>clinician</w:t>
      </w:r>
      <w:r w:rsidR="00D31F62" w:rsidRPr="00BC37E8">
        <w:rPr>
          <w:rFonts w:ascii="Times New Roman" w:hAnsi="Times New Roman" w:cs="Times New Roman"/>
          <w:color w:val="0070C0"/>
        </w:rPr>
        <w:t>s</w:t>
      </w:r>
      <w:r w:rsidR="004C58AD" w:rsidRPr="00BC37E8">
        <w:rPr>
          <w:rFonts w:ascii="Times New Roman" w:hAnsi="Times New Roman" w:cs="Times New Roman"/>
          <w:color w:val="0070C0"/>
        </w:rPr>
        <w:t xml:space="preserve"> within the </w:t>
      </w:r>
      <w:r w:rsidR="00D31F62" w:rsidRPr="00BC37E8">
        <w:rPr>
          <w:rFonts w:ascii="Times New Roman" w:hAnsi="Times New Roman" w:cs="Times New Roman"/>
          <w:color w:val="0070C0"/>
        </w:rPr>
        <w:t>measure</w:t>
      </w:r>
      <w:r w:rsidR="004C58AD" w:rsidRPr="00BC37E8">
        <w:rPr>
          <w:rFonts w:ascii="Times New Roman" w:hAnsi="Times New Roman" w:cs="Times New Roman"/>
          <w:color w:val="0070C0"/>
        </w:rPr>
        <w:t>. That is, reliability is calculated as the ratio of between-group variance to the sum of between-group variance and within-group variance. Re</w:t>
      </w:r>
      <w:r w:rsidR="00781267" w:rsidRPr="00BC37E8">
        <w:rPr>
          <w:rFonts w:ascii="Times New Roman" w:hAnsi="Times New Roman" w:cs="Times New Roman"/>
          <w:color w:val="0070C0"/>
        </w:rPr>
        <w:t>liability closer to a value of one</w:t>
      </w:r>
      <w:r w:rsidR="004C58AD" w:rsidRPr="00BC37E8">
        <w:rPr>
          <w:rFonts w:ascii="Times New Roman" w:hAnsi="Times New Roman" w:cs="Times New Roman"/>
          <w:color w:val="0070C0"/>
        </w:rPr>
        <w:t xml:space="preserve"> indicates that the between-group variance is relatively large compared to the within-group variance, which suggests that the measure is effectively capturing the systematic differences between the </w:t>
      </w:r>
      <w:r w:rsidR="00DB6A83" w:rsidRPr="00BC37E8">
        <w:rPr>
          <w:rFonts w:ascii="Times New Roman" w:hAnsi="Times New Roman" w:cs="Times New Roman"/>
          <w:color w:val="0070C0"/>
        </w:rPr>
        <w:t>clinician</w:t>
      </w:r>
      <w:r w:rsidR="004C58AD" w:rsidRPr="00BC37E8">
        <w:rPr>
          <w:rFonts w:ascii="Times New Roman" w:hAnsi="Times New Roman" w:cs="Times New Roman"/>
          <w:color w:val="0070C0"/>
        </w:rPr>
        <w:t xml:space="preserve"> </w:t>
      </w:r>
      <w:r w:rsidR="001F273F" w:rsidRPr="00BC37E8">
        <w:rPr>
          <w:rFonts w:ascii="Times New Roman" w:hAnsi="Times New Roman" w:cs="Times New Roman"/>
          <w:color w:val="0070C0"/>
        </w:rPr>
        <w:t xml:space="preserve">and </w:t>
      </w:r>
      <w:r w:rsidR="00DB6A83" w:rsidRPr="00BC37E8">
        <w:rPr>
          <w:rFonts w:ascii="Times New Roman" w:hAnsi="Times New Roman" w:cs="Times New Roman"/>
          <w:color w:val="0070C0"/>
        </w:rPr>
        <w:t>their peer cohort</w:t>
      </w:r>
      <w:r w:rsidR="004C58AD" w:rsidRPr="00BC37E8">
        <w:rPr>
          <w:rFonts w:ascii="Times New Roman" w:hAnsi="Times New Roman" w:cs="Times New Roman"/>
          <w:color w:val="0070C0"/>
        </w:rPr>
        <w:t xml:space="preserve">. </w:t>
      </w:r>
    </w:p>
    <w:p w14:paraId="1634703E" w14:textId="67622FC0" w:rsidR="00DB6ED1" w:rsidRPr="00BC37E8" w:rsidRDefault="00DB6ED1">
      <w:pPr>
        <w:autoSpaceDE w:val="0"/>
        <w:autoSpaceDN w:val="0"/>
        <w:adjustRightInd w:val="0"/>
        <w:spacing w:after="0" w:line="240" w:lineRule="auto"/>
        <w:rPr>
          <w:rFonts w:ascii="Times New Roman" w:hAnsi="Times New Roman" w:cs="Times New Roman"/>
          <w:color w:val="FF0000"/>
        </w:rPr>
      </w:pPr>
    </w:p>
    <w:p w14:paraId="745D3523" w14:textId="66B88CF9" w:rsidR="008F5F2C" w:rsidRPr="00BC37E8" w:rsidRDefault="008F5F2C" w:rsidP="008C54A9">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 xml:space="preserve">Split Sample </w:t>
      </w:r>
      <w:r w:rsidR="00466186" w:rsidRPr="00BC37E8">
        <w:rPr>
          <w:rFonts w:ascii="Times New Roman" w:hAnsi="Times New Roman" w:cs="Times New Roman"/>
          <w:b/>
          <w:bCs/>
          <w:color w:val="0070C0"/>
        </w:rPr>
        <w:t xml:space="preserve">Reliability Testing: </w:t>
      </w:r>
      <w:r w:rsidRPr="00BC37E8">
        <w:rPr>
          <w:rFonts w:ascii="Times New Roman" w:hAnsi="Times New Roman" w:cs="Times New Roman"/>
          <w:bCs/>
          <w:color w:val="0070C0"/>
        </w:rPr>
        <w:t xml:space="preserve">This test examined agreement between two performance measure scores for a TIN or TIN-NPI based on random-split, independent subsets of </w:t>
      </w:r>
      <w:r w:rsidR="00540E5B" w:rsidRPr="00BC37E8">
        <w:rPr>
          <w:rFonts w:ascii="Times New Roman" w:hAnsi="Times New Roman" w:cs="Times New Roman"/>
          <w:bCs/>
          <w:color w:val="0070C0"/>
        </w:rPr>
        <w:t>beneficiaries</w:t>
      </w:r>
      <w:r w:rsidRPr="00BC37E8">
        <w:rPr>
          <w:rFonts w:ascii="Times New Roman" w:hAnsi="Times New Roman" w:cs="Times New Roman"/>
          <w:bCs/>
          <w:color w:val="0070C0"/>
        </w:rPr>
        <w:t xml:space="preserve"> from an aggregation of two years </w:t>
      </w:r>
      <w:r w:rsidR="00540E5B" w:rsidRPr="00BC37E8">
        <w:rPr>
          <w:rFonts w:ascii="Times New Roman" w:hAnsi="Times New Roman" w:cs="Times New Roman"/>
          <w:bCs/>
          <w:color w:val="0070C0"/>
        </w:rPr>
        <w:t xml:space="preserve">of </w:t>
      </w:r>
      <w:r w:rsidR="00854D4B" w:rsidRPr="00BC37E8">
        <w:rPr>
          <w:rFonts w:ascii="Times New Roman" w:hAnsi="Times New Roman" w:cs="Times New Roman"/>
          <w:bCs/>
          <w:color w:val="0070C0"/>
        </w:rPr>
        <w:t>data (</w:t>
      </w:r>
      <w:r w:rsidR="00FB2D16" w:rsidRPr="00BC37E8">
        <w:rPr>
          <w:rFonts w:ascii="Times New Roman" w:hAnsi="Times New Roman" w:cs="Times New Roman"/>
          <w:bCs/>
          <w:color w:val="0070C0"/>
        </w:rPr>
        <w:t xml:space="preserve">fiscal year </w:t>
      </w:r>
      <w:r w:rsidRPr="00BC37E8">
        <w:rPr>
          <w:rFonts w:ascii="Times New Roman" w:hAnsi="Times New Roman" w:cs="Times New Roman"/>
          <w:bCs/>
          <w:color w:val="0070C0"/>
        </w:rPr>
        <w:t>2017</w:t>
      </w:r>
      <w:r w:rsidR="00FB2D16" w:rsidRPr="00BC37E8">
        <w:rPr>
          <w:rFonts w:ascii="Times New Roman" w:hAnsi="Times New Roman" w:cs="Times New Roman"/>
          <w:bCs/>
          <w:color w:val="0070C0"/>
        </w:rPr>
        <w:t xml:space="preserve"> and</w:t>
      </w:r>
      <w:r w:rsidR="00540E5B" w:rsidRPr="00BC37E8">
        <w:rPr>
          <w:rFonts w:ascii="Times New Roman" w:hAnsi="Times New Roman" w:cs="Times New Roman"/>
          <w:bCs/>
          <w:color w:val="0070C0"/>
        </w:rPr>
        <w:t xml:space="preserve"> </w:t>
      </w:r>
      <w:r w:rsidR="00FB2D16" w:rsidRPr="00BC37E8">
        <w:rPr>
          <w:rFonts w:ascii="Times New Roman" w:hAnsi="Times New Roman" w:cs="Times New Roman"/>
          <w:bCs/>
          <w:color w:val="0070C0"/>
        </w:rPr>
        <w:t>calendar year 2018</w:t>
      </w:r>
      <w:r w:rsidRPr="00BC37E8">
        <w:rPr>
          <w:rFonts w:ascii="Times New Roman" w:hAnsi="Times New Roman" w:cs="Times New Roman"/>
          <w:bCs/>
          <w:color w:val="0070C0"/>
        </w:rPr>
        <w:t xml:space="preserve">). </w:t>
      </w:r>
      <w:r w:rsidR="00D05D38">
        <w:rPr>
          <w:rFonts w:ascii="Times New Roman" w:hAnsi="Times New Roman" w:cs="Times New Roman"/>
          <w:bCs/>
          <w:color w:val="0070C0"/>
        </w:rPr>
        <w:t xml:space="preserve">We used two years of data to achieve numbers of beneficiaries per TIN or TIN-NPI that are comparable to the number of episodes in one year, as this measure is calculated and reported for a one-year performance period in MIPS. </w:t>
      </w:r>
      <w:r w:rsidRPr="00BC37E8">
        <w:rPr>
          <w:rFonts w:ascii="Times New Roman" w:hAnsi="Times New Roman" w:cs="Times New Roman"/>
          <w:bCs/>
          <w:color w:val="0070C0"/>
        </w:rPr>
        <w:t xml:space="preserve">Good agreement indicates that the performance score is more the result of a TIN or TIN-NPI group’s characteristics, like efficiency of care, rather than statistical noise due to random variation. </w:t>
      </w:r>
      <w:r w:rsidR="00D05D38">
        <w:rPr>
          <w:rFonts w:ascii="Times New Roman" w:hAnsi="Times New Roman" w:cs="Times New Roman"/>
          <w:bCs/>
          <w:color w:val="0070C0"/>
        </w:rPr>
        <w:t xml:space="preserve">Only </w:t>
      </w:r>
      <w:r w:rsidRPr="00BC37E8">
        <w:rPr>
          <w:rFonts w:ascii="Times New Roman" w:hAnsi="Times New Roman" w:cs="Times New Roman"/>
          <w:bCs/>
          <w:color w:val="0070C0"/>
        </w:rPr>
        <w:t xml:space="preserve">TIN and TIN-NPIs </w:t>
      </w:r>
      <w:r w:rsidR="00D05D38">
        <w:rPr>
          <w:rFonts w:ascii="Times New Roman" w:hAnsi="Times New Roman" w:cs="Times New Roman"/>
          <w:bCs/>
          <w:color w:val="0070C0"/>
        </w:rPr>
        <w:t xml:space="preserve">that </w:t>
      </w:r>
      <w:r w:rsidRPr="00BC37E8">
        <w:rPr>
          <w:rFonts w:ascii="Times New Roman" w:hAnsi="Times New Roman" w:cs="Times New Roman"/>
          <w:bCs/>
          <w:color w:val="0070C0"/>
        </w:rPr>
        <w:t xml:space="preserve">meet a case minimum of </w:t>
      </w:r>
      <w:r w:rsidR="00540E5B" w:rsidRPr="00BC37E8">
        <w:rPr>
          <w:rFonts w:ascii="Times New Roman" w:hAnsi="Times New Roman" w:cs="Times New Roman"/>
          <w:bCs/>
          <w:color w:val="0070C0"/>
        </w:rPr>
        <w:t>20</w:t>
      </w:r>
      <w:r w:rsidRPr="00BC37E8">
        <w:rPr>
          <w:rFonts w:ascii="Times New Roman" w:hAnsi="Times New Roman" w:cs="Times New Roman"/>
          <w:bCs/>
          <w:color w:val="0070C0"/>
        </w:rPr>
        <w:t xml:space="preserve"> </w:t>
      </w:r>
      <w:r w:rsidR="00540E5B" w:rsidRPr="00BC37E8">
        <w:rPr>
          <w:rFonts w:ascii="Times New Roman" w:hAnsi="Times New Roman" w:cs="Times New Roman"/>
          <w:bCs/>
          <w:color w:val="0070C0"/>
        </w:rPr>
        <w:t>beneficiaries</w:t>
      </w:r>
      <w:r w:rsidRPr="00BC37E8">
        <w:rPr>
          <w:rFonts w:ascii="Times New Roman" w:hAnsi="Times New Roman" w:cs="Times New Roman"/>
          <w:bCs/>
          <w:color w:val="0070C0"/>
        </w:rPr>
        <w:t xml:space="preserve"> in both performance periods</w:t>
      </w:r>
      <w:r w:rsidR="00D05D38">
        <w:rPr>
          <w:rFonts w:ascii="Times New Roman" w:hAnsi="Times New Roman" w:cs="Times New Roman"/>
          <w:bCs/>
          <w:color w:val="0070C0"/>
        </w:rPr>
        <w:t xml:space="preserve"> were included</w:t>
      </w:r>
      <w:r w:rsidRPr="00BC37E8">
        <w:rPr>
          <w:rFonts w:ascii="Times New Roman" w:hAnsi="Times New Roman" w:cs="Times New Roman"/>
          <w:bCs/>
          <w:color w:val="0070C0"/>
        </w:rPr>
        <w:t xml:space="preserve">. The sample was stratified by the </w:t>
      </w:r>
      <w:r w:rsidR="00540E5B" w:rsidRPr="00BC37E8">
        <w:rPr>
          <w:rFonts w:ascii="Times New Roman" w:hAnsi="Times New Roman" w:cs="Times New Roman"/>
          <w:bCs/>
          <w:color w:val="0070C0"/>
        </w:rPr>
        <w:t>performance</w:t>
      </w:r>
      <w:r w:rsidRPr="00BC37E8">
        <w:rPr>
          <w:rFonts w:ascii="Times New Roman" w:hAnsi="Times New Roman" w:cs="Times New Roman"/>
          <w:bCs/>
          <w:color w:val="0070C0"/>
        </w:rPr>
        <w:t xml:space="preserve"> years, thus ensuring that </w:t>
      </w:r>
      <w:r w:rsidR="00540E5B" w:rsidRPr="00BC37E8">
        <w:rPr>
          <w:rFonts w:ascii="Times New Roman" w:hAnsi="Times New Roman" w:cs="Times New Roman"/>
          <w:bCs/>
          <w:color w:val="0070C0"/>
        </w:rPr>
        <w:t>beneficiaries</w:t>
      </w:r>
      <w:r w:rsidRPr="00BC37E8">
        <w:rPr>
          <w:rFonts w:ascii="Times New Roman" w:hAnsi="Times New Roman" w:cs="Times New Roman"/>
          <w:bCs/>
          <w:color w:val="0070C0"/>
        </w:rPr>
        <w:t xml:space="preserve"> within each year were evenly distributed across the split-halves for a given TIN or TIN-NPI.  The split-half samples were used to calculate each sample’s performance measure scores using the same specification. We then calculated Shrout-Fleiss intraclass correlation coefficients ICC(2,1</w:t>
      </w:r>
      <w:r w:rsidR="00854D4B" w:rsidRPr="00BC37E8">
        <w:rPr>
          <w:rFonts w:ascii="Times New Roman" w:hAnsi="Times New Roman" w:cs="Times New Roman"/>
          <w:bCs/>
          <w:color w:val="0070C0"/>
        </w:rPr>
        <w:t>) between</w:t>
      </w:r>
      <w:r w:rsidRPr="00BC37E8">
        <w:rPr>
          <w:rFonts w:ascii="Times New Roman" w:hAnsi="Times New Roman" w:cs="Times New Roman"/>
          <w:bCs/>
          <w:color w:val="0070C0"/>
        </w:rPr>
        <w:t xml:space="preserve"> the different performance scores to measure reliability. Lower ICC scores indicate less correlation between the two estimates, a score of 1 would mean the estimated are exactly the same.</w:t>
      </w:r>
    </w:p>
    <w:p w14:paraId="2D5D0B19" w14:textId="77777777" w:rsidR="002E18ED" w:rsidRPr="007B0444" w:rsidRDefault="002E18ED" w:rsidP="008C54A9">
      <w:pPr>
        <w:autoSpaceDE w:val="0"/>
        <w:autoSpaceDN w:val="0"/>
        <w:adjustRightInd w:val="0"/>
        <w:spacing w:after="0" w:line="240" w:lineRule="auto"/>
        <w:rPr>
          <w:rFonts w:cstheme="minorHAnsi"/>
          <w:bCs/>
        </w:rPr>
      </w:pPr>
    </w:p>
    <w:p w14:paraId="7E640F66" w14:textId="77777777" w:rsidR="00621F8D" w:rsidRPr="007B0444" w:rsidRDefault="00092566" w:rsidP="008C54A9">
      <w:pPr>
        <w:autoSpaceDE w:val="0"/>
        <w:autoSpaceDN w:val="0"/>
        <w:adjustRightInd w:val="0"/>
        <w:spacing w:after="0" w:line="240" w:lineRule="auto"/>
        <w:rPr>
          <w:rFonts w:cstheme="minorHAnsi"/>
          <w:bCs/>
        </w:rPr>
      </w:pPr>
      <w:r w:rsidRPr="007B0444">
        <w:rPr>
          <w:rFonts w:cstheme="minorHAnsi"/>
          <w:b/>
          <w:bCs/>
        </w:rPr>
        <w:t>2a2.</w:t>
      </w:r>
      <w:r w:rsidR="008C54A9" w:rsidRPr="007B0444">
        <w:rPr>
          <w:rFonts w:cstheme="minorHAnsi"/>
          <w:b/>
          <w:bCs/>
        </w:rPr>
        <w:t xml:space="preserve">3. For each level </w:t>
      </w:r>
      <w:r w:rsidR="008F7E67" w:rsidRPr="007B0444">
        <w:rPr>
          <w:rFonts w:cstheme="minorHAnsi"/>
          <w:b/>
          <w:bCs/>
        </w:rPr>
        <w:t xml:space="preserve">of testing </w:t>
      </w:r>
      <w:r w:rsidR="008C54A9" w:rsidRPr="007B0444">
        <w:rPr>
          <w:rFonts w:cstheme="minorHAnsi"/>
          <w:b/>
          <w:bCs/>
        </w:rPr>
        <w:t>checked above, w</w:t>
      </w:r>
      <w:r w:rsidR="00900DBF" w:rsidRPr="007B0444">
        <w:rPr>
          <w:rFonts w:cstheme="minorHAnsi"/>
          <w:b/>
          <w:bCs/>
        </w:rPr>
        <w:t>hat were the statistical results</w:t>
      </w:r>
      <w:r w:rsidR="007422FD" w:rsidRPr="007B0444">
        <w:rPr>
          <w:rFonts w:cstheme="minorHAnsi"/>
          <w:b/>
          <w:bCs/>
        </w:rPr>
        <w:t xml:space="preserve"> from reliability testing</w:t>
      </w:r>
      <w:r w:rsidR="00900DBF" w:rsidRPr="007B0444">
        <w:rPr>
          <w:rFonts w:cstheme="minorHAnsi"/>
          <w:bCs/>
        </w:rPr>
        <w:t>?</w:t>
      </w:r>
      <w:r w:rsidR="00B037BA" w:rsidRPr="007B0444">
        <w:rPr>
          <w:rFonts w:cstheme="minorHAnsi"/>
          <w:bCs/>
        </w:rPr>
        <w:t xml:space="preserve"> </w:t>
      </w:r>
      <w:r w:rsidR="00AA5213" w:rsidRPr="007B0444">
        <w:rPr>
          <w:rFonts w:cstheme="minorHAnsi"/>
          <w:bCs/>
        </w:rPr>
        <w:t xml:space="preserve"> (e</w:t>
      </w:r>
      <w:r w:rsidR="00AA5213" w:rsidRPr="007B0444">
        <w:rPr>
          <w:rFonts w:cstheme="minorHAnsi"/>
          <w:bCs/>
          <w:i/>
        </w:rPr>
        <w:t>.g., percent agreement and kappa for the critical data elements; distribution of reliability statistics from a signal-to-noise analysis</w:t>
      </w:r>
      <w:r w:rsidR="00AA5213" w:rsidRPr="007B0444">
        <w:rPr>
          <w:rFonts w:cstheme="minorHAnsi"/>
          <w:bCs/>
        </w:rPr>
        <w:t>)</w:t>
      </w:r>
    </w:p>
    <w:p w14:paraId="2E6C3013" w14:textId="3BA73AC6" w:rsidR="009B6809" w:rsidRPr="009B6809" w:rsidRDefault="002C2436" w:rsidP="004B5AC8">
      <w:pPr>
        <w:keepNext/>
        <w:autoSpaceDE w:val="0"/>
        <w:autoSpaceDN w:val="0"/>
        <w:adjustRightInd w:val="0"/>
        <w:spacing w:after="0" w:line="240" w:lineRule="auto"/>
        <w:rPr>
          <w:rFonts w:cstheme="minorHAnsi"/>
          <w:bCs/>
          <w:color w:val="0070C0"/>
        </w:rPr>
      </w:pPr>
      <w:r w:rsidRPr="00BC37E8">
        <w:rPr>
          <w:rFonts w:ascii="Times New Roman" w:hAnsi="Times New Roman" w:cs="Times New Roman"/>
          <w:b/>
          <w:bCs/>
          <w:color w:val="0070C0"/>
        </w:rPr>
        <w:t>Reliability Score</w:t>
      </w:r>
      <w:r w:rsidR="00FB2D16" w:rsidRPr="00BC37E8">
        <w:rPr>
          <w:rFonts w:ascii="Times New Roman" w:hAnsi="Times New Roman" w:cs="Times New Roman"/>
          <w:bCs/>
          <w:color w:val="0070C0"/>
        </w:rPr>
        <w:t xml:space="preserve"> </w:t>
      </w:r>
      <w:r w:rsidR="00FB2D16" w:rsidRPr="00BC37E8">
        <w:rPr>
          <w:rFonts w:ascii="Times New Roman" w:hAnsi="Times New Roman" w:cs="Times New Roman"/>
          <w:b/>
          <w:bCs/>
          <w:color w:val="0070C0"/>
        </w:rPr>
        <w:t>Results.</w:t>
      </w:r>
      <w:r w:rsidR="00FB2D16" w:rsidRPr="00BC37E8">
        <w:rPr>
          <w:rFonts w:ascii="Times New Roman" w:hAnsi="Times New Roman" w:cs="Times New Roman"/>
          <w:bCs/>
          <w:color w:val="0070C0"/>
        </w:rPr>
        <w:t xml:space="preserve"> </w:t>
      </w:r>
      <w:r w:rsidR="00540E5B" w:rsidRPr="00BC37E8">
        <w:rPr>
          <w:rFonts w:ascii="Times New Roman" w:hAnsi="Times New Roman" w:cs="Times New Roman"/>
          <w:b/>
          <w:bCs/>
          <w:color w:val="0070C0"/>
        </w:rPr>
        <w:t>Table 1</w:t>
      </w:r>
      <w:r w:rsidR="00540E5B" w:rsidRPr="00BC37E8">
        <w:rPr>
          <w:rFonts w:ascii="Times New Roman" w:hAnsi="Times New Roman" w:cs="Times New Roman"/>
          <w:bCs/>
          <w:color w:val="0070C0"/>
        </w:rPr>
        <w:t xml:space="preserve"> presents the distribution of reliability scores for TINs and TIN-NPIs overall</w:t>
      </w:r>
      <w:r w:rsidR="00D05D38">
        <w:rPr>
          <w:rFonts w:ascii="Times New Roman" w:hAnsi="Times New Roman" w:cs="Times New Roman"/>
          <w:bCs/>
          <w:color w:val="0070C0"/>
        </w:rPr>
        <w:t>.</w:t>
      </w:r>
      <w:r w:rsidR="00540E5B" w:rsidRPr="00BC37E8">
        <w:rPr>
          <w:rFonts w:ascii="Times New Roman" w:hAnsi="Times New Roman" w:cs="Times New Roman"/>
          <w:bCs/>
          <w:color w:val="0070C0"/>
        </w:rPr>
        <w:t xml:space="preserve"> At a testing volume threshold of at least </w:t>
      </w:r>
      <w:r w:rsidR="00A70687" w:rsidRPr="00BC37E8">
        <w:rPr>
          <w:rFonts w:ascii="Times New Roman" w:hAnsi="Times New Roman" w:cs="Times New Roman"/>
          <w:bCs/>
          <w:color w:val="0070C0"/>
        </w:rPr>
        <w:t>20</w:t>
      </w:r>
      <w:r w:rsidR="00540E5B" w:rsidRPr="00BC37E8">
        <w:rPr>
          <w:rFonts w:ascii="Times New Roman" w:hAnsi="Times New Roman" w:cs="Times New Roman"/>
          <w:bCs/>
          <w:color w:val="0070C0"/>
        </w:rPr>
        <w:t xml:space="preserve"> </w:t>
      </w:r>
      <w:r w:rsidR="00A70687" w:rsidRPr="00BC37E8">
        <w:rPr>
          <w:rFonts w:ascii="Times New Roman" w:hAnsi="Times New Roman" w:cs="Times New Roman"/>
          <w:bCs/>
          <w:color w:val="0070C0"/>
        </w:rPr>
        <w:t xml:space="preserve">beneficiaries </w:t>
      </w:r>
      <w:r w:rsidR="00540E5B" w:rsidRPr="00BC37E8">
        <w:rPr>
          <w:rFonts w:ascii="Times New Roman" w:hAnsi="Times New Roman" w:cs="Times New Roman"/>
          <w:bCs/>
          <w:color w:val="0070C0"/>
        </w:rPr>
        <w:t>(the case minimum for the measure in the MIPS 2020 performance period) the mean reliability for TINs is 0.</w:t>
      </w:r>
      <w:r w:rsidR="00C43A71" w:rsidRPr="00BC37E8">
        <w:rPr>
          <w:rFonts w:ascii="Times New Roman" w:hAnsi="Times New Roman" w:cs="Times New Roman"/>
          <w:bCs/>
          <w:color w:val="0070C0"/>
        </w:rPr>
        <w:t>84</w:t>
      </w:r>
      <w:r w:rsidR="00540E5B" w:rsidRPr="00BC37E8">
        <w:rPr>
          <w:rFonts w:ascii="Times New Roman" w:hAnsi="Times New Roman" w:cs="Times New Roman"/>
          <w:bCs/>
          <w:color w:val="0070C0"/>
        </w:rPr>
        <w:t xml:space="preserve"> and for TIN-NPIs is 0.</w:t>
      </w:r>
      <w:r w:rsidR="00C43A71" w:rsidRPr="00BC37E8">
        <w:rPr>
          <w:rFonts w:ascii="Times New Roman" w:hAnsi="Times New Roman" w:cs="Times New Roman"/>
          <w:bCs/>
          <w:color w:val="0070C0"/>
        </w:rPr>
        <w:t>88</w:t>
      </w:r>
      <w:r w:rsidR="00540E5B" w:rsidRPr="00BC37E8">
        <w:rPr>
          <w:rFonts w:ascii="Times New Roman" w:hAnsi="Times New Roman" w:cs="Times New Roman"/>
          <w:bCs/>
          <w:color w:val="0070C0"/>
        </w:rPr>
        <w:t>. 100 percent of TINs and TIN-NPIs at the reporting case minimum have reliability greater than or equal to 0.4, the standard that CMS generally considers as the threshold for ‘moderate’ reliability</w:t>
      </w:r>
      <w:r w:rsidR="00531010" w:rsidRPr="00BC37E8">
        <w:rPr>
          <w:rFonts w:ascii="Times New Roman" w:hAnsi="Times New Roman" w:cs="Times New Roman"/>
          <w:bCs/>
          <w:color w:val="0070C0"/>
        </w:rPr>
        <w:t>.</w:t>
      </w:r>
      <w:r w:rsidR="00A70687" w:rsidRPr="00BC37E8">
        <w:rPr>
          <w:rStyle w:val="FootnoteReference"/>
          <w:rFonts w:ascii="Times New Roman" w:hAnsi="Times New Roman"/>
          <w:bCs/>
          <w:color w:val="0070C0"/>
        </w:rPr>
        <w:footnoteReference w:id="3"/>
      </w:r>
      <w:r w:rsidR="00531010" w:rsidRPr="00BC37E8">
        <w:rPr>
          <w:rFonts w:ascii="Times New Roman" w:hAnsi="Times New Roman" w:cs="Times New Roman"/>
          <w:bCs/>
          <w:color w:val="0070C0"/>
        </w:rPr>
        <w:t xml:space="preserve"> </w:t>
      </w:r>
      <w:r w:rsidR="00D05D38" w:rsidRPr="004C5C9D">
        <w:rPr>
          <w:rFonts w:ascii="Times New Roman" w:hAnsi="Times New Roman" w:cs="Times New Roman"/>
          <w:bCs/>
          <w:color w:val="0070C0"/>
        </w:rPr>
        <w:t>Mean reliability increases with increasing volume thresholds. While higher volume thresholds yield even higher reliability results, it is at the cost of further reducing the number of clinicians and clinician groups able to receive a measure score.</w:t>
      </w:r>
    </w:p>
    <w:p w14:paraId="3FCFFE3F" w14:textId="77777777" w:rsidR="009B6809" w:rsidRDefault="009B6809" w:rsidP="009B6809">
      <w:pPr>
        <w:autoSpaceDE w:val="0"/>
        <w:autoSpaceDN w:val="0"/>
        <w:adjustRightInd w:val="0"/>
        <w:spacing w:after="0" w:line="240" w:lineRule="auto"/>
        <w:rPr>
          <w:rFonts w:cstheme="minorHAnsi"/>
          <w:b/>
          <w:bCs/>
          <w:iCs/>
          <w:color w:val="0070C0"/>
        </w:rPr>
      </w:pPr>
    </w:p>
    <w:p w14:paraId="185E92BC" w14:textId="5AE47ADF" w:rsidR="000A6691" w:rsidRPr="00361530" w:rsidRDefault="000A6691" w:rsidP="008F31A6">
      <w:pPr>
        <w:keepNext/>
        <w:autoSpaceDE w:val="0"/>
        <w:autoSpaceDN w:val="0"/>
        <w:adjustRightInd w:val="0"/>
        <w:spacing w:after="0" w:line="240" w:lineRule="auto"/>
        <w:jc w:val="center"/>
        <w:rPr>
          <w:rFonts w:ascii="Times New Roman" w:hAnsi="Times New Roman" w:cs="Times New Roman"/>
          <w:b/>
          <w:bCs/>
          <w:iCs/>
          <w:color w:val="000000" w:themeColor="text1"/>
        </w:rPr>
      </w:pPr>
      <w:r w:rsidRPr="00361530">
        <w:rPr>
          <w:rFonts w:ascii="Times New Roman" w:hAnsi="Times New Roman" w:cs="Times New Roman"/>
          <w:b/>
          <w:bCs/>
          <w:iCs/>
          <w:color w:val="000000" w:themeColor="text1"/>
        </w:rPr>
        <w:lastRenderedPageBreak/>
        <w:t xml:space="preserve">Table 1. Distribution of Reliability Score Results for TINs and TIN-NPIs with an </w:t>
      </w:r>
      <w:r w:rsidR="00D05D38">
        <w:rPr>
          <w:rFonts w:ascii="Times New Roman" w:hAnsi="Times New Roman" w:cs="Times New Roman"/>
          <w:b/>
          <w:bCs/>
          <w:iCs/>
          <w:color w:val="000000" w:themeColor="text1"/>
        </w:rPr>
        <w:t>O</w:t>
      </w:r>
      <w:r w:rsidRPr="00361530">
        <w:rPr>
          <w:rFonts w:ascii="Times New Roman" w:hAnsi="Times New Roman" w:cs="Times New Roman"/>
          <w:b/>
          <w:bCs/>
          <w:iCs/>
          <w:color w:val="000000" w:themeColor="text1"/>
        </w:rPr>
        <w:t>verall Testing Volume Threshold of 20 Beneficiaries</w:t>
      </w:r>
      <w:r w:rsidRPr="00361530" w:rsidDel="00197317">
        <w:rPr>
          <w:rFonts w:ascii="Times New Roman" w:hAnsi="Times New Roman" w:cs="Times New Roman"/>
          <w:b/>
          <w:bCs/>
          <w:iCs/>
          <w:color w:val="000000" w:themeColor="text1"/>
        </w:rPr>
        <w:t xml:space="preserve"> </w:t>
      </w:r>
    </w:p>
    <w:tbl>
      <w:tblPr>
        <w:tblStyle w:val="TableGrid"/>
        <w:tblW w:w="8547" w:type="dxa"/>
        <w:jc w:val="center"/>
        <w:tblLook w:val="04A0" w:firstRow="1" w:lastRow="0" w:firstColumn="1" w:lastColumn="0" w:noHBand="0" w:noVBand="1"/>
      </w:tblPr>
      <w:tblGrid>
        <w:gridCol w:w="3240"/>
        <w:gridCol w:w="1710"/>
        <w:gridCol w:w="1260"/>
        <w:gridCol w:w="810"/>
        <w:gridCol w:w="810"/>
        <w:gridCol w:w="717"/>
      </w:tblGrid>
      <w:tr w:rsidR="00D05D38" w:rsidRPr="00CA10A7" w14:paraId="16005B13" w14:textId="77777777" w:rsidTr="004B5AC8">
        <w:trPr>
          <w:jc w:val="center"/>
        </w:trPr>
        <w:tc>
          <w:tcPr>
            <w:tcW w:w="3240" w:type="dxa"/>
            <w:tcBorders>
              <w:bottom w:val="single" w:sz="12" w:space="0" w:color="auto"/>
            </w:tcBorders>
            <w:shd w:val="clear" w:color="auto" w:fill="305496"/>
          </w:tcPr>
          <w:p w14:paraId="7F2FFC0D" w14:textId="0A4A9E6C" w:rsidR="00D05D38" w:rsidRPr="00361530" w:rsidRDefault="00CA30EA" w:rsidP="008F31A6">
            <w:pPr>
              <w:keepNext/>
              <w:jc w:val="center"/>
              <w:rPr>
                <w:rFonts w:ascii="Arial" w:hAnsi="Arial" w:cs="Arial"/>
                <w:b/>
                <w:color w:val="FFFFFF" w:themeColor="background1"/>
                <w:sz w:val="20"/>
                <w:szCs w:val="20"/>
              </w:rPr>
            </w:pPr>
            <w:r>
              <w:rPr>
                <w:rFonts w:ascii="Arial" w:hAnsi="Arial" w:cs="Arial"/>
                <w:b/>
                <w:color w:val="FFFFFF" w:themeColor="background1"/>
                <w:sz w:val="20"/>
                <w:szCs w:val="20"/>
              </w:rPr>
              <w:t>Reporting Level</w:t>
            </w:r>
          </w:p>
        </w:tc>
        <w:tc>
          <w:tcPr>
            <w:tcW w:w="1710" w:type="dxa"/>
            <w:tcBorders>
              <w:bottom w:val="single" w:sz="12" w:space="0" w:color="auto"/>
            </w:tcBorders>
            <w:shd w:val="clear" w:color="auto" w:fill="305496"/>
          </w:tcPr>
          <w:p w14:paraId="6EE5830B" w14:textId="77777777" w:rsidR="00D05D38" w:rsidRPr="00361530" w:rsidRDefault="00D05D38" w:rsidP="008F31A6">
            <w:pPr>
              <w:keepNext/>
              <w:jc w:val="center"/>
              <w:rPr>
                <w:rFonts w:ascii="Arial" w:hAnsi="Arial" w:cs="Arial"/>
                <w:b/>
                <w:color w:val="FFFFFF" w:themeColor="background1"/>
                <w:sz w:val="20"/>
                <w:szCs w:val="20"/>
              </w:rPr>
            </w:pPr>
            <w:r w:rsidRPr="00361530">
              <w:rPr>
                <w:rFonts w:ascii="Arial" w:hAnsi="Arial" w:cs="Arial"/>
                <w:b/>
                <w:color w:val="FFFFFF" w:themeColor="background1"/>
                <w:sz w:val="20"/>
                <w:szCs w:val="20"/>
              </w:rPr>
              <w:t>Number of TINs or TIN-NPIs</w:t>
            </w:r>
          </w:p>
        </w:tc>
        <w:tc>
          <w:tcPr>
            <w:tcW w:w="1260" w:type="dxa"/>
            <w:tcBorders>
              <w:bottom w:val="single" w:sz="12" w:space="0" w:color="auto"/>
            </w:tcBorders>
            <w:shd w:val="clear" w:color="auto" w:fill="305496"/>
          </w:tcPr>
          <w:p w14:paraId="75E134CE" w14:textId="77777777" w:rsidR="00D05D38" w:rsidRPr="00361530" w:rsidRDefault="00D05D38" w:rsidP="008F31A6">
            <w:pPr>
              <w:keepNext/>
              <w:jc w:val="center"/>
              <w:rPr>
                <w:rFonts w:ascii="Arial" w:hAnsi="Arial" w:cs="Arial"/>
                <w:b/>
                <w:color w:val="FFFFFF" w:themeColor="background1"/>
                <w:sz w:val="20"/>
                <w:szCs w:val="20"/>
              </w:rPr>
            </w:pPr>
            <w:r w:rsidRPr="00361530">
              <w:rPr>
                <w:rFonts w:ascii="Arial" w:hAnsi="Arial" w:cs="Arial"/>
                <w:b/>
                <w:color w:val="FFFFFF" w:themeColor="background1"/>
                <w:sz w:val="20"/>
                <w:szCs w:val="20"/>
              </w:rPr>
              <w:t>Mean (Std. Dev.)</w:t>
            </w:r>
          </w:p>
        </w:tc>
        <w:tc>
          <w:tcPr>
            <w:tcW w:w="810" w:type="dxa"/>
            <w:tcBorders>
              <w:bottom w:val="single" w:sz="12" w:space="0" w:color="auto"/>
            </w:tcBorders>
            <w:shd w:val="clear" w:color="auto" w:fill="305496"/>
          </w:tcPr>
          <w:p w14:paraId="171DCD1C" w14:textId="77777777" w:rsidR="00D05D38" w:rsidRPr="00361530" w:rsidRDefault="00D05D38" w:rsidP="008F31A6">
            <w:pPr>
              <w:keepNext/>
              <w:jc w:val="center"/>
              <w:rPr>
                <w:rFonts w:ascii="Arial" w:hAnsi="Arial" w:cs="Arial"/>
                <w:b/>
                <w:color w:val="FFFFFF" w:themeColor="background1"/>
                <w:sz w:val="20"/>
                <w:szCs w:val="20"/>
              </w:rPr>
            </w:pPr>
            <w:r w:rsidRPr="00361530">
              <w:rPr>
                <w:rFonts w:ascii="Arial" w:hAnsi="Arial" w:cs="Arial"/>
                <w:b/>
                <w:color w:val="FFFFFF" w:themeColor="background1"/>
                <w:sz w:val="20"/>
                <w:szCs w:val="20"/>
              </w:rPr>
              <w:t>25</w:t>
            </w:r>
            <w:r w:rsidRPr="00361530">
              <w:rPr>
                <w:rFonts w:ascii="Arial" w:hAnsi="Arial" w:cs="Arial"/>
                <w:b/>
                <w:color w:val="FFFFFF" w:themeColor="background1"/>
                <w:sz w:val="20"/>
                <w:szCs w:val="20"/>
                <w:vertAlign w:val="superscript"/>
              </w:rPr>
              <w:t>th</w:t>
            </w:r>
            <w:r w:rsidRPr="00361530">
              <w:rPr>
                <w:rFonts w:ascii="Arial" w:hAnsi="Arial" w:cs="Arial"/>
                <w:b/>
                <w:color w:val="FFFFFF" w:themeColor="background1"/>
                <w:sz w:val="20"/>
                <w:szCs w:val="20"/>
              </w:rPr>
              <w:t xml:space="preserve"> Pct.</w:t>
            </w:r>
          </w:p>
        </w:tc>
        <w:tc>
          <w:tcPr>
            <w:tcW w:w="810" w:type="dxa"/>
            <w:tcBorders>
              <w:bottom w:val="single" w:sz="12" w:space="0" w:color="auto"/>
            </w:tcBorders>
            <w:shd w:val="clear" w:color="auto" w:fill="305496"/>
          </w:tcPr>
          <w:p w14:paraId="6D5278A5" w14:textId="77777777" w:rsidR="00D05D38" w:rsidRPr="00361530" w:rsidRDefault="00D05D38" w:rsidP="008F31A6">
            <w:pPr>
              <w:keepNext/>
              <w:jc w:val="center"/>
              <w:rPr>
                <w:rFonts w:ascii="Arial" w:hAnsi="Arial" w:cs="Arial"/>
                <w:b/>
                <w:color w:val="FFFFFF" w:themeColor="background1"/>
                <w:sz w:val="20"/>
                <w:szCs w:val="20"/>
              </w:rPr>
            </w:pPr>
            <w:r w:rsidRPr="00361530">
              <w:rPr>
                <w:rFonts w:ascii="Arial" w:hAnsi="Arial" w:cs="Arial"/>
                <w:b/>
                <w:color w:val="FFFFFF" w:themeColor="background1"/>
                <w:sz w:val="20"/>
                <w:szCs w:val="20"/>
              </w:rPr>
              <w:t>50</w:t>
            </w:r>
            <w:r w:rsidRPr="00361530">
              <w:rPr>
                <w:rFonts w:ascii="Arial" w:hAnsi="Arial" w:cs="Arial"/>
                <w:b/>
                <w:color w:val="FFFFFF" w:themeColor="background1"/>
                <w:sz w:val="20"/>
                <w:szCs w:val="20"/>
                <w:vertAlign w:val="superscript"/>
              </w:rPr>
              <w:t>th</w:t>
            </w:r>
            <w:r w:rsidRPr="00361530">
              <w:rPr>
                <w:rFonts w:ascii="Arial" w:hAnsi="Arial" w:cs="Arial"/>
                <w:b/>
                <w:color w:val="FFFFFF" w:themeColor="background1"/>
                <w:sz w:val="20"/>
                <w:szCs w:val="20"/>
              </w:rPr>
              <w:t xml:space="preserve"> Pct.</w:t>
            </w:r>
          </w:p>
        </w:tc>
        <w:tc>
          <w:tcPr>
            <w:tcW w:w="717" w:type="dxa"/>
            <w:tcBorders>
              <w:bottom w:val="single" w:sz="12" w:space="0" w:color="auto"/>
            </w:tcBorders>
            <w:shd w:val="clear" w:color="auto" w:fill="305496"/>
          </w:tcPr>
          <w:p w14:paraId="0FEB4B1B" w14:textId="77777777" w:rsidR="00D05D38" w:rsidRPr="00361530" w:rsidRDefault="00D05D38" w:rsidP="008F31A6">
            <w:pPr>
              <w:keepNext/>
              <w:jc w:val="center"/>
              <w:rPr>
                <w:rFonts w:ascii="Arial" w:hAnsi="Arial" w:cs="Arial"/>
                <w:b/>
                <w:color w:val="FFFFFF" w:themeColor="background1"/>
                <w:sz w:val="20"/>
                <w:szCs w:val="20"/>
              </w:rPr>
            </w:pPr>
            <w:r w:rsidRPr="00361530">
              <w:rPr>
                <w:rFonts w:ascii="Arial" w:hAnsi="Arial" w:cs="Arial"/>
                <w:b/>
                <w:color w:val="FFFFFF" w:themeColor="background1"/>
                <w:sz w:val="20"/>
                <w:szCs w:val="20"/>
              </w:rPr>
              <w:t>75</w:t>
            </w:r>
            <w:r w:rsidRPr="00361530">
              <w:rPr>
                <w:rFonts w:ascii="Arial" w:hAnsi="Arial" w:cs="Arial"/>
                <w:b/>
                <w:color w:val="FFFFFF" w:themeColor="background1"/>
                <w:sz w:val="20"/>
                <w:szCs w:val="20"/>
                <w:vertAlign w:val="superscript"/>
              </w:rPr>
              <w:t>th</w:t>
            </w:r>
            <w:r w:rsidRPr="00361530">
              <w:rPr>
                <w:rFonts w:ascii="Arial" w:hAnsi="Arial" w:cs="Arial"/>
                <w:b/>
                <w:color w:val="FFFFFF" w:themeColor="background1"/>
                <w:sz w:val="20"/>
                <w:szCs w:val="20"/>
              </w:rPr>
              <w:t xml:space="preserve"> Pct.</w:t>
            </w:r>
          </w:p>
        </w:tc>
      </w:tr>
      <w:tr w:rsidR="00D05D38" w:rsidRPr="00CA10A7" w14:paraId="78061EE1" w14:textId="77777777" w:rsidTr="004B5AC8">
        <w:trPr>
          <w:jc w:val="center"/>
        </w:trPr>
        <w:tc>
          <w:tcPr>
            <w:tcW w:w="3240" w:type="dxa"/>
            <w:tcBorders>
              <w:top w:val="single" w:sz="4" w:space="0" w:color="auto"/>
            </w:tcBorders>
          </w:tcPr>
          <w:p w14:paraId="26B2B528" w14:textId="6BAC4DCE" w:rsidR="00D05D38" w:rsidRPr="004B5AC8" w:rsidRDefault="00D05D38" w:rsidP="008F31A6">
            <w:pPr>
              <w:keepNext/>
              <w:rPr>
                <w:rFonts w:ascii="Arial" w:hAnsi="Arial" w:cs="Arial"/>
                <w:sz w:val="20"/>
                <w:szCs w:val="20"/>
              </w:rPr>
            </w:pPr>
            <w:r w:rsidRPr="004B5AC8">
              <w:rPr>
                <w:rFonts w:ascii="Arial" w:hAnsi="Arial" w:cs="Arial"/>
                <w:sz w:val="20"/>
                <w:szCs w:val="20"/>
              </w:rPr>
              <w:t>TIN</w:t>
            </w:r>
          </w:p>
        </w:tc>
        <w:tc>
          <w:tcPr>
            <w:tcW w:w="1710" w:type="dxa"/>
            <w:tcBorders>
              <w:top w:val="single" w:sz="4" w:space="0" w:color="auto"/>
            </w:tcBorders>
            <w:vAlign w:val="bottom"/>
          </w:tcPr>
          <w:p w14:paraId="30DC7D6C" w14:textId="43510850"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74,191</w:t>
            </w:r>
          </w:p>
        </w:tc>
        <w:tc>
          <w:tcPr>
            <w:tcW w:w="1260" w:type="dxa"/>
            <w:tcBorders>
              <w:top w:val="single" w:sz="4" w:space="0" w:color="auto"/>
            </w:tcBorders>
            <w:vAlign w:val="center"/>
          </w:tcPr>
          <w:p w14:paraId="15C4736D" w14:textId="1DB618D5"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0.84</w:t>
            </w:r>
            <w:r w:rsidR="008B099E">
              <w:rPr>
                <w:rFonts w:ascii="Arial" w:hAnsi="Arial" w:cs="Arial"/>
                <w:color w:val="000000"/>
                <w:sz w:val="20"/>
                <w:szCs w:val="20"/>
              </w:rPr>
              <w:t xml:space="preserve"> </w:t>
            </w:r>
            <w:r w:rsidRPr="004B5AC8">
              <w:rPr>
                <w:rFonts w:ascii="Arial" w:hAnsi="Arial" w:cs="Arial"/>
                <w:color w:val="000000"/>
                <w:sz w:val="20"/>
                <w:szCs w:val="20"/>
              </w:rPr>
              <w:t>(0.14)</w:t>
            </w:r>
          </w:p>
        </w:tc>
        <w:tc>
          <w:tcPr>
            <w:tcW w:w="810" w:type="dxa"/>
            <w:tcBorders>
              <w:top w:val="single" w:sz="4" w:space="0" w:color="auto"/>
            </w:tcBorders>
            <w:vAlign w:val="center"/>
          </w:tcPr>
          <w:p w14:paraId="316A96D3" w14:textId="2699B7CC"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0.77</w:t>
            </w:r>
          </w:p>
        </w:tc>
        <w:tc>
          <w:tcPr>
            <w:tcW w:w="810" w:type="dxa"/>
            <w:tcBorders>
              <w:top w:val="single" w:sz="4" w:space="0" w:color="auto"/>
            </w:tcBorders>
            <w:vAlign w:val="center"/>
          </w:tcPr>
          <w:p w14:paraId="6128F19F" w14:textId="3DE45E20"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0.89</w:t>
            </w:r>
          </w:p>
        </w:tc>
        <w:tc>
          <w:tcPr>
            <w:tcW w:w="717" w:type="dxa"/>
            <w:tcBorders>
              <w:top w:val="single" w:sz="4" w:space="0" w:color="auto"/>
            </w:tcBorders>
            <w:vAlign w:val="center"/>
          </w:tcPr>
          <w:p w14:paraId="7ACA39D9" w14:textId="61497674"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0.95</w:t>
            </w:r>
          </w:p>
        </w:tc>
      </w:tr>
      <w:tr w:rsidR="00D05D38" w:rsidRPr="00CA10A7" w14:paraId="1C2D044F" w14:textId="77777777" w:rsidTr="004B5AC8">
        <w:trPr>
          <w:jc w:val="center"/>
        </w:trPr>
        <w:tc>
          <w:tcPr>
            <w:tcW w:w="3240" w:type="dxa"/>
            <w:tcBorders>
              <w:top w:val="single" w:sz="4" w:space="0" w:color="auto"/>
            </w:tcBorders>
          </w:tcPr>
          <w:p w14:paraId="0470AF15" w14:textId="4C31B6FF" w:rsidR="00D05D38" w:rsidRPr="004B5AC8" w:rsidRDefault="00D05D38" w:rsidP="008F31A6">
            <w:pPr>
              <w:keepNext/>
              <w:rPr>
                <w:rFonts w:ascii="Arial" w:hAnsi="Arial" w:cs="Arial"/>
                <w:sz w:val="20"/>
                <w:szCs w:val="20"/>
              </w:rPr>
            </w:pPr>
            <w:r w:rsidRPr="004B5AC8">
              <w:rPr>
                <w:rFonts w:ascii="Arial" w:hAnsi="Arial" w:cs="Arial"/>
                <w:sz w:val="20"/>
                <w:szCs w:val="20"/>
              </w:rPr>
              <w:t>TIN-NPI</w:t>
            </w:r>
          </w:p>
        </w:tc>
        <w:tc>
          <w:tcPr>
            <w:tcW w:w="1710" w:type="dxa"/>
            <w:tcBorders>
              <w:top w:val="single" w:sz="4" w:space="0" w:color="auto"/>
            </w:tcBorders>
            <w:vAlign w:val="bottom"/>
          </w:tcPr>
          <w:p w14:paraId="71F95ADE" w14:textId="6FCB1E7B"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335,480</w:t>
            </w:r>
          </w:p>
        </w:tc>
        <w:tc>
          <w:tcPr>
            <w:tcW w:w="1260" w:type="dxa"/>
            <w:tcBorders>
              <w:top w:val="single" w:sz="4" w:space="0" w:color="auto"/>
            </w:tcBorders>
            <w:vAlign w:val="center"/>
          </w:tcPr>
          <w:p w14:paraId="061FF73B" w14:textId="67B443D8"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0.88</w:t>
            </w:r>
            <w:r w:rsidR="008B099E">
              <w:rPr>
                <w:rFonts w:ascii="Arial" w:hAnsi="Arial" w:cs="Arial"/>
                <w:color w:val="000000"/>
                <w:sz w:val="20"/>
                <w:szCs w:val="20"/>
              </w:rPr>
              <w:t xml:space="preserve"> </w:t>
            </w:r>
            <w:r w:rsidRPr="004B5AC8">
              <w:rPr>
                <w:rFonts w:ascii="Arial" w:hAnsi="Arial" w:cs="Arial"/>
                <w:color w:val="000000"/>
                <w:sz w:val="20"/>
                <w:szCs w:val="20"/>
              </w:rPr>
              <w:t>(0.08)</w:t>
            </w:r>
          </w:p>
        </w:tc>
        <w:tc>
          <w:tcPr>
            <w:tcW w:w="810" w:type="dxa"/>
            <w:tcBorders>
              <w:top w:val="single" w:sz="4" w:space="0" w:color="auto"/>
            </w:tcBorders>
            <w:vAlign w:val="center"/>
          </w:tcPr>
          <w:p w14:paraId="5432617E" w14:textId="22917A2A"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0.83</w:t>
            </w:r>
          </w:p>
        </w:tc>
        <w:tc>
          <w:tcPr>
            <w:tcW w:w="810" w:type="dxa"/>
            <w:tcBorders>
              <w:top w:val="single" w:sz="4" w:space="0" w:color="auto"/>
            </w:tcBorders>
            <w:vAlign w:val="center"/>
          </w:tcPr>
          <w:p w14:paraId="2BD2EEE0" w14:textId="559ABC1F"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0.91</w:t>
            </w:r>
          </w:p>
        </w:tc>
        <w:tc>
          <w:tcPr>
            <w:tcW w:w="717" w:type="dxa"/>
            <w:tcBorders>
              <w:top w:val="single" w:sz="4" w:space="0" w:color="auto"/>
            </w:tcBorders>
            <w:vAlign w:val="center"/>
          </w:tcPr>
          <w:p w14:paraId="5622C185" w14:textId="4180EB41" w:rsidR="00D05D38" w:rsidRPr="004B5AC8" w:rsidRDefault="00D05D38" w:rsidP="008F31A6">
            <w:pPr>
              <w:keepNext/>
              <w:jc w:val="right"/>
              <w:rPr>
                <w:rFonts w:ascii="Arial" w:hAnsi="Arial" w:cs="Arial"/>
                <w:sz w:val="20"/>
                <w:szCs w:val="20"/>
              </w:rPr>
            </w:pPr>
            <w:r w:rsidRPr="004B5AC8">
              <w:rPr>
                <w:rFonts w:ascii="Arial" w:hAnsi="Arial" w:cs="Arial"/>
                <w:color w:val="000000"/>
                <w:sz w:val="20"/>
                <w:szCs w:val="20"/>
              </w:rPr>
              <w:t>0.95</w:t>
            </w:r>
          </w:p>
        </w:tc>
      </w:tr>
    </w:tbl>
    <w:p w14:paraId="60CE18C1" w14:textId="77777777" w:rsidR="00FE56FE" w:rsidRPr="007A6E3C" w:rsidRDefault="00FE56FE" w:rsidP="008F31A6">
      <w:pPr>
        <w:keepNext/>
        <w:autoSpaceDE w:val="0"/>
        <w:autoSpaceDN w:val="0"/>
        <w:adjustRightInd w:val="0"/>
        <w:spacing w:after="0" w:line="240" w:lineRule="auto"/>
        <w:ind w:firstLine="720"/>
        <w:rPr>
          <w:rFonts w:cstheme="minorHAnsi"/>
          <w:bCs/>
          <w:color w:val="000000" w:themeColor="text1"/>
          <w:sz w:val="20"/>
          <w:szCs w:val="20"/>
        </w:rPr>
      </w:pPr>
      <w:r w:rsidRPr="007A6E3C">
        <w:rPr>
          <w:rFonts w:cstheme="minorHAnsi"/>
          <w:bCs/>
          <w:color w:val="000000" w:themeColor="text1"/>
          <w:sz w:val="20"/>
          <w:szCs w:val="20"/>
        </w:rPr>
        <w:t>* Pct. = percentile.</w:t>
      </w:r>
    </w:p>
    <w:p w14:paraId="482C05EC" w14:textId="3CE11D6F" w:rsidR="009B6809" w:rsidRDefault="009B6809" w:rsidP="00F33DE8">
      <w:pPr>
        <w:autoSpaceDE w:val="0"/>
        <w:autoSpaceDN w:val="0"/>
        <w:adjustRightInd w:val="0"/>
        <w:spacing w:after="0" w:line="240" w:lineRule="auto"/>
        <w:rPr>
          <w:rFonts w:cstheme="minorHAnsi"/>
          <w:bCs/>
          <w:color w:val="0070C0"/>
        </w:rPr>
      </w:pPr>
    </w:p>
    <w:p w14:paraId="66641CA3" w14:textId="20280C7C" w:rsidR="00D05D38" w:rsidRDefault="00D05D38" w:rsidP="00F33DE8">
      <w:pPr>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In response to stakeholder interest in seeing the measure reliability for clinician groups of different practice size</w:t>
      </w:r>
      <w:r w:rsidRPr="004C5C9D">
        <w:rPr>
          <w:rFonts w:ascii="Times New Roman" w:hAnsi="Times New Roman" w:cs="Times New Roman"/>
          <w:bCs/>
          <w:color w:val="0070C0"/>
        </w:rPr>
        <w:t>,</w:t>
      </w:r>
      <w:r>
        <w:rPr>
          <w:rFonts w:ascii="Times New Roman" w:hAnsi="Times New Roman" w:cs="Times New Roman"/>
          <w:bCs/>
          <w:color w:val="0070C0"/>
        </w:rPr>
        <w:t xml:space="preserve"> </w:t>
      </w:r>
      <w:r w:rsidRPr="00445802">
        <w:rPr>
          <w:rFonts w:ascii="Times New Roman" w:hAnsi="Times New Roman" w:cs="Times New Roman"/>
          <w:b/>
          <w:bCs/>
          <w:color w:val="0070C0"/>
        </w:rPr>
        <w:t>Table 2</w:t>
      </w:r>
      <w:r>
        <w:rPr>
          <w:rFonts w:ascii="Times New Roman" w:hAnsi="Times New Roman" w:cs="Times New Roman"/>
          <w:bCs/>
          <w:color w:val="0070C0"/>
        </w:rPr>
        <w:t xml:space="preserve"> shows</w:t>
      </w:r>
      <w:r w:rsidRPr="004C5C9D">
        <w:rPr>
          <w:rFonts w:ascii="Times New Roman" w:hAnsi="Times New Roman" w:cs="Times New Roman"/>
          <w:bCs/>
          <w:color w:val="0070C0"/>
        </w:rPr>
        <w:t xml:space="preserve"> </w:t>
      </w:r>
      <w:r>
        <w:rPr>
          <w:rFonts w:ascii="Times New Roman" w:hAnsi="Times New Roman" w:cs="Times New Roman"/>
          <w:bCs/>
          <w:color w:val="0070C0"/>
        </w:rPr>
        <w:t xml:space="preserve">the distribution of reliability scores </w:t>
      </w:r>
      <w:r w:rsidRPr="004C5C9D">
        <w:rPr>
          <w:rFonts w:ascii="Times New Roman" w:hAnsi="Times New Roman" w:cs="Times New Roman"/>
          <w:bCs/>
          <w:color w:val="0070C0"/>
        </w:rPr>
        <w:t>by the number</w:t>
      </w:r>
      <w:r>
        <w:rPr>
          <w:rFonts w:ascii="Times New Roman" w:hAnsi="Times New Roman" w:cs="Times New Roman"/>
          <w:bCs/>
          <w:color w:val="0070C0"/>
        </w:rPr>
        <w:t xml:space="preserve"> of</w:t>
      </w:r>
      <w:r w:rsidRPr="004C5C9D">
        <w:rPr>
          <w:rFonts w:ascii="Times New Roman" w:hAnsi="Times New Roman" w:cs="Times New Roman"/>
          <w:bCs/>
          <w:color w:val="0070C0"/>
        </w:rPr>
        <w:t xml:space="preserve"> TIN</w:t>
      </w:r>
      <w:r>
        <w:rPr>
          <w:rFonts w:ascii="Times New Roman" w:hAnsi="Times New Roman" w:cs="Times New Roman"/>
          <w:bCs/>
          <w:color w:val="0070C0"/>
        </w:rPr>
        <w:t>-NPIs within a TIN.</w:t>
      </w:r>
      <w:r w:rsidRPr="004C5C9D">
        <w:rPr>
          <w:rFonts w:ascii="Times New Roman" w:hAnsi="Times New Roman" w:cs="Times New Roman"/>
          <w:bCs/>
          <w:color w:val="0070C0"/>
        </w:rPr>
        <w:t xml:space="preserve"> When examined by volume of </w:t>
      </w:r>
      <w:r>
        <w:rPr>
          <w:rFonts w:ascii="Times New Roman" w:hAnsi="Times New Roman" w:cs="Times New Roman"/>
          <w:bCs/>
          <w:color w:val="0070C0"/>
        </w:rPr>
        <w:t>clinicians within the practice</w:t>
      </w:r>
      <w:r w:rsidRPr="004C5C9D">
        <w:rPr>
          <w:rFonts w:ascii="Times New Roman" w:hAnsi="Times New Roman" w:cs="Times New Roman"/>
          <w:bCs/>
          <w:color w:val="0070C0"/>
        </w:rPr>
        <w:t>, the average reliability scores increases from 0.</w:t>
      </w:r>
      <w:r w:rsidR="007A1AA0">
        <w:rPr>
          <w:rFonts w:ascii="Times New Roman" w:hAnsi="Times New Roman" w:cs="Times New Roman"/>
          <w:bCs/>
          <w:color w:val="0070C0"/>
        </w:rPr>
        <w:t>81</w:t>
      </w:r>
      <w:r w:rsidRPr="004C5C9D">
        <w:rPr>
          <w:rFonts w:ascii="Times New Roman" w:hAnsi="Times New Roman" w:cs="Times New Roman"/>
          <w:bCs/>
          <w:color w:val="0070C0"/>
        </w:rPr>
        <w:t xml:space="preserve"> (</w:t>
      </w:r>
      <w:r>
        <w:rPr>
          <w:rFonts w:ascii="Times New Roman" w:hAnsi="Times New Roman" w:cs="Times New Roman"/>
          <w:bCs/>
          <w:color w:val="0070C0"/>
        </w:rPr>
        <w:t>1 clinician</w:t>
      </w:r>
      <w:r w:rsidRPr="004C5C9D">
        <w:rPr>
          <w:rFonts w:ascii="Times New Roman" w:hAnsi="Times New Roman" w:cs="Times New Roman"/>
          <w:bCs/>
          <w:color w:val="0070C0"/>
        </w:rPr>
        <w:t>) to 0.9</w:t>
      </w:r>
      <w:r w:rsidR="007A1AA0">
        <w:rPr>
          <w:rFonts w:ascii="Times New Roman" w:hAnsi="Times New Roman" w:cs="Times New Roman"/>
          <w:bCs/>
          <w:color w:val="0070C0"/>
        </w:rPr>
        <w:t>4</w:t>
      </w:r>
      <w:r w:rsidRPr="004C5C9D">
        <w:rPr>
          <w:rFonts w:ascii="Times New Roman" w:hAnsi="Times New Roman" w:cs="Times New Roman"/>
          <w:bCs/>
          <w:color w:val="0070C0"/>
        </w:rPr>
        <w:t xml:space="preserve"> (</w:t>
      </w:r>
      <w:r>
        <w:rPr>
          <w:rFonts w:ascii="Times New Roman" w:hAnsi="Times New Roman" w:cs="Times New Roman"/>
          <w:bCs/>
          <w:color w:val="0070C0"/>
        </w:rPr>
        <w:t>2</w:t>
      </w:r>
      <w:r w:rsidR="008B099E">
        <w:rPr>
          <w:rFonts w:ascii="Times New Roman" w:hAnsi="Times New Roman" w:cs="Times New Roman"/>
          <w:bCs/>
          <w:color w:val="0070C0"/>
        </w:rPr>
        <w:t>1</w:t>
      </w:r>
      <w:r w:rsidRPr="004C5C9D">
        <w:rPr>
          <w:rFonts w:ascii="Times New Roman" w:hAnsi="Times New Roman" w:cs="Times New Roman"/>
          <w:bCs/>
          <w:color w:val="0070C0"/>
        </w:rPr>
        <w:t xml:space="preserve">+ </w:t>
      </w:r>
      <w:r>
        <w:rPr>
          <w:rFonts w:ascii="Times New Roman" w:hAnsi="Times New Roman" w:cs="Times New Roman"/>
          <w:bCs/>
          <w:color w:val="0070C0"/>
        </w:rPr>
        <w:t>clinicians</w:t>
      </w:r>
      <w:r w:rsidRPr="004C5C9D">
        <w:rPr>
          <w:rFonts w:ascii="Times New Roman" w:hAnsi="Times New Roman" w:cs="Times New Roman"/>
          <w:bCs/>
          <w:color w:val="0070C0"/>
        </w:rPr>
        <w:t xml:space="preserve">) for TINs. </w:t>
      </w:r>
    </w:p>
    <w:p w14:paraId="7EA7D38C" w14:textId="73780507" w:rsidR="00D05D38" w:rsidRDefault="00D05D38" w:rsidP="00F33DE8">
      <w:pPr>
        <w:autoSpaceDE w:val="0"/>
        <w:autoSpaceDN w:val="0"/>
        <w:adjustRightInd w:val="0"/>
        <w:spacing w:after="0" w:line="240" w:lineRule="auto"/>
        <w:rPr>
          <w:rFonts w:ascii="Times New Roman" w:hAnsi="Times New Roman" w:cs="Times New Roman"/>
          <w:bCs/>
          <w:color w:val="0070C0"/>
        </w:rPr>
      </w:pPr>
    </w:p>
    <w:p w14:paraId="3D0D082A" w14:textId="77777777" w:rsidR="00D05D38" w:rsidRPr="00CE1567" w:rsidRDefault="00D05D38" w:rsidP="00D05D38">
      <w:pPr>
        <w:autoSpaceDE w:val="0"/>
        <w:autoSpaceDN w:val="0"/>
        <w:adjustRightInd w:val="0"/>
        <w:spacing w:after="0" w:line="240" w:lineRule="auto"/>
        <w:jc w:val="center"/>
        <w:rPr>
          <w:rFonts w:ascii="Times New Roman" w:hAnsi="Times New Roman" w:cs="Times New Roman"/>
          <w:b/>
          <w:bCs/>
          <w:iCs/>
          <w:color w:val="000000" w:themeColor="text1"/>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2</w:t>
      </w:r>
      <w:r w:rsidRPr="00CE1567">
        <w:rPr>
          <w:rFonts w:ascii="Times New Roman" w:hAnsi="Times New Roman" w:cs="Times New Roman"/>
          <w:b/>
          <w:bCs/>
          <w:iCs/>
          <w:color w:val="000000" w:themeColor="text1"/>
        </w:rPr>
        <w:t xml:space="preserve">. Distribution of Reliability Scores for TINs by </w:t>
      </w:r>
      <w:r>
        <w:rPr>
          <w:rFonts w:ascii="Times New Roman" w:hAnsi="Times New Roman" w:cs="Times New Roman"/>
          <w:b/>
          <w:bCs/>
          <w:iCs/>
          <w:color w:val="000000" w:themeColor="text1"/>
        </w:rPr>
        <w:t>Practice Size</w:t>
      </w:r>
      <w:r w:rsidRPr="00CE1567">
        <w:rPr>
          <w:rFonts w:ascii="Times New Roman" w:hAnsi="Times New Roman" w:cs="Times New Roman"/>
          <w:b/>
          <w:bCs/>
          <w:iCs/>
          <w:color w:val="000000" w:themeColor="text1"/>
        </w:rPr>
        <w:t>, with an Overall Testing Volume Threshold of 35 Episodes</w:t>
      </w:r>
      <w:r w:rsidRPr="00CE1567" w:rsidDel="00197317">
        <w:rPr>
          <w:rFonts w:ascii="Times New Roman" w:hAnsi="Times New Roman" w:cs="Times New Roman"/>
          <w:b/>
          <w:bCs/>
          <w:iCs/>
          <w:color w:val="000000" w:themeColor="text1"/>
        </w:rPr>
        <w:t xml:space="preserve"> </w:t>
      </w:r>
    </w:p>
    <w:tbl>
      <w:tblPr>
        <w:tblStyle w:val="TableGrid"/>
        <w:tblW w:w="8193" w:type="dxa"/>
        <w:jc w:val="center"/>
        <w:tblLook w:val="04A0" w:firstRow="1" w:lastRow="0" w:firstColumn="1" w:lastColumn="0" w:noHBand="0" w:noVBand="1"/>
      </w:tblPr>
      <w:tblGrid>
        <w:gridCol w:w="1795"/>
        <w:gridCol w:w="1980"/>
        <w:gridCol w:w="1433"/>
        <w:gridCol w:w="995"/>
        <w:gridCol w:w="995"/>
        <w:gridCol w:w="995"/>
      </w:tblGrid>
      <w:tr w:rsidR="00D05D38" w:rsidRPr="00445802" w14:paraId="39EF3E8E" w14:textId="77777777" w:rsidTr="00D05D38">
        <w:trPr>
          <w:jc w:val="center"/>
        </w:trPr>
        <w:tc>
          <w:tcPr>
            <w:tcW w:w="1795" w:type="dxa"/>
            <w:tcBorders>
              <w:bottom w:val="single" w:sz="4" w:space="0" w:color="auto"/>
            </w:tcBorders>
            <w:shd w:val="clear" w:color="auto" w:fill="305496"/>
          </w:tcPr>
          <w:p w14:paraId="37FEFCFD" w14:textId="77777777" w:rsidR="00D05D38" w:rsidRPr="00445802" w:rsidRDefault="00D05D38" w:rsidP="00D05D38">
            <w:pPr>
              <w:jc w:val="center"/>
              <w:rPr>
                <w:rFonts w:ascii="Arial" w:hAnsi="Arial" w:cs="Arial"/>
                <w:b/>
                <w:color w:val="FFFFFF" w:themeColor="background1"/>
                <w:sz w:val="20"/>
                <w:szCs w:val="20"/>
              </w:rPr>
            </w:pPr>
            <w:r w:rsidRPr="005C49F6">
              <w:rPr>
                <w:rFonts w:ascii="Arial" w:hAnsi="Arial" w:cs="Arial"/>
                <w:b/>
                <w:color w:val="FFFFFF" w:themeColor="background1"/>
                <w:sz w:val="20"/>
                <w:szCs w:val="20"/>
              </w:rPr>
              <w:t xml:space="preserve"># of </w:t>
            </w:r>
            <w:r w:rsidRPr="00445802">
              <w:rPr>
                <w:rFonts w:ascii="Arial" w:hAnsi="Arial" w:cs="Arial"/>
                <w:b/>
                <w:color w:val="FFFFFF" w:themeColor="background1"/>
                <w:sz w:val="20"/>
                <w:szCs w:val="20"/>
              </w:rPr>
              <w:t>Clinicians</w:t>
            </w:r>
          </w:p>
        </w:tc>
        <w:tc>
          <w:tcPr>
            <w:tcW w:w="1980" w:type="dxa"/>
            <w:tcBorders>
              <w:bottom w:val="single" w:sz="4" w:space="0" w:color="auto"/>
            </w:tcBorders>
            <w:shd w:val="clear" w:color="auto" w:fill="305496"/>
          </w:tcPr>
          <w:p w14:paraId="4C3C458F" w14:textId="77777777" w:rsidR="00D05D38" w:rsidRPr="00445802" w:rsidRDefault="00D05D38" w:rsidP="00D05D38">
            <w:pPr>
              <w:jc w:val="center"/>
              <w:rPr>
                <w:rFonts w:ascii="Arial" w:hAnsi="Arial" w:cs="Arial"/>
                <w:b/>
                <w:color w:val="FFFFFF" w:themeColor="background1"/>
                <w:sz w:val="20"/>
                <w:szCs w:val="20"/>
              </w:rPr>
            </w:pPr>
            <w:r w:rsidRPr="00445802">
              <w:rPr>
                <w:rFonts w:ascii="Arial" w:hAnsi="Arial" w:cs="Arial"/>
                <w:b/>
                <w:color w:val="FFFFFF" w:themeColor="background1"/>
                <w:sz w:val="20"/>
                <w:szCs w:val="20"/>
              </w:rPr>
              <w:t>Number of TINs or TIN-NPIs</w:t>
            </w:r>
          </w:p>
        </w:tc>
        <w:tc>
          <w:tcPr>
            <w:tcW w:w="1433" w:type="dxa"/>
            <w:tcBorders>
              <w:bottom w:val="single" w:sz="4" w:space="0" w:color="auto"/>
            </w:tcBorders>
            <w:shd w:val="clear" w:color="auto" w:fill="305496"/>
          </w:tcPr>
          <w:p w14:paraId="3F455C03" w14:textId="77777777" w:rsidR="00D05D38" w:rsidRPr="00445802" w:rsidRDefault="00D05D38" w:rsidP="00D05D38">
            <w:pPr>
              <w:jc w:val="center"/>
              <w:rPr>
                <w:rFonts w:ascii="Arial" w:hAnsi="Arial" w:cs="Arial"/>
                <w:b/>
                <w:color w:val="FFFFFF" w:themeColor="background1"/>
                <w:sz w:val="20"/>
                <w:szCs w:val="20"/>
              </w:rPr>
            </w:pPr>
            <w:r w:rsidRPr="00445802">
              <w:rPr>
                <w:rFonts w:ascii="Arial" w:hAnsi="Arial" w:cs="Arial"/>
                <w:b/>
                <w:color w:val="FFFFFF" w:themeColor="background1"/>
                <w:sz w:val="20"/>
                <w:szCs w:val="20"/>
              </w:rPr>
              <w:t>Mean (Std. Dev.)</w:t>
            </w:r>
          </w:p>
        </w:tc>
        <w:tc>
          <w:tcPr>
            <w:tcW w:w="995" w:type="dxa"/>
            <w:tcBorders>
              <w:bottom w:val="single" w:sz="4" w:space="0" w:color="auto"/>
            </w:tcBorders>
            <w:shd w:val="clear" w:color="auto" w:fill="305496"/>
          </w:tcPr>
          <w:p w14:paraId="62E7A97E" w14:textId="77777777" w:rsidR="00D05D38" w:rsidRPr="00445802" w:rsidRDefault="00D05D38" w:rsidP="00D05D38">
            <w:pPr>
              <w:jc w:val="center"/>
              <w:rPr>
                <w:rFonts w:ascii="Arial" w:hAnsi="Arial" w:cs="Arial"/>
                <w:b/>
                <w:color w:val="FFFFFF" w:themeColor="background1"/>
                <w:sz w:val="20"/>
                <w:szCs w:val="20"/>
              </w:rPr>
            </w:pPr>
            <w:r w:rsidRPr="00445802">
              <w:rPr>
                <w:rFonts w:ascii="Arial" w:hAnsi="Arial" w:cs="Arial"/>
                <w:b/>
                <w:color w:val="FFFFFF" w:themeColor="background1"/>
                <w:sz w:val="20"/>
                <w:szCs w:val="20"/>
              </w:rPr>
              <w:t>25</w:t>
            </w:r>
            <w:r w:rsidRPr="00445802">
              <w:rPr>
                <w:rFonts w:ascii="Arial" w:hAnsi="Arial" w:cs="Arial"/>
                <w:b/>
                <w:color w:val="FFFFFF" w:themeColor="background1"/>
                <w:sz w:val="20"/>
                <w:szCs w:val="20"/>
                <w:vertAlign w:val="superscript"/>
              </w:rPr>
              <w:t>th</w:t>
            </w:r>
            <w:r w:rsidRPr="00445802">
              <w:rPr>
                <w:rFonts w:ascii="Arial" w:hAnsi="Arial" w:cs="Arial"/>
                <w:b/>
                <w:color w:val="FFFFFF" w:themeColor="background1"/>
                <w:sz w:val="20"/>
                <w:szCs w:val="20"/>
              </w:rPr>
              <w:t xml:space="preserve"> Pct.</w:t>
            </w:r>
          </w:p>
        </w:tc>
        <w:tc>
          <w:tcPr>
            <w:tcW w:w="995" w:type="dxa"/>
            <w:tcBorders>
              <w:bottom w:val="single" w:sz="4" w:space="0" w:color="auto"/>
            </w:tcBorders>
            <w:shd w:val="clear" w:color="auto" w:fill="305496"/>
          </w:tcPr>
          <w:p w14:paraId="6C5E2EC6" w14:textId="77777777" w:rsidR="00D05D38" w:rsidRPr="00445802" w:rsidRDefault="00D05D38" w:rsidP="00D05D38">
            <w:pPr>
              <w:jc w:val="center"/>
              <w:rPr>
                <w:rFonts w:ascii="Arial" w:hAnsi="Arial" w:cs="Arial"/>
                <w:b/>
                <w:color w:val="FFFFFF" w:themeColor="background1"/>
                <w:sz w:val="20"/>
                <w:szCs w:val="20"/>
              </w:rPr>
            </w:pPr>
            <w:r w:rsidRPr="00445802">
              <w:rPr>
                <w:rFonts w:ascii="Arial" w:hAnsi="Arial" w:cs="Arial"/>
                <w:b/>
                <w:color w:val="FFFFFF" w:themeColor="background1"/>
                <w:sz w:val="20"/>
                <w:szCs w:val="20"/>
              </w:rPr>
              <w:t>50</w:t>
            </w:r>
            <w:r w:rsidRPr="00445802">
              <w:rPr>
                <w:rFonts w:ascii="Arial" w:hAnsi="Arial" w:cs="Arial"/>
                <w:b/>
                <w:color w:val="FFFFFF" w:themeColor="background1"/>
                <w:sz w:val="20"/>
                <w:szCs w:val="20"/>
                <w:vertAlign w:val="superscript"/>
              </w:rPr>
              <w:t>th</w:t>
            </w:r>
            <w:r w:rsidRPr="00445802">
              <w:rPr>
                <w:rFonts w:ascii="Arial" w:hAnsi="Arial" w:cs="Arial"/>
                <w:b/>
                <w:color w:val="FFFFFF" w:themeColor="background1"/>
                <w:sz w:val="20"/>
                <w:szCs w:val="20"/>
              </w:rPr>
              <w:t xml:space="preserve"> Pct.</w:t>
            </w:r>
          </w:p>
        </w:tc>
        <w:tc>
          <w:tcPr>
            <w:tcW w:w="995" w:type="dxa"/>
            <w:tcBorders>
              <w:bottom w:val="single" w:sz="4" w:space="0" w:color="auto"/>
            </w:tcBorders>
            <w:shd w:val="clear" w:color="auto" w:fill="305496"/>
          </w:tcPr>
          <w:p w14:paraId="74354043" w14:textId="77777777" w:rsidR="00D05D38" w:rsidRPr="00445802" w:rsidRDefault="00D05D38" w:rsidP="00D05D38">
            <w:pPr>
              <w:jc w:val="center"/>
              <w:rPr>
                <w:rFonts w:ascii="Arial" w:hAnsi="Arial" w:cs="Arial"/>
                <w:b/>
                <w:color w:val="FFFFFF" w:themeColor="background1"/>
                <w:sz w:val="20"/>
                <w:szCs w:val="20"/>
              </w:rPr>
            </w:pPr>
            <w:r w:rsidRPr="00445802">
              <w:rPr>
                <w:rFonts w:ascii="Arial" w:hAnsi="Arial" w:cs="Arial"/>
                <w:b/>
                <w:color w:val="FFFFFF" w:themeColor="background1"/>
                <w:sz w:val="20"/>
                <w:szCs w:val="20"/>
              </w:rPr>
              <w:t>75</w:t>
            </w:r>
            <w:r w:rsidRPr="00445802">
              <w:rPr>
                <w:rFonts w:ascii="Arial" w:hAnsi="Arial" w:cs="Arial"/>
                <w:b/>
                <w:color w:val="FFFFFF" w:themeColor="background1"/>
                <w:sz w:val="20"/>
                <w:szCs w:val="20"/>
                <w:vertAlign w:val="superscript"/>
              </w:rPr>
              <w:t>th</w:t>
            </w:r>
            <w:r w:rsidRPr="00445802">
              <w:rPr>
                <w:rFonts w:ascii="Arial" w:hAnsi="Arial" w:cs="Arial"/>
                <w:b/>
                <w:color w:val="FFFFFF" w:themeColor="background1"/>
                <w:sz w:val="20"/>
                <w:szCs w:val="20"/>
              </w:rPr>
              <w:t xml:space="preserve"> Pct.</w:t>
            </w:r>
          </w:p>
        </w:tc>
      </w:tr>
      <w:tr w:rsidR="007A1AA0" w:rsidRPr="00445802" w14:paraId="0C5ADC6B" w14:textId="77777777" w:rsidTr="00D05D38">
        <w:trPr>
          <w:jc w:val="center"/>
        </w:trPr>
        <w:tc>
          <w:tcPr>
            <w:tcW w:w="1795" w:type="dxa"/>
            <w:tcBorders>
              <w:top w:val="single" w:sz="4" w:space="0" w:color="auto"/>
            </w:tcBorders>
          </w:tcPr>
          <w:p w14:paraId="2A3F9CF0" w14:textId="77777777" w:rsidR="007A1AA0" w:rsidRPr="005C49F6" w:rsidRDefault="007A1AA0" w:rsidP="007A1AA0">
            <w:pPr>
              <w:rPr>
                <w:rFonts w:ascii="Arial" w:hAnsi="Arial" w:cs="Arial"/>
                <w:b/>
                <w:sz w:val="20"/>
                <w:szCs w:val="20"/>
              </w:rPr>
            </w:pPr>
            <w:r w:rsidRPr="005C49F6">
              <w:rPr>
                <w:rFonts w:ascii="Arial" w:hAnsi="Arial" w:cs="Arial"/>
                <w:b/>
                <w:sz w:val="20"/>
                <w:szCs w:val="20"/>
              </w:rPr>
              <w:t>Overall</w:t>
            </w:r>
          </w:p>
        </w:tc>
        <w:tc>
          <w:tcPr>
            <w:tcW w:w="1980" w:type="dxa"/>
            <w:tcBorders>
              <w:top w:val="single" w:sz="4" w:space="0" w:color="auto"/>
            </w:tcBorders>
            <w:vAlign w:val="center"/>
          </w:tcPr>
          <w:p w14:paraId="65746460" w14:textId="3D339A12" w:rsidR="007A1AA0" w:rsidRPr="00AE0FF1" w:rsidRDefault="007A1AA0" w:rsidP="007A1AA0">
            <w:pPr>
              <w:jc w:val="right"/>
              <w:rPr>
                <w:rFonts w:ascii="Arial" w:hAnsi="Arial" w:cs="Arial"/>
                <w:b/>
                <w:sz w:val="20"/>
                <w:szCs w:val="20"/>
              </w:rPr>
            </w:pPr>
            <w:r w:rsidRPr="004B5AC8">
              <w:rPr>
                <w:rFonts w:ascii="Arial" w:hAnsi="Arial" w:cs="Arial"/>
                <w:b/>
                <w:color w:val="000000"/>
                <w:sz w:val="20"/>
                <w:szCs w:val="20"/>
              </w:rPr>
              <w:t>74,191</w:t>
            </w:r>
          </w:p>
        </w:tc>
        <w:tc>
          <w:tcPr>
            <w:tcW w:w="1433" w:type="dxa"/>
            <w:tcBorders>
              <w:top w:val="single" w:sz="4" w:space="0" w:color="auto"/>
            </w:tcBorders>
            <w:vAlign w:val="center"/>
          </w:tcPr>
          <w:p w14:paraId="3D3B91C3" w14:textId="48779B2A" w:rsidR="007A1AA0" w:rsidRPr="00AE0FF1" w:rsidRDefault="007A1AA0" w:rsidP="007A1AA0">
            <w:pPr>
              <w:jc w:val="right"/>
              <w:rPr>
                <w:rFonts w:ascii="Arial" w:hAnsi="Arial" w:cs="Arial"/>
                <w:b/>
                <w:sz w:val="20"/>
                <w:szCs w:val="20"/>
              </w:rPr>
            </w:pPr>
            <w:r w:rsidRPr="004B5AC8">
              <w:rPr>
                <w:rFonts w:ascii="Arial" w:hAnsi="Arial" w:cs="Arial"/>
                <w:b/>
                <w:color w:val="000000"/>
                <w:sz w:val="20"/>
                <w:szCs w:val="20"/>
              </w:rPr>
              <w:t>0.84 (0.14)</w:t>
            </w:r>
          </w:p>
        </w:tc>
        <w:tc>
          <w:tcPr>
            <w:tcW w:w="995" w:type="dxa"/>
            <w:tcBorders>
              <w:top w:val="single" w:sz="4" w:space="0" w:color="auto"/>
            </w:tcBorders>
            <w:vAlign w:val="center"/>
          </w:tcPr>
          <w:p w14:paraId="3153CC58" w14:textId="1FAFC235" w:rsidR="007A1AA0" w:rsidRPr="00AE0FF1" w:rsidRDefault="007A1AA0" w:rsidP="007A1AA0">
            <w:pPr>
              <w:jc w:val="right"/>
              <w:rPr>
                <w:rFonts w:ascii="Arial" w:hAnsi="Arial" w:cs="Arial"/>
                <w:b/>
                <w:sz w:val="20"/>
                <w:szCs w:val="20"/>
              </w:rPr>
            </w:pPr>
            <w:r w:rsidRPr="004B5AC8">
              <w:rPr>
                <w:rFonts w:ascii="Arial" w:hAnsi="Arial" w:cs="Arial"/>
                <w:b/>
                <w:color w:val="000000"/>
                <w:sz w:val="20"/>
                <w:szCs w:val="20"/>
              </w:rPr>
              <w:t>0.77</w:t>
            </w:r>
          </w:p>
        </w:tc>
        <w:tc>
          <w:tcPr>
            <w:tcW w:w="995" w:type="dxa"/>
            <w:tcBorders>
              <w:top w:val="single" w:sz="4" w:space="0" w:color="auto"/>
            </w:tcBorders>
            <w:vAlign w:val="center"/>
          </w:tcPr>
          <w:p w14:paraId="76D31206" w14:textId="64257300" w:rsidR="007A1AA0" w:rsidRPr="00AE0FF1" w:rsidRDefault="007A1AA0" w:rsidP="007A1AA0">
            <w:pPr>
              <w:jc w:val="right"/>
              <w:rPr>
                <w:rFonts w:ascii="Arial" w:hAnsi="Arial" w:cs="Arial"/>
                <w:b/>
                <w:sz w:val="20"/>
                <w:szCs w:val="20"/>
              </w:rPr>
            </w:pPr>
            <w:r w:rsidRPr="004B5AC8">
              <w:rPr>
                <w:rFonts w:ascii="Arial" w:hAnsi="Arial" w:cs="Arial"/>
                <w:b/>
                <w:color w:val="000000"/>
                <w:sz w:val="20"/>
                <w:szCs w:val="20"/>
              </w:rPr>
              <w:t>0.89</w:t>
            </w:r>
          </w:p>
        </w:tc>
        <w:tc>
          <w:tcPr>
            <w:tcW w:w="995" w:type="dxa"/>
            <w:tcBorders>
              <w:top w:val="single" w:sz="4" w:space="0" w:color="auto"/>
            </w:tcBorders>
            <w:vAlign w:val="center"/>
          </w:tcPr>
          <w:p w14:paraId="1A676A04" w14:textId="6C649DE0" w:rsidR="007A1AA0" w:rsidRPr="00AE0FF1" w:rsidRDefault="007A1AA0" w:rsidP="007A1AA0">
            <w:pPr>
              <w:jc w:val="right"/>
              <w:rPr>
                <w:rFonts w:ascii="Arial" w:hAnsi="Arial" w:cs="Arial"/>
                <w:b/>
                <w:sz w:val="20"/>
                <w:szCs w:val="20"/>
              </w:rPr>
            </w:pPr>
            <w:r w:rsidRPr="004B5AC8">
              <w:rPr>
                <w:rFonts w:ascii="Arial" w:hAnsi="Arial" w:cs="Arial"/>
                <w:b/>
                <w:color w:val="000000"/>
                <w:sz w:val="20"/>
                <w:szCs w:val="20"/>
              </w:rPr>
              <w:t>0.95</w:t>
            </w:r>
          </w:p>
        </w:tc>
      </w:tr>
      <w:tr w:rsidR="007A1AA0" w:rsidRPr="00445802" w14:paraId="3F442F2A" w14:textId="77777777" w:rsidTr="004B5AC8">
        <w:trPr>
          <w:jc w:val="center"/>
        </w:trPr>
        <w:tc>
          <w:tcPr>
            <w:tcW w:w="1795" w:type="dxa"/>
          </w:tcPr>
          <w:p w14:paraId="14C6BADB" w14:textId="77777777" w:rsidR="007A1AA0" w:rsidRPr="005C49F6" w:rsidRDefault="007A1AA0" w:rsidP="007A1AA0">
            <w:pPr>
              <w:rPr>
                <w:rFonts w:ascii="Arial" w:hAnsi="Arial" w:cs="Arial"/>
                <w:sz w:val="20"/>
                <w:szCs w:val="20"/>
              </w:rPr>
            </w:pPr>
            <w:r w:rsidRPr="00445802">
              <w:rPr>
                <w:rFonts w:ascii="Arial" w:hAnsi="Arial" w:cs="Arial"/>
                <w:sz w:val="20"/>
                <w:szCs w:val="20"/>
              </w:rPr>
              <w:t xml:space="preserve">1 </w:t>
            </w:r>
            <w:r>
              <w:rPr>
                <w:rFonts w:ascii="Arial" w:hAnsi="Arial" w:cs="Arial"/>
                <w:sz w:val="20"/>
                <w:szCs w:val="20"/>
              </w:rPr>
              <w:t>Clinician</w:t>
            </w:r>
          </w:p>
        </w:tc>
        <w:tc>
          <w:tcPr>
            <w:tcW w:w="1980" w:type="dxa"/>
            <w:vAlign w:val="bottom"/>
          </w:tcPr>
          <w:p w14:paraId="26FB3010" w14:textId="6B172A87" w:rsidR="007A1AA0" w:rsidRPr="005C49F6" w:rsidRDefault="007A1AA0" w:rsidP="007A1AA0">
            <w:pPr>
              <w:jc w:val="right"/>
              <w:rPr>
                <w:rFonts w:ascii="Arial" w:hAnsi="Arial" w:cs="Arial"/>
                <w:sz w:val="20"/>
                <w:szCs w:val="20"/>
              </w:rPr>
            </w:pPr>
            <w:r>
              <w:rPr>
                <w:rFonts w:ascii="Arial" w:hAnsi="Arial" w:cs="Arial"/>
                <w:color w:val="000000"/>
                <w:sz w:val="20"/>
                <w:szCs w:val="20"/>
              </w:rPr>
              <w:t>37,657</w:t>
            </w:r>
          </w:p>
        </w:tc>
        <w:tc>
          <w:tcPr>
            <w:tcW w:w="1433" w:type="dxa"/>
            <w:vAlign w:val="center"/>
          </w:tcPr>
          <w:p w14:paraId="0D6F9AC0" w14:textId="3460157E" w:rsidR="007A1AA0" w:rsidRPr="005C49F6" w:rsidRDefault="007A1AA0" w:rsidP="007A1AA0">
            <w:pPr>
              <w:jc w:val="right"/>
              <w:rPr>
                <w:rFonts w:ascii="Arial" w:hAnsi="Arial" w:cs="Arial"/>
                <w:sz w:val="20"/>
                <w:szCs w:val="20"/>
              </w:rPr>
            </w:pPr>
            <w:r>
              <w:rPr>
                <w:rFonts w:ascii="Arial" w:hAnsi="Arial" w:cs="Arial"/>
                <w:color w:val="000000"/>
                <w:sz w:val="20"/>
                <w:szCs w:val="20"/>
              </w:rPr>
              <w:t>0.81 (0.13)</w:t>
            </w:r>
          </w:p>
        </w:tc>
        <w:tc>
          <w:tcPr>
            <w:tcW w:w="995" w:type="dxa"/>
            <w:vAlign w:val="center"/>
          </w:tcPr>
          <w:p w14:paraId="0D906F6D" w14:textId="6339BD68" w:rsidR="007A1AA0" w:rsidRPr="005C49F6" w:rsidRDefault="007A1AA0" w:rsidP="007A1AA0">
            <w:pPr>
              <w:jc w:val="right"/>
              <w:rPr>
                <w:rFonts w:ascii="Arial" w:hAnsi="Arial" w:cs="Arial"/>
                <w:sz w:val="20"/>
                <w:szCs w:val="20"/>
              </w:rPr>
            </w:pPr>
            <w:r>
              <w:rPr>
                <w:rFonts w:ascii="Arial" w:hAnsi="Arial" w:cs="Arial"/>
                <w:color w:val="000000"/>
                <w:sz w:val="20"/>
                <w:szCs w:val="20"/>
              </w:rPr>
              <w:t>0.73</w:t>
            </w:r>
          </w:p>
        </w:tc>
        <w:tc>
          <w:tcPr>
            <w:tcW w:w="995" w:type="dxa"/>
            <w:vAlign w:val="center"/>
          </w:tcPr>
          <w:p w14:paraId="790F5A7F" w14:textId="3BB9DBF0" w:rsidR="007A1AA0" w:rsidRPr="005C49F6" w:rsidRDefault="007A1AA0" w:rsidP="007A1AA0">
            <w:pPr>
              <w:jc w:val="right"/>
              <w:rPr>
                <w:rFonts w:ascii="Arial" w:hAnsi="Arial" w:cs="Arial"/>
                <w:sz w:val="20"/>
                <w:szCs w:val="20"/>
              </w:rPr>
            </w:pPr>
            <w:r>
              <w:rPr>
                <w:rFonts w:ascii="Arial" w:hAnsi="Arial" w:cs="Arial"/>
                <w:color w:val="000000"/>
                <w:sz w:val="20"/>
                <w:szCs w:val="20"/>
              </w:rPr>
              <w:t>0.85</w:t>
            </w:r>
          </w:p>
        </w:tc>
        <w:tc>
          <w:tcPr>
            <w:tcW w:w="995" w:type="dxa"/>
            <w:vAlign w:val="center"/>
          </w:tcPr>
          <w:p w14:paraId="5D0FB94A" w14:textId="3C601339" w:rsidR="007A1AA0" w:rsidRPr="005C49F6" w:rsidRDefault="007A1AA0" w:rsidP="007A1AA0">
            <w:pPr>
              <w:jc w:val="right"/>
              <w:rPr>
                <w:rFonts w:ascii="Arial" w:hAnsi="Arial" w:cs="Arial"/>
                <w:sz w:val="20"/>
                <w:szCs w:val="20"/>
              </w:rPr>
            </w:pPr>
            <w:r>
              <w:rPr>
                <w:rFonts w:ascii="Arial" w:hAnsi="Arial" w:cs="Arial"/>
                <w:color w:val="000000"/>
                <w:sz w:val="20"/>
                <w:szCs w:val="20"/>
              </w:rPr>
              <w:t>0.91</w:t>
            </w:r>
          </w:p>
        </w:tc>
      </w:tr>
      <w:tr w:rsidR="007A1AA0" w:rsidRPr="00445802" w14:paraId="016278E6" w14:textId="77777777" w:rsidTr="004B5AC8">
        <w:trPr>
          <w:jc w:val="center"/>
        </w:trPr>
        <w:tc>
          <w:tcPr>
            <w:tcW w:w="1795" w:type="dxa"/>
          </w:tcPr>
          <w:p w14:paraId="35D22B96" w14:textId="77777777" w:rsidR="007A1AA0" w:rsidRPr="005C49F6" w:rsidRDefault="007A1AA0" w:rsidP="007A1AA0">
            <w:pPr>
              <w:rPr>
                <w:rFonts w:ascii="Arial" w:hAnsi="Arial" w:cs="Arial"/>
                <w:sz w:val="20"/>
                <w:szCs w:val="20"/>
              </w:rPr>
            </w:pPr>
            <w:r w:rsidRPr="00445802">
              <w:rPr>
                <w:rFonts w:ascii="Arial" w:hAnsi="Arial" w:cs="Arial"/>
                <w:sz w:val="20"/>
                <w:szCs w:val="20"/>
              </w:rPr>
              <w:t xml:space="preserve">2-4 </w:t>
            </w:r>
            <w:r>
              <w:rPr>
                <w:rFonts w:ascii="Arial" w:hAnsi="Arial" w:cs="Arial"/>
                <w:sz w:val="20"/>
                <w:szCs w:val="20"/>
              </w:rPr>
              <w:t>Clinicians</w:t>
            </w:r>
          </w:p>
        </w:tc>
        <w:tc>
          <w:tcPr>
            <w:tcW w:w="1980" w:type="dxa"/>
            <w:vAlign w:val="bottom"/>
          </w:tcPr>
          <w:p w14:paraId="5ADEDE5A" w14:textId="206334F9" w:rsidR="007A1AA0" w:rsidRPr="005C49F6" w:rsidRDefault="007A1AA0" w:rsidP="007A1AA0">
            <w:pPr>
              <w:jc w:val="right"/>
              <w:rPr>
                <w:rFonts w:ascii="Arial" w:hAnsi="Arial" w:cs="Arial"/>
                <w:sz w:val="20"/>
                <w:szCs w:val="20"/>
              </w:rPr>
            </w:pPr>
            <w:r>
              <w:rPr>
                <w:rFonts w:ascii="Arial" w:hAnsi="Arial" w:cs="Arial"/>
                <w:color w:val="000000"/>
                <w:sz w:val="20"/>
                <w:szCs w:val="20"/>
              </w:rPr>
              <w:t>17,042</w:t>
            </w:r>
          </w:p>
        </w:tc>
        <w:tc>
          <w:tcPr>
            <w:tcW w:w="1433" w:type="dxa"/>
            <w:vAlign w:val="center"/>
          </w:tcPr>
          <w:p w14:paraId="3304F9C3" w14:textId="64DB3688" w:rsidR="007A1AA0" w:rsidRPr="005C49F6" w:rsidRDefault="007A1AA0" w:rsidP="007A1AA0">
            <w:pPr>
              <w:jc w:val="right"/>
              <w:rPr>
                <w:rFonts w:ascii="Arial" w:hAnsi="Arial" w:cs="Arial"/>
                <w:sz w:val="20"/>
                <w:szCs w:val="20"/>
              </w:rPr>
            </w:pPr>
            <w:r>
              <w:rPr>
                <w:rFonts w:ascii="Arial" w:hAnsi="Arial" w:cs="Arial"/>
                <w:color w:val="000000"/>
                <w:sz w:val="20"/>
                <w:szCs w:val="20"/>
              </w:rPr>
              <w:t>0.86 (0.13)</w:t>
            </w:r>
          </w:p>
        </w:tc>
        <w:tc>
          <w:tcPr>
            <w:tcW w:w="995" w:type="dxa"/>
            <w:vAlign w:val="center"/>
          </w:tcPr>
          <w:p w14:paraId="60EE8A3A" w14:textId="37D1A172" w:rsidR="007A1AA0" w:rsidRPr="005C49F6" w:rsidRDefault="007A1AA0" w:rsidP="007A1AA0">
            <w:pPr>
              <w:jc w:val="right"/>
              <w:rPr>
                <w:rFonts w:ascii="Arial" w:hAnsi="Arial" w:cs="Arial"/>
                <w:sz w:val="20"/>
                <w:szCs w:val="20"/>
              </w:rPr>
            </w:pPr>
            <w:r>
              <w:rPr>
                <w:rFonts w:ascii="Arial" w:hAnsi="Arial" w:cs="Arial"/>
                <w:color w:val="000000"/>
                <w:sz w:val="20"/>
                <w:szCs w:val="20"/>
              </w:rPr>
              <w:t>0.80</w:t>
            </w:r>
          </w:p>
        </w:tc>
        <w:tc>
          <w:tcPr>
            <w:tcW w:w="995" w:type="dxa"/>
            <w:vAlign w:val="center"/>
          </w:tcPr>
          <w:p w14:paraId="3A39AB7D" w14:textId="1AB44482" w:rsidR="007A1AA0" w:rsidRPr="005C49F6" w:rsidRDefault="007A1AA0" w:rsidP="007A1AA0">
            <w:pPr>
              <w:jc w:val="right"/>
              <w:rPr>
                <w:rFonts w:ascii="Arial" w:hAnsi="Arial" w:cs="Arial"/>
                <w:sz w:val="20"/>
                <w:szCs w:val="20"/>
              </w:rPr>
            </w:pPr>
            <w:r>
              <w:rPr>
                <w:rFonts w:ascii="Arial" w:hAnsi="Arial" w:cs="Arial"/>
                <w:color w:val="000000"/>
                <w:sz w:val="20"/>
                <w:szCs w:val="20"/>
              </w:rPr>
              <w:t>0.91</w:t>
            </w:r>
          </w:p>
        </w:tc>
        <w:tc>
          <w:tcPr>
            <w:tcW w:w="995" w:type="dxa"/>
            <w:vAlign w:val="center"/>
          </w:tcPr>
          <w:p w14:paraId="51749AC6" w14:textId="060B17B8" w:rsidR="007A1AA0" w:rsidRPr="005C49F6" w:rsidRDefault="007A1AA0" w:rsidP="007A1AA0">
            <w:pPr>
              <w:jc w:val="right"/>
              <w:rPr>
                <w:rFonts w:ascii="Arial" w:hAnsi="Arial" w:cs="Arial"/>
                <w:sz w:val="20"/>
                <w:szCs w:val="20"/>
              </w:rPr>
            </w:pPr>
            <w:r>
              <w:rPr>
                <w:rFonts w:ascii="Arial" w:hAnsi="Arial" w:cs="Arial"/>
                <w:color w:val="000000"/>
                <w:sz w:val="20"/>
                <w:szCs w:val="20"/>
              </w:rPr>
              <w:t>0.95</w:t>
            </w:r>
          </w:p>
        </w:tc>
      </w:tr>
      <w:tr w:rsidR="007A1AA0" w:rsidRPr="00445802" w14:paraId="13CC0EC3" w14:textId="77777777" w:rsidTr="004B5AC8">
        <w:trPr>
          <w:jc w:val="center"/>
        </w:trPr>
        <w:tc>
          <w:tcPr>
            <w:tcW w:w="1795" w:type="dxa"/>
          </w:tcPr>
          <w:p w14:paraId="39C4B04D" w14:textId="77777777" w:rsidR="007A1AA0" w:rsidRPr="005C49F6" w:rsidRDefault="007A1AA0" w:rsidP="007A1AA0">
            <w:pPr>
              <w:rPr>
                <w:rFonts w:ascii="Arial" w:hAnsi="Arial" w:cs="Arial"/>
                <w:sz w:val="20"/>
                <w:szCs w:val="20"/>
              </w:rPr>
            </w:pPr>
            <w:r w:rsidRPr="00445802">
              <w:rPr>
                <w:rFonts w:ascii="Arial" w:hAnsi="Arial" w:cs="Arial"/>
                <w:sz w:val="20"/>
                <w:szCs w:val="20"/>
              </w:rPr>
              <w:t xml:space="preserve">5-20 </w:t>
            </w:r>
            <w:r>
              <w:rPr>
                <w:rFonts w:ascii="Arial" w:hAnsi="Arial" w:cs="Arial"/>
                <w:sz w:val="20"/>
                <w:szCs w:val="20"/>
              </w:rPr>
              <w:t>Clinicians</w:t>
            </w:r>
          </w:p>
        </w:tc>
        <w:tc>
          <w:tcPr>
            <w:tcW w:w="1980" w:type="dxa"/>
            <w:vAlign w:val="bottom"/>
          </w:tcPr>
          <w:p w14:paraId="49AC3BE9" w14:textId="0D275D6F" w:rsidR="007A1AA0" w:rsidRPr="005C49F6" w:rsidRDefault="007A1AA0" w:rsidP="007A1AA0">
            <w:pPr>
              <w:jc w:val="right"/>
              <w:rPr>
                <w:rFonts w:ascii="Arial" w:hAnsi="Arial" w:cs="Arial"/>
                <w:sz w:val="20"/>
                <w:szCs w:val="20"/>
              </w:rPr>
            </w:pPr>
            <w:r>
              <w:rPr>
                <w:rFonts w:ascii="Arial" w:hAnsi="Arial" w:cs="Arial"/>
                <w:color w:val="000000"/>
                <w:sz w:val="20"/>
                <w:szCs w:val="20"/>
              </w:rPr>
              <w:t>12,842</w:t>
            </w:r>
          </w:p>
        </w:tc>
        <w:tc>
          <w:tcPr>
            <w:tcW w:w="1433" w:type="dxa"/>
            <w:vAlign w:val="center"/>
          </w:tcPr>
          <w:p w14:paraId="6F8338F3" w14:textId="191BCC74" w:rsidR="007A1AA0" w:rsidRPr="005C49F6" w:rsidRDefault="007A1AA0" w:rsidP="007A1AA0">
            <w:pPr>
              <w:jc w:val="right"/>
              <w:rPr>
                <w:rFonts w:ascii="Arial" w:hAnsi="Arial" w:cs="Arial"/>
                <w:sz w:val="20"/>
                <w:szCs w:val="20"/>
              </w:rPr>
            </w:pPr>
            <w:r>
              <w:rPr>
                <w:rFonts w:ascii="Arial" w:hAnsi="Arial" w:cs="Arial"/>
                <w:color w:val="000000"/>
                <w:sz w:val="20"/>
                <w:szCs w:val="20"/>
              </w:rPr>
              <w:t>0.89 (0.13)</w:t>
            </w:r>
          </w:p>
        </w:tc>
        <w:tc>
          <w:tcPr>
            <w:tcW w:w="995" w:type="dxa"/>
            <w:vAlign w:val="center"/>
          </w:tcPr>
          <w:p w14:paraId="182CC448" w14:textId="5E937591" w:rsidR="007A1AA0" w:rsidRPr="005C49F6" w:rsidRDefault="007A1AA0" w:rsidP="007A1AA0">
            <w:pPr>
              <w:jc w:val="right"/>
              <w:rPr>
                <w:rFonts w:ascii="Arial" w:hAnsi="Arial" w:cs="Arial"/>
                <w:sz w:val="20"/>
                <w:szCs w:val="20"/>
              </w:rPr>
            </w:pPr>
            <w:r>
              <w:rPr>
                <w:rFonts w:ascii="Arial" w:hAnsi="Arial" w:cs="Arial"/>
                <w:color w:val="000000"/>
                <w:sz w:val="20"/>
                <w:szCs w:val="20"/>
              </w:rPr>
              <w:t>0.85</w:t>
            </w:r>
          </w:p>
        </w:tc>
        <w:tc>
          <w:tcPr>
            <w:tcW w:w="995" w:type="dxa"/>
            <w:vAlign w:val="center"/>
          </w:tcPr>
          <w:p w14:paraId="0872B755" w14:textId="048526F9" w:rsidR="007A1AA0" w:rsidRPr="005C49F6" w:rsidRDefault="007A1AA0" w:rsidP="007A1AA0">
            <w:pPr>
              <w:jc w:val="right"/>
              <w:rPr>
                <w:rFonts w:ascii="Arial" w:hAnsi="Arial" w:cs="Arial"/>
                <w:sz w:val="20"/>
                <w:szCs w:val="20"/>
              </w:rPr>
            </w:pPr>
            <w:r>
              <w:rPr>
                <w:rFonts w:ascii="Arial" w:hAnsi="Arial" w:cs="Arial"/>
                <w:color w:val="000000"/>
                <w:sz w:val="20"/>
                <w:szCs w:val="20"/>
              </w:rPr>
              <w:t>0.94</w:t>
            </w:r>
          </w:p>
        </w:tc>
        <w:tc>
          <w:tcPr>
            <w:tcW w:w="995" w:type="dxa"/>
            <w:vAlign w:val="center"/>
          </w:tcPr>
          <w:p w14:paraId="33EFDBB2" w14:textId="1A726600" w:rsidR="007A1AA0" w:rsidRPr="005C49F6" w:rsidRDefault="007A1AA0" w:rsidP="007A1AA0">
            <w:pPr>
              <w:jc w:val="right"/>
              <w:rPr>
                <w:rFonts w:ascii="Arial" w:hAnsi="Arial" w:cs="Arial"/>
                <w:sz w:val="20"/>
                <w:szCs w:val="20"/>
              </w:rPr>
            </w:pPr>
            <w:r>
              <w:rPr>
                <w:rFonts w:ascii="Arial" w:hAnsi="Arial" w:cs="Arial"/>
                <w:color w:val="000000"/>
                <w:sz w:val="20"/>
                <w:szCs w:val="20"/>
              </w:rPr>
              <w:t>0.97</w:t>
            </w:r>
          </w:p>
        </w:tc>
      </w:tr>
      <w:tr w:rsidR="007A1AA0" w:rsidRPr="00445802" w14:paraId="7A4DF4FB" w14:textId="77777777" w:rsidTr="004B5AC8">
        <w:trPr>
          <w:jc w:val="center"/>
        </w:trPr>
        <w:tc>
          <w:tcPr>
            <w:tcW w:w="1795" w:type="dxa"/>
          </w:tcPr>
          <w:p w14:paraId="165F132D" w14:textId="77777777" w:rsidR="007A1AA0" w:rsidRPr="005C49F6" w:rsidRDefault="007A1AA0" w:rsidP="007A1AA0">
            <w:pPr>
              <w:rPr>
                <w:rFonts w:ascii="Arial" w:hAnsi="Arial" w:cs="Arial"/>
                <w:sz w:val="20"/>
                <w:szCs w:val="20"/>
              </w:rPr>
            </w:pPr>
            <w:r w:rsidRPr="00445802">
              <w:rPr>
                <w:rFonts w:ascii="Arial" w:hAnsi="Arial" w:cs="Arial"/>
                <w:sz w:val="20"/>
                <w:szCs w:val="20"/>
              </w:rPr>
              <w:t xml:space="preserve">21+ </w:t>
            </w:r>
            <w:r>
              <w:rPr>
                <w:rFonts w:ascii="Arial" w:hAnsi="Arial" w:cs="Arial"/>
                <w:sz w:val="20"/>
                <w:szCs w:val="20"/>
              </w:rPr>
              <w:t>Clinicians</w:t>
            </w:r>
          </w:p>
        </w:tc>
        <w:tc>
          <w:tcPr>
            <w:tcW w:w="1980" w:type="dxa"/>
            <w:vAlign w:val="bottom"/>
          </w:tcPr>
          <w:p w14:paraId="586F7200" w14:textId="2856A0FE" w:rsidR="007A1AA0" w:rsidRPr="005C49F6" w:rsidRDefault="007A1AA0" w:rsidP="007A1AA0">
            <w:pPr>
              <w:jc w:val="right"/>
              <w:rPr>
                <w:rFonts w:ascii="Arial" w:hAnsi="Arial" w:cs="Arial"/>
                <w:sz w:val="20"/>
                <w:szCs w:val="20"/>
              </w:rPr>
            </w:pPr>
            <w:r>
              <w:rPr>
                <w:rFonts w:ascii="Arial" w:hAnsi="Arial" w:cs="Arial"/>
                <w:color w:val="000000"/>
                <w:sz w:val="20"/>
                <w:szCs w:val="20"/>
              </w:rPr>
              <w:t>6,650</w:t>
            </w:r>
          </w:p>
        </w:tc>
        <w:tc>
          <w:tcPr>
            <w:tcW w:w="1433" w:type="dxa"/>
            <w:vAlign w:val="center"/>
          </w:tcPr>
          <w:p w14:paraId="46753CDF" w14:textId="07CF55FC" w:rsidR="007A1AA0" w:rsidRPr="005C49F6" w:rsidRDefault="007A1AA0" w:rsidP="007A1AA0">
            <w:pPr>
              <w:jc w:val="right"/>
              <w:rPr>
                <w:rFonts w:ascii="Arial" w:hAnsi="Arial" w:cs="Arial"/>
                <w:sz w:val="20"/>
                <w:szCs w:val="20"/>
              </w:rPr>
            </w:pPr>
            <w:r>
              <w:rPr>
                <w:rFonts w:ascii="Arial" w:hAnsi="Arial" w:cs="Arial"/>
                <w:color w:val="000000"/>
                <w:sz w:val="20"/>
                <w:szCs w:val="20"/>
              </w:rPr>
              <w:t>0.94 (0.11)</w:t>
            </w:r>
          </w:p>
        </w:tc>
        <w:tc>
          <w:tcPr>
            <w:tcW w:w="995" w:type="dxa"/>
            <w:vAlign w:val="center"/>
          </w:tcPr>
          <w:p w14:paraId="1AAD0CCF" w14:textId="16C8E4AD" w:rsidR="007A1AA0" w:rsidRPr="005C49F6" w:rsidRDefault="007A1AA0" w:rsidP="007A1AA0">
            <w:pPr>
              <w:jc w:val="right"/>
              <w:rPr>
                <w:rFonts w:ascii="Arial" w:hAnsi="Arial" w:cs="Arial"/>
                <w:sz w:val="20"/>
                <w:szCs w:val="20"/>
              </w:rPr>
            </w:pPr>
            <w:r>
              <w:rPr>
                <w:rFonts w:ascii="Arial" w:hAnsi="Arial" w:cs="Arial"/>
                <w:color w:val="000000"/>
                <w:sz w:val="20"/>
                <w:szCs w:val="20"/>
              </w:rPr>
              <w:t>0.93</w:t>
            </w:r>
          </w:p>
        </w:tc>
        <w:tc>
          <w:tcPr>
            <w:tcW w:w="995" w:type="dxa"/>
            <w:vAlign w:val="center"/>
          </w:tcPr>
          <w:p w14:paraId="7BD113D9" w14:textId="05913313" w:rsidR="007A1AA0" w:rsidRPr="005C49F6" w:rsidRDefault="007A1AA0" w:rsidP="007A1AA0">
            <w:pPr>
              <w:jc w:val="right"/>
              <w:rPr>
                <w:rFonts w:ascii="Arial" w:hAnsi="Arial" w:cs="Arial"/>
                <w:sz w:val="20"/>
                <w:szCs w:val="20"/>
              </w:rPr>
            </w:pPr>
            <w:r>
              <w:rPr>
                <w:rFonts w:ascii="Arial" w:hAnsi="Arial" w:cs="Arial"/>
                <w:color w:val="000000"/>
                <w:sz w:val="20"/>
                <w:szCs w:val="20"/>
              </w:rPr>
              <w:t>0.98</w:t>
            </w:r>
          </w:p>
        </w:tc>
        <w:tc>
          <w:tcPr>
            <w:tcW w:w="995" w:type="dxa"/>
            <w:vAlign w:val="center"/>
          </w:tcPr>
          <w:p w14:paraId="1EF363F2" w14:textId="5F8FC69F" w:rsidR="007A1AA0" w:rsidRPr="005C49F6" w:rsidRDefault="007A1AA0" w:rsidP="007A1AA0">
            <w:pPr>
              <w:jc w:val="right"/>
              <w:rPr>
                <w:rFonts w:ascii="Arial" w:hAnsi="Arial" w:cs="Arial"/>
                <w:sz w:val="20"/>
                <w:szCs w:val="20"/>
              </w:rPr>
            </w:pPr>
            <w:r>
              <w:rPr>
                <w:rFonts w:ascii="Arial" w:hAnsi="Arial" w:cs="Arial"/>
                <w:color w:val="000000"/>
                <w:sz w:val="20"/>
                <w:szCs w:val="20"/>
              </w:rPr>
              <w:t>0.99</w:t>
            </w:r>
          </w:p>
        </w:tc>
      </w:tr>
    </w:tbl>
    <w:p w14:paraId="1BBC389F" w14:textId="77777777" w:rsidR="00D05D38" w:rsidRPr="007A6E3C" w:rsidRDefault="00D05D38" w:rsidP="00D05D38">
      <w:pPr>
        <w:autoSpaceDE w:val="0"/>
        <w:autoSpaceDN w:val="0"/>
        <w:adjustRightInd w:val="0"/>
        <w:spacing w:after="0" w:line="240" w:lineRule="auto"/>
        <w:ind w:firstLine="720"/>
        <w:rPr>
          <w:rFonts w:cstheme="minorHAnsi"/>
          <w:bCs/>
          <w:color w:val="000000" w:themeColor="text1"/>
          <w:sz w:val="20"/>
          <w:szCs w:val="20"/>
        </w:rPr>
      </w:pPr>
      <w:r w:rsidRPr="007A6E3C">
        <w:rPr>
          <w:rFonts w:cstheme="minorHAnsi"/>
          <w:bCs/>
          <w:color w:val="000000" w:themeColor="text1"/>
          <w:sz w:val="20"/>
          <w:szCs w:val="20"/>
        </w:rPr>
        <w:t>* Pct. = percentile.</w:t>
      </w:r>
    </w:p>
    <w:p w14:paraId="7F62878C" w14:textId="5FA5E4AF" w:rsidR="00D05D38" w:rsidRDefault="00D05D38" w:rsidP="00F33DE8">
      <w:pPr>
        <w:autoSpaceDE w:val="0"/>
        <w:autoSpaceDN w:val="0"/>
        <w:adjustRightInd w:val="0"/>
        <w:spacing w:after="0" w:line="240" w:lineRule="auto"/>
        <w:rPr>
          <w:rFonts w:cstheme="minorHAnsi"/>
          <w:bCs/>
          <w:color w:val="0070C0"/>
        </w:rPr>
      </w:pPr>
    </w:p>
    <w:p w14:paraId="485552F0" w14:textId="5EFB23C3" w:rsidR="00FF294F" w:rsidRPr="00BC37E8" w:rsidRDefault="00FE56FE" w:rsidP="00FF294F">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Split-s</w:t>
      </w:r>
      <w:r w:rsidR="00FF294F" w:rsidRPr="00BC37E8">
        <w:rPr>
          <w:rFonts w:ascii="Times New Roman" w:hAnsi="Times New Roman" w:cs="Times New Roman"/>
          <w:b/>
          <w:bCs/>
          <w:color w:val="0070C0"/>
        </w:rPr>
        <w:t xml:space="preserve">ample </w:t>
      </w:r>
      <w:r w:rsidRPr="00BC37E8">
        <w:rPr>
          <w:rFonts w:ascii="Times New Roman" w:hAnsi="Times New Roman" w:cs="Times New Roman"/>
          <w:b/>
          <w:bCs/>
          <w:color w:val="0070C0"/>
        </w:rPr>
        <w:t xml:space="preserve">Reliability Testing. </w:t>
      </w:r>
      <w:r w:rsidR="00FF294F" w:rsidRPr="00BC37E8">
        <w:rPr>
          <w:rStyle w:val="Style1"/>
          <w:rFonts w:ascii="Times New Roman" w:hAnsi="Times New Roman" w:cs="Times New Roman"/>
          <w:b/>
          <w:color w:val="0070C0"/>
        </w:rPr>
        <w:t xml:space="preserve">Table </w:t>
      </w:r>
      <w:r w:rsidR="00093E8F">
        <w:rPr>
          <w:rStyle w:val="Style1"/>
          <w:rFonts w:ascii="Times New Roman" w:hAnsi="Times New Roman" w:cs="Times New Roman"/>
          <w:b/>
          <w:color w:val="0070C0"/>
        </w:rPr>
        <w:t>3</w:t>
      </w:r>
      <w:r w:rsidR="00FF294F" w:rsidRPr="00BC37E8">
        <w:rPr>
          <w:rStyle w:val="Style1"/>
          <w:rFonts w:ascii="Times New Roman" w:hAnsi="Times New Roman" w:cs="Times New Roman"/>
          <w:color w:val="0070C0"/>
        </w:rPr>
        <w:t xml:space="preserve"> presents ICC(2,1) between the split-sample </w:t>
      </w:r>
      <w:r w:rsidR="00C43A71" w:rsidRPr="00BC37E8">
        <w:rPr>
          <w:rStyle w:val="Style1"/>
          <w:rFonts w:ascii="Times New Roman" w:hAnsi="Times New Roman" w:cs="Times New Roman"/>
          <w:color w:val="0070C0"/>
        </w:rPr>
        <w:t xml:space="preserve">measure </w:t>
      </w:r>
      <w:r w:rsidR="00FF294F" w:rsidRPr="00BC37E8">
        <w:rPr>
          <w:rStyle w:val="Style1"/>
          <w:rFonts w:ascii="Times New Roman" w:hAnsi="Times New Roman" w:cs="Times New Roman"/>
          <w:color w:val="0070C0"/>
        </w:rPr>
        <w:t xml:space="preserve">scores for the overall sample of </w:t>
      </w:r>
      <w:r w:rsidR="00854D4B" w:rsidRPr="00BC37E8">
        <w:rPr>
          <w:rStyle w:val="Style1"/>
          <w:rFonts w:ascii="Times New Roman" w:hAnsi="Times New Roman" w:cs="Times New Roman"/>
          <w:color w:val="0070C0"/>
        </w:rPr>
        <w:t>68,413</w:t>
      </w:r>
      <w:r w:rsidR="00FF294F" w:rsidRPr="00BC37E8">
        <w:rPr>
          <w:rStyle w:val="Style1"/>
          <w:rFonts w:ascii="Times New Roman" w:hAnsi="Times New Roman" w:cs="Times New Roman"/>
          <w:color w:val="0070C0"/>
        </w:rPr>
        <w:t xml:space="preserve"> TINs and </w:t>
      </w:r>
      <w:r w:rsidR="00854D4B" w:rsidRPr="00BC37E8">
        <w:rPr>
          <w:rStyle w:val="Style1"/>
          <w:rFonts w:ascii="Times New Roman" w:hAnsi="Times New Roman" w:cs="Times New Roman"/>
          <w:color w:val="0070C0"/>
        </w:rPr>
        <w:t xml:space="preserve">265,106 </w:t>
      </w:r>
      <w:r w:rsidR="00FF294F" w:rsidRPr="00BC37E8">
        <w:rPr>
          <w:rStyle w:val="Style1"/>
          <w:rFonts w:ascii="Times New Roman" w:hAnsi="Times New Roman" w:cs="Times New Roman"/>
          <w:color w:val="0070C0"/>
        </w:rPr>
        <w:t xml:space="preserve">TIN-NPIs included in this testing. The ICC in the overall sample for TIN reporting was </w:t>
      </w:r>
      <w:r w:rsidR="00854D4B" w:rsidRPr="00BC37E8">
        <w:rPr>
          <w:rStyle w:val="Style1"/>
          <w:rFonts w:ascii="Times New Roman" w:hAnsi="Times New Roman" w:cs="Times New Roman"/>
          <w:color w:val="0070C0"/>
        </w:rPr>
        <w:t>0.76</w:t>
      </w:r>
      <w:r w:rsidR="00FF294F" w:rsidRPr="00BC37E8">
        <w:rPr>
          <w:rStyle w:val="Style1"/>
          <w:rFonts w:ascii="Times New Roman" w:hAnsi="Times New Roman" w:cs="Times New Roman"/>
          <w:color w:val="0070C0"/>
        </w:rPr>
        <w:t xml:space="preserve"> and </w:t>
      </w:r>
      <w:r w:rsidR="00854D4B" w:rsidRPr="00BC37E8">
        <w:rPr>
          <w:rStyle w:val="Style1"/>
          <w:rFonts w:ascii="Times New Roman" w:hAnsi="Times New Roman" w:cs="Times New Roman"/>
          <w:color w:val="0070C0"/>
        </w:rPr>
        <w:t>0.64</w:t>
      </w:r>
      <w:r w:rsidR="00FF294F" w:rsidRPr="00BC37E8">
        <w:rPr>
          <w:rStyle w:val="Style1"/>
          <w:rFonts w:ascii="Times New Roman" w:hAnsi="Times New Roman" w:cs="Times New Roman"/>
          <w:color w:val="0070C0"/>
        </w:rPr>
        <w:t xml:space="preserve"> for TIN-NPI reporting. </w:t>
      </w:r>
    </w:p>
    <w:p w14:paraId="50148ADF" w14:textId="5760BB77" w:rsidR="00601236" w:rsidRDefault="00601236" w:rsidP="00064B02">
      <w:pPr>
        <w:autoSpaceDE w:val="0"/>
        <w:autoSpaceDN w:val="0"/>
        <w:adjustRightInd w:val="0"/>
        <w:spacing w:after="0" w:line="240" w:lineRule="auto"/>
        <w:rPr>
          <w:rFonts w:cstheme="minorHAnsi"/>
          <w:bCs/>
          <w:color w:val="0070C0"/>
        </w:rPr>
      </w:pPr>
    </w:p>
    <w:p w14:paraId="3504A019" w14:textId="6397C748" w:rsidR="00F66670" w:rsidRPr="00361530" w:rsidRDefault="002F01CA" w:rsidP="002F01CA">
      <w:pPr>
        <w:autoSpaceDE w:val="0"/>
        <w:autoSpaceDN w:val="0"/>
        <w:adjustRightInd w:val="0"/>
        <w:spacing w:after="0" w:line="240" w:lineRule="auto"/>
        <w:jc w:val="center"/>
        <w:rPr>
          <w:rFonts w:ascii="Times New Roman" w:hAnsi="Times New Roman" w:cs="Times New Roman"/>
          <w:bCs/>
          <w:color w:val="0070C0"/>
        </w:rPr>
      </w:pPr>
      <w:r w:rsidRPr="00361530">
        <w:rPr>
          <w:rFonts w:ascii="Times New Roman" w:hAnsi="Times New Roman" w:cs="Times New Roman"/>
          <w:b/>
          <w:bCs/>
          <w:iCs/>
          <w:color w:val="000000" w:themeColor="text1"/>
        </w:rPr>
        <w:t xml:space="preserve">Table </w:t>
      </w:r>
      <w:r w:rsidR="00093E8F">
        <w:rPr>
          <w:rFonts w:ascii="Times New Roman" w:hAnsi="Times New Roman" w:cs="Times New Roman"/>
          <w:b/>
          <w:bCs/>
          <w:iCs/>
          <w:color w:val="000000" w:themeColor="text1"/>
        </w:rPr>
        <w:t>3</w:t>
      </w:r>
      <w:r w:rsidR="00F66670" w:rsidRPr="00361530">
        <w:rPr>
          <w:rFonts w:ascii="Times New Roman" w:hAnsi="Times New Roman" w:cs="Times New Roman"/>
          <w:b/>
          <w:bCs/>
          <w:iCs/>
          <w:color w:val="000000" w:themeColor="text1"/>
        </w:rPr>
        <w:t xml:space="preserve">. </w:t>
      </w:r>
      <w:r w:rsidR="00FE56FE" w:rsidRPr="00361530">
        <w:rPr>
          <w:rFonts w:ascii="Times New Roman" w:hAnsi="Times New Roman" w:cs="Times New Roman"/>
          <w:b/>
          <w:bCs/>
          <w:iCs/>
          <w:color w:val="000000" w:themeColor="text1"/>
        </w:rPr>
        <w:t>Split-s</w:t>
      </w:r>
      <w:r w:rsidR="00FF294F" w:rsidRPr="00361530">
        <w:rPr>
          <w:rFonts w:ascii="Times New Roman" w:hAnsi="Times New Roman" w:cs="Times New Roman"/>
          <w:b/>
          <w:bCs/>
          <w:iCs/>
          <w:color w:val="000000" w:themeColor="text1"/>
        </w:rPr>
        <w:t xml:space="preserve">ample </w:t>
      </w:r>
      <w:r w:rsidR="00F66670" w:rsidRPr="00361530">
        <w:rPr>
          <w:rFonts w:ascii="Times New Roman" w:hAnsi="Times New Roman" w:cs="Times New Roman"/>
          <w:b/>
          <w:bCs/>
          <w:iCs/>
          <w:color w:val="000000" w:themeColor="text1"/>
        </w:rPr>
        <w:t>Intraclass Correlation Coefficients</w:t>
      </w:r>
    </w:p>
    <w:tbl>
      <w:tblPr>
        <w:tblStyle w:val="TableGrid"/>
        <w:tblW w:w="8729" w:type="dxa"/>
        <w:jc w:val="center"/>
        <w:tblLayout w:type="fixed"/>
        <w:tblLook w:val="04A0" w:firstRow="1" w:lastRow="0" w:firstColumn="1" w:lastColumn="0" w:noHBand="0" w:noVBand="1"/>
      </w:tblPr>
      <w:tblGrid>
        <w:gridCol w:w="1710"/>
        <w:gridCol w:w="1403"/>
        <w:gridCol w:w="1404"/>
        <w:gridCol w:w="1404"/>
        <w:gridCol w:w="1404"/>
        <w:gridCol w:w="1404"/>
      </w:tblGrid>
      <w:tr w:rsidR="00F66670" w:rsidRPr="009B6809" w14:paraId="77AA3C4C" w14:textId="77777777" w:rsidTr="002F01CA">
        <w:trPr>
          <w:trHeight w:val="260"/>
          <w:tblHeader/>
          <w:jc w:val="center"/>
        </w:trPr>
        <w:tc>
          <w:tcPr>
            <w:tcW w:w="1710" w:type="dxa"/>
            <w:shd w:val="clear" w:color="auto" w:fill="17365D" w:themeFill="text2" w:themeFillShade="BF"/>
            <w:vAlign w:val="center"/>
          </w:tcPr>
          <w:p w14:paraId="78E9EA97" w14:textId="49FEEB4E" w:rsidR="00F66670" w:rsidRPr="00361530" w:rsidRDefault="00F66670" w:rsidP="00F66670">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Reporting Level</w:t>
            </w:r>
          </w:p>
        </w:tc>
        <w:tc>
          <w:tcPr>
            <w:tcW w:w="1403" w:type="dxa"/>
            <w:shd w:val="clear" w:color="auto" w:fill="305496"/>
            <w:vAlign w:val="center"/>
          </w:tcPr>
          <w:p w14:paraId="40D99BCA" w14:textId="37BFB68A" w:rsidR="00F66670" w:rsidRPr="00361530" w:rsidRDefault="00F66670" w:rsidP="002F01CA">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 of TINs or TIN-NPIs</w:t>
            </w:r>
          </w:p>
        </w:tc>
        <w:tc>
          <w:tcPr>
            <w:tcW w:w="1404" w:type="dxa"/>
            <w:shd w:val="clear" w:color="auto" w:fill="305496"/>
            <w:vAlign w:val="center"/>
          </w:tcPr>
          <w:p w14:paraId="773A74D0" w14:textId="4BDEFF88" w:rsidR="00F66670" w:rsidRPr="00361530" w:rsidRDefault="00F66670" w:rsidP="002F01CA">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Mean Score FY</w:t>
            </w:r>
            <w:r w:rsidR="00C43A71" w:rsidRPr="00361530">
              <w:rPr>
                <w:rFonts w:ascii="Arial" w:hAnsi="Arial" w:cs="Arial"/>
                <w:b/>
                <w:bCs/>
                <w:color w:val="FFFFFF" w:themeColor="background1"/>
                <w:sz w:val="20"/>
                <w:szCs w:val="20"/>
              </w:rPr>
              <w:t xml:space="preserve"> </w:t>
            </w:r>
            <w:r w:rsidRPr="00361530">
              <w:rPr>
                <w:rFonts w:ascii="Arial" w:hAnsi="Arial" w:cs="Arial"/>
                <w:b/>
                <w:bCs/>
                <w:color w:val="FFFFFF" w:themeColor="background1"/>
                <w:sz w:val="20"/>
                <w:szCs w:val="20"/>
              </w:rPr>
              <w:t>2017</w:t>
            </w:r>
          </w:p>
        </w:tc>
        <w:tc>
          <w:tcPr>
            <w:tcW w:w="1404" w:type="dxa"/>
            <w:shd w:val="clear" w:color="auto" w:fill="305496"/>
            <w:vAlign w:val="center"/>
          </w:tcPr>
          <w:p w14:paraId="6174424C" w14:textId="1CA54586" w:rsidR="00F66670" w:rsidRPr="00361530" w:rsidRDefault="00F66670" w:rsidP="00F66670">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Mean Score CY 2018</w:t>
            </w:r>
          </w:p>
        </w:tc>
        <w:tc>
          <w:tcPr>
            <w:tcW w:w="1404" w:type="dxa"/>
            <w:shd w:val="clear" w:color="auto" w:fill="305496"/>
            <w:vAlign w:val="center"/>
          </w:tcPr>
          <w:p w14:paraId="18A04700" w14:textId="0F44E790" w:rsidR="00F66670" w:rsidRPr="00361530" w:rsidRDefault="00F66670" w:rsidP="002F01CA">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Pearson Correlation Coefficient</w:t>
            </w:r>
          </w:p>
        </w:tc>
        <w:tc>
          <w:tcPr>
            <w:tcW w:w="1404" w:type="dxa"/>
            <w:shd w:val="clear" w:color="auto" w:fill="305496"/>
            <w:vAlign w:val="center"/>
          </w:tcPr>
          <w:p w14:paraId="57D09328" w14:textId="64167FDB" w:rsidR="00F66670" w:rsidRPr="00361530" w:rsidRDefault="00F66670" w:rsidP="002F01CA">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ICC(2,1)</w:t>
            </w:r>
          </w:p>
        </w:tc>
      </w:tr>
      <w:tr w:rsidR="00FE56FE" w:rsidRPr="009B6809" w14:paraId="1F997990" w14:textId="77777777" w:rsidTr="00C35937">
        <w:trPr>
          <w:jc w:val="center"/>
        </w:trPr>
        <w:tc>
          <w:tcPr>
            <w:tcW w:w="1710" w:type="dxa"/>
          </w:tcPr>
          <w:p w14:paraId="58D8167C" w14:textId="16FFC2F7" w:rsidR="00FE56FE" w:rsidRPr="00361530" w:rsidRDefault="00FE56FE" w:rsidP="00FE56FE">
            <w:pPr>
              <w:autoSpaceDE w:val="0"/>
              <w:autoSpaceDN w:val="0"/>
              <w:adjustRightInd w:val="0"/>
              <w:rPr>
                <w:rFonts w:ascii="Arial" w:hAnsi="Arial" w:cs="Arial"/>
                <w:bCs/>
                <w:color w:val="000000" w:themeColor="text1"/>
                <w:sz w:val="20"/>
                <w:szCs w:val="20"/>
              </w:rPr>
            </w:pPr>
            <w:r w:rsidRPr="00361530">
              <w:rPr>
                <w:rFonts w:ascii="Arial" w:hAnsi="Arial" w:cs="Arial"/>
                <w:bCs/>
                <w:color w:val="000000" w:themeColor="text1"/>
                <w:sz w:val="20"/>
                <w:szCs w:val="20"/>
              </w:rPr>
              <w:t>TIN</w:t>
            </w:r>
          </w:p>
        </w:tc>
        <w:tc>
          <w:tcPr>
            <w:tcW w:w="1403" w:type="dxa"/>
            <w:vAlign w:val="center"/>
          </w:tcPr>
          <w:p w14:paraId="74E37C05" w14:textId="63FE9ADE"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68,413</w:t>
            </w:r>
          </w:p>
        </w:tc>
        <w:tc>
          <w:tcPr>
            <w:tcW w:w="1404" w:type="dxa"/>
            <w:vAlign w:val="bottom"/>
          </w:tcPr>
          <w:p w14:paraId="5619B803" w14:textId="37B61180"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$1,089</w:t>
            </w:r>
          </w:p>
        </w:tc>
        <w:tc>
          <w:tcPr>
            <w:tcW w:w="1404" w:type="dxa"/>
            <w:vAlign w:val="bottom"/>
          </w:tcPr>
          <w:p w14:paraId="25352ED8" w14:textId="0D33CA61"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$1,089</w:t>
            </w:r>
          </w:p>
        </w:tc>
        <w:tc>
          <w:tcPr>
            <w:tcW w:w="1404" w:type="dxa"/>
            <w:vAlign w:val="bottom"/>
          </w:tcPr>
          <w:p w14:paraId="33B53005" w14:textId="4D031833"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0.76</w:t>
            </w:r>
          </w:p>
        </w:tc>
        <w:tc>
          <w:tcPr>
            <w:tcW w:w="1404" w:type="dxa"/>
            <w:vAlign w:val="bottom"/>
          </w:tcPr>
          <w:p w14:paraId="48FFFCFE" w14:textId="2252BDBF"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0.76</w:t>
            </w:r>
          </w:p>
        </w:tc>
      </w:tr>
      <w:tr w:rsidR="00FE56FE" w:rsidRPr="009B6809" w14:paraId="651F7BF6" w14:textId="77777777" w:rsidTr="00C35937">
        <w:trPr>
          <w:jc w:val="center"/>
        </w:trPr>
        <w:tc>
          <w:tcPr>
            <w:tcW w:w="1710" w:type="dxa"/>
          </w:tcPr>
          <w:p w14:paraId="5DD94242" w14:textId="69D981F9" w:rsidR="00FE56FE" w:rsidRPr="00361530" w:rsidRDefault="00FE56FE" w:rsidP="00FE56FE">
            <w:pPr>
              <w:autoSpaceDE w:val="0"/>
              <w:autoSpaceDN w:val="0"/>
              <w:adjustRightInd w:val="0"/>
              <w:rPr>
                <w:rFonts w:ascii="Arial" w:hAnsi="Arial" w:cs="Arial"/>
                <w:bCs/>
                <w:color w:val="000000" w:themeColor="text1"/>
                <w:sz w:val="20"/>
                <w:szCs w:val="20"/>
              </w:rPr>
            </w:pPr>
            <w:r w:rsidRPr="00361530">
              <w:rPr>
                <w:rFonts w:ascii="Arial" w:hAnsi="Arial" w:cs="Arial"/>
                <w:bCs/>
                <w:color w:val="000000" w:themeColor="text1"/>
                <w:sz w:val="20"/>
                <w:szCs w:val="20"/>
              </w:rPr>
              <w:t>TIN-NPI</w:t>
            </w:r>
          </w:p>
        </w:tc>
        <w:tc>
          <w:tcPr>
            <w:tcW w:w="1403" w:type="dxa"/>
            <w:vAlign w:val="center"/>
          </w:tcPr>
          <w:p w14:paraId="72CFB99C" w14:textId="2BCFC5ED"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265,106</w:t>
            </w:r>
          </w:p>
        </w:tc>
        <w:tc>
          <w:tcPr>
            <w:tcW w:w="1404" w:type="dxa"/>
            <w:vAlign w:val="bottom"/>
          </w:tcPr>
          <w:p w14:paraId="26109B7F" w14:textId="6CECF856"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$1,143</w:t>
            </w:r>
          </w:p>
        </w:tc>
        <w:tc>
          <w:tcPr>
            <w:tcW w:w="1404" w:type="dxa"/>
            <w:vAlign w:val="bottom"/>
          </w:tcPr>
          <w:p w14:paraId="7AEF30FE" w14:textId="477BAE58"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$1,143</w:t>
            </w:r>
          </w:p>
        </w:tc>
        <w:tc>
          <w:tcPr>
            <w:tcW w:w="1404" w:type="dxa"/>
            <w:vAlign w:val="bottom"/>
          </w:tcPr>
          <w:p w14:paraId="662A1A7F" w14:textId="10E7ECA0"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0.64</w:t>
            </w:r>
          </w:p>
        </w:tc>
        <w:tc>
          <w:tcPr>
            <w:tcW w:w="1404" w:type="dxa"/>
            <w:vAlign w:val="bottom"/>
          </w:tcPr>
          <w:p w14:paraId="78475F49" w14:textId="7FBAA51C" w:rsidR="00FE56FE" w:rsidRPr="00361530" w:rsidRDefault="00FE56FE" w:rsidP="00FE56FE">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0.64</w:t>
            </w:r>
          </w:p>
        </w:tc>
      </w:tr>
    </w:tbl>
    <w:p w14:paraId="1B715510" w14:textId="77777777" w:rsidR="00F66670" w:rsidRDefault="00F66670" w:rsidP="00064B02">
      <w:pPr>
        <w:autoSpaceDE w:val="0"/>
        <w:autoSpaceDN w:val="0"/>
        <w:adjustRightInd w:val="0"/>
        <w:spacing w:after="0" w:line="240" w:lineRule="auto"/>
        <w:rPr>
          <w:rFonts w:cstheme="minorHAnsi"/>
          <w:bCs/>
          <w:color w:val="0070C0"/>
        </w:rPr>
      </w:pPr>
    </w:p>
    <w:p w14:paraId="5C8BCE3C" w14:textId="77777777" w:rsidR="00621F8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12C529C3" w14:textId="5B86B7C0" w:rsidR="00FF294F" w:rsidRPr="00BC37E8" w:rsidRDefault="00154F11" w:rsidP="00DB3627">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Overall</w:t>
      </w:r>
      <w:r w:rsidR="00C35937" w:rsidRPr="00BC37E8">
        <w:rPr>
          <w:rFonts w:ascii="Times New Roman" w:hAnsi="Times New Roman" w:cs="Times New Roman"/>
          <w:bCs/>
          <w:color w:val="0070C0"/>
        </w:rPr>
        <w:t>,</w:t>
      </w:r>
      <w:r w:rsidRPr="00BC37E8">
        <w:rPr>
          <w:rFonts w:ascii="Times New Roman" w:hAnsi="Times New Roman" w:cs="Times New Roman"/>
          <w:bCs/>
          <w:color w:val="0070C0"/>
        </w:rPr>
        <w:t xml:space="preserve"> </w:t>
      </w:r>
      <w:r w:rsidR="00FF294F" w:rsidRPr="00BC37E8">
        <w:rPr>
          <w:rFonts w:ascii="Times New Roman" w:hAnsi="Times New Roman" w:cs="Times New Roman"/>
          <w:bCs/>
          <w:color w:val="0070C0"/>
        </w:rPr>
        <w:t>testing results indicated</w:t>
      </w:r>
      <w:r w:rsidR="008B099E">
        <w:rPr>
          <w:rFonts w:ascii="Times New Roman" w:hAnsi="Times New Roman" w:cs="Times New Roman"/>
          <w:bCs/>
          <w:color w:val="0070C0"/>
        </w:rPr>
        <w:t xml:space="preserve"> good </w:t>
      </w:r>
      <w:r w:rsidR="00317279">
        <w:rPr>
          <w:rFonts w:ascii="Times New Roman" w:hAnsi="Times New Roman" w:cs="Times New Roman"/>
          <w:bCs/>
          <w:color w:val="0070C0"/>
        </w:rPr>
        <w:t xml:space="preserve">or </w:t>
      </w:r>
      <w:r w:rsidR="00FF294F" w:rsidRPr="00BC37E8">
        <w:rPr>
          <w:rFonts w:ascii="Times New Roman" w:hAnsi="Times New Roman" w:cs="Times New Roman"/>
          <w:bCs/>
          <w:color w:val="0070C0"/>
        </w:rPr>
        <w:t>high measure score reliability</w:t>
      </w:r>
      <w:r w:rsidR="008B099E">
        <w:rPr>
          <w:rFonts w:ascii="Times New Roman" w:hAnsi="Times New Roman" w:cs="Times New Roman"/>
          <w:bCs/>
          <w:color w:val="0070C0"/>
        </w:rPr>
        <w:t xml:space="preserve"> with an average of 0.84 for TINs and 0.88 for TIN-NPIs</w:t>
      </w:r>
      <w:r w:rsidR="00FF294F" w:rsidRPr="00BC37E8">
        <w:rPr>
          <w:rFonts w:ascii="Times New Roman" w:hAnsi="Times New Roman" w:cs="Times New Roman"/>
          <w:bCs/>
          <w:color w:val="0070C0"/>
        </w:rPr>
        <w:t xml:space="preserve"> </w:t>
      </w:r>
      <w:r w:rsidRPr="00BC37E8">
        <w:rPr>
          <w:rFonts w:ascii="Times New Roman" w:hAnsi="Times New Roman" w:cs="Times New Roman"/>
          <w:bCs/>
          <w:color w:val="0070C0"/>
        </w:rPr>
        <w:t>at a volume threshold of 20 beneficiaries</w:t>
      </w:r>
      <w:r w:rsidR="00F83F9F" w:rsidRPr="00BC37E8">
        <w:rPr>
          <w:rStyle w:val="FootnoteReference"/>
          <w:rFonts w:ascii="Times New Roman" w:hAnsi="Times New Roman"/>
          <w:bCs/>
          <w:color w:val="0070C0"/>
        </w:rPr>
        <w:footnoteReference w:id="4"/>
      </w:r>
      <w:r w:rsidRPr="00BC37E8">
        <w:rPr>
          <w:rFonts w:ascii="Times New Roman" w:hAnsi="Times New Roman" w:cs="Times New Roman"/>
          <w:bCs/>
          <w:color w:val="0070C0"/>
        </w:rPr>
        <w:t>.</w:t>
      </w:r>
      <w:r w:rsidR="00064B02" w:rsidRPr="00BC37E8">
        <w:rPr>
          <w:rFonts w:ascii="Times New Roman" w:hAnsi="Times New Roman" w:cs="Times New Roman"/>
          <w:bCs/>
          <w:color w:val="0070C0"/>
        </w:rPr>
        <w:t xml:space="preserve"> </w:t>
      </w:r>
      <w:r w:rsidR="00FF294F" w:rsidRPr="00BC37E8">
        <w:rPr>
          <w:rFonts w:ascii="Times New Roman" w:hAnsi="Times New Roman" w:cs="Times New Roman"/>
          <w:bCs/>
          <w:color w:val="0070C0"/>
        </w:rPr>
        <w:t xml:space="preserve">Reliability for </w:t>
      </w:r>
      <w:r w:rsidR="008B099E">
        <w:rPr>
          <w:rFonts w:ascii="Times New Roman" w:hAnsi="Times New Roman" w:cs="Times New Roman"/>
          <w:bCs/>
          <w:color w:val="0070C0"/>
        </w:rPr>
        <w:t>groups of different practice sizes was similar, with mean reliability for the smallest TINs at 0.81</w:t>
      </w:r>
      <w:r w:rsidR="00FF294F" w:rsidRPr="00BC37E8">
        <w:rPr>
          <w:rFonts w:ascii="Times New Roman" w:hAnsi="Times New Roman" w:cs="Times New Roman"/>
          <w:bCs/>
          <w:color w:val="0070C0"/>
        </w:rPr>
        <w:t xml:space="preserve">. </w:t>
      </w:r>
    </w:p>
    <w:p w14:paraId="0892C4D9" w14:textId="77777777" w:rsidR="00014B77" w:rsidRPr="00BC37E8" w:rsidRDefault="00014B77" w:rsidP="00FF294F">
      <w:pPr>
        <w:autoSpaceDE w:val="0"/>
        <w:autoSpaceDN w:val="0"/>
        <w:adjustRightInd w:val="0"/>
        <w:spacing w:after="0" w:line="240" w:lineRule="auto"/>
        <w:rPr>
          <w:rFonts w:ascii="Times New Roman" w:hAnsi="Times New Roman" w:cs="Times New Roman"/>
          <w:bCs/>
          <w:color w:val="0070C0"/>
        </w:rPr>
      </w:pPr>
    </w:p>
    <w:p w14:paraId="704840A8" w14:textId="0134BDFD" w:rsidR="00FF294F" w:rsidRPr="00BC37E8" w:rsidRDefault="00FF294F" w:rsidP="00FF294F">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The split-sample reliability analysis provides further evidence of reliability and repeatability of the performance measure. Reliability (ICC</w:t>
      </w:r>
      <w:r w:rsidR="008B099E">
        <w:rPr>
          <w:rFonts w:ascii="Times New Roman" w:hAnsi="Times New Roman" w:cs="Times New Roman"/>
          <w:bCs/>
          <w:color w:val="0070C0"/>
        </w:rPr>
        <w:t>(2,1)</w:t>
      </w:r>
      <w:r w:rsidRPr="00BC37E8">
        <w:rPr>
          <w:rFonts w:ascii="Times New Roman" w:hAnsi="Times New Roman" w:cs="Times New Roman"/>
          <w:bCs/>
          <w:color w:val="0070C0"/>
        </w:rPr>
        <w:t xml:space="preserve">) was </w:t>
      </w:r>
      <w:r w:rsidR="008B099E">
        <w:rPr>
          <w:rFonts w:ascii="Times New Roman" w:hAnsi="Times New Roman" w:cs="Times New Roman"/>
          <w:bCs/>
          <w:color w:val="0070C0"/>
        </w:rPr>
        <w:t>0.76 for TINs and 0.64 for TIN-NPIs, which indicates good or high overall reliability for TINs and moderate for TIN-NPIs.</w:t>
      </w:r>
    </w:p>
    <w:p w14:paraId="1EE55AA7" w14:textId="77777777" w:rsidR="00FF294F" w:rsidRPr="00BC37E8" w:rsidRDefault="00FF294F" w:rsidP="00FF294F">
      <w:pPr>
        <w:autoSpaceDE w:val="0"/>
        <w:autoSpaceDN w:val="0"/>
        <w:adjustRightInd w:val="0"/>
        <w:spacing w:after="0" w:line="240" w:lineRule="auto"/>
        <w:rPr>
          <w:rFonts w:ascii="Times New Roman" w:hAnsi="Times New Roman" w:cs="Times New Roman"/>
          <w:bCs/>
          <w:color w:val="0070C0"/>
        </w:rPr>
      </w:pPr>
    </w:p>
    <w:p w14:paraId="0159671E" w14:textId="6CF8E38B" w:rsidR="00014B77" w:rsidRDefault="00014B77" w:rsidP="00014B77">
      <w:pPr>
        <w:pStyle w:val="PlainText"/>
        <w:rPr>
          <w:rFonts w:cstheme="minorHAnsi"/>
          <w:bCs/>
          <w:color w:val="0070C0"/>
        </w:rPr>
      </w:pPr>
      <w:r w:rsidRPr="00BC37E8">
        <w:rPr>
          <w:rFonts w:ascii="Times New Roman" w:hAnsi="Times New Roman" w:cs="Times New Roman"/>
          <w:color w:val="0070C0"/>
        </w:rPr>
        <w:t>The two reliability metrics capture related, but distinct, concepts. Our ICC(2,1) metric will tend to differ from our signal-to-noise metric for two reasons: (</w:t>
      </w:r>
      <w:r w:rsidR="008B099E">
        <w:rPr>
          <w:rFonts w:ascii="Times New Roman" w:hAnsi="Times New Roman" w:cs="Times New Roman"/>
          <w:color w:val="0070C0"/>
        </w:rPr>
        <w:t>i</w:t>
      </w:r>
      <w:r w:rsidRPr="00BC37E8">
        <w:rPr>
          <w:rFonts w:ascii="Times New Roman" w:hAnsi="Times New Roman" w:cs="Times New Roman"/>
          <w:color w:val="0070C0"/>
        </w:rPr>
        <w:t>) The denominator of ICC(2,1) includes additional statistical variation arising from true differences in a provider’s performance across performance periods; and (</w:t>
      </w:r>
      <w:r w:rsidR="008B099E">
        <w:rPr>
          <w:rFonts w:ascii="Times New Roman" w:hAnsi="Times New Roman" w:cs="Times New Roman"/>
          <w:color w:val="0070C0"/>
        </w:rPr>
        <w:t>ii</w:t>
      </w:r>
      <w:r w:rsidRPr="00BC37E8">
        <w:rPr>
          <w:rFonts w:ascii="Times New Roman" w:hAnsi="Times New Roman" w:cs="Times New Roman"/>
          <w:color w:val="0070C0"/>
        </w:rPr>
        <w:t>) The denominator of ICC(2,1) imposes a common variance for the residual across providers, ignoring differences in precision arising from differences in case sizes. Reason (</w:t>
      </w:r>
      <w:r w:rsidR="008B099E">
        <w:rPr>
          <w:rFonts w:ascii="Times New Roman" w:hAnsi="Times New Roman" w:cs="Times New Roman"/>
          <w:color w:val="0070C0"/>
        </w:rPr>
        <w:t>i</w:t>
      </w:r>
      <w:r w:rsidRPr="00BC37E8">
        <w:rPr>
          <w:rFonts w:ascii="Times New Roman" w:hAnsi="Times New Roman" w:cs="Times New Roman"/>
          <w:color w:val="0070C0"/>
        </w:rPr>
        <w:t>) makes ICC(2,1) a less relevant metric in this context, since program goals actually require accurately distinguishing systematic performance changes from one period to another, rather than treating them as statistical noise. To avoid this issue, one could alternatively calculate ICC(2,1) using split-half samples from a single performance period. However, this approach also underestimates reliability of the measure for use in the program; in this case, under-estimation occurs because case sizes are artificially cut in half from true case sizes, mechanically reducing precision from the intended application of the measures. We still present both reliability metrics for completeness, but for reasons (</w:t>
      </w:r>
      <w:r w:rsidR="008B099E">
        <w:rPr>
          <w:rFonts w:ascii="Times New Roman" w:hAnsi="Times New Roman" w:cs="Times New Roman"/>
          <w:color w:val="0070C0"/>
        </w:rPr>
        <w:t>i</w:t>
      </w:r>
      <w:r w:rsidRPr="00BC37E8">
        <w:rPr>
          <w:rFonts w:ascii="Times New Roman" w:hAnsi="Times New Roman" w:cs="Times New Roman"/>
          <w:color w:val="0070C0"/>
        </w:rPr>
        <w:t>) and (</w:t>
      </w:r>
      <w:r w:rsidR="008B099E">
        <w:rPr>
          <w:rFonts w:ascii="Times New Roman" w:hAnsi="Times New Roman" w:cs="Times New Roman"/>
          <w:color w:val="0070C0"/>
        </w:rPr>
        <w:t>ii</w:t>
      </w:r>
      <w:r w:rsidRPr="00BC37E8">
        <w:rPr>
          <w:rFonts w:ascii="Times New Roman" w:hAnsi="Times New Roman" w:cs="Times New Roman"/>
          <w:color w:val="0070C0"/>
        </w:rPr>
        <w:t>), view the signal-to-noise metric as the preferred and more relevant one.</w:t>
      </w:r>
      <w:r w:rsidDel="00AD6178">
        <w:rPr>
          <w:rFonts w:cstheme="minorHAnsi"/>
          <w:bCs/>
          <w:color w:val="0070C0"/>
        </w:rPr>
        <w:t xml:space="preserve"> </w:t>
      </w:r>
    </w:p>
    <w:p w14:paraId="0CABCFD5" w14:textId="56F4F96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7945D10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9691BB0" w:rsidR="00696262" w:rsidRPr="00A25024" w:rsidRDefault="0056462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8CB8429" w:rsidR="000574AB" w:rsidRPr="00A25024" w:rsidRDefault="0056462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B44BC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r w:rsidR="0046138D">
        <w:rPr>
          <w:rFonts w:eastAsia="MS Gothic" w:cstheme="minorHAnsi"/>
          <w:bCs/>
          <w:i/>
        </w:rPr>
        <w:t>performance</w:t>
      </w:r>
      <w:r w:rsidR="0046138D" w:rsidRPr="00A25024">
        <w:rPr>
          <w:rFonts w:eastAsia="MS Gothic" w:cstheme="minorHAnsi"/>
          <w:bCs/>
        </w:rPr>
        <w:t>)</w:t>
      </w:r>
      <w:r w:rsidR="0046138D">
        <w:rPr>
          <w:rFonts w:eastAsia="MS Gothic" w:cstheme="minorHAnsi"/>
          <w:bCs/>
        </w:rPr>
        <w:t xml:space="preserve"> 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D47344D" w14:textId="0295D947" w:rsidR="00317279" w:rsidRDefault="009C7513" w:rsidP="00637DC6">
      <w:pPr>
        <w:autoSpaceDE w:val="0"/>
        <w:autoSpaceDN w:val="0"/>
        <w:adjustRightInd w:val="0"/>
        <w:spacing w:after="0" w:line="240" w:lineRule="auto"/>
        <w:rPr>
          <w:rFonts w:ascii="Times New Roman" w:hAnsi="Times New Roman" w:cs="Times New Roman"/>
          <w:b/>
          <w:bCs/>
          <w:color w:val="0070C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D15DB0" w:rsidRPr="004B5AC8">
        <w:rPr>
          <w:rFonts w:ascii="Times New Roman" w:hAnsi="Times New Roman" w:cs="Times New Roman"/>
          <w:b/>
          <w:bCs/>
          <w:color w:val="0070C0"/>
          <w:u w:val="single"/>
        </w:rPr>
        <w:t>Face validity</w:t>
      </w:r>
    </w:p>
    <w:p w14:paraId="7B1206E2" w14:textId="61D05AFF" w:rsidR="00637DC6" w:rsidRPr="00BC37E8" w:rsidRDefault="00637DC6" w:rsidP="00637D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The </w:t>
      </w:r>
      <w:r w:rsidR="00F34EC3" w:rsidRPr="00BC37E8">
        <w:rPr>
          <w:rFonts w:ascii="Times New Roman" w:hAnsi="Times New Roman" w:cs="Times New Roman"/>
          <w:bCs/>
          <w:color w:val="0070C0"/>
        </w:rPr>
        <w:t>TPCC</w:t>
      </w:r>
      <w:r w:rsidRPr="00BC37E8">
        <w:rPr>
          <w:rFonts w:ascii="Times New Roman" w:hAnsi="Times New Roman" w:cs="Times New Roman"/>
          <w:bCs/>
          <w:color w:val="0070C0"/>
        </w:rPr>
        <w:t xml:space="preserve"> measure </w:t>
      </w:r>
      <w:r w:rsidR="00317279">
        <w:rPr>
          <w:rFonts w:ascii="Times New Roman" w:hAnsi="Times New Roman" w:cs="Times New Roman"/>
          <w:bCs/>
          <w:color w:val="0070C0"/>
        </w:rPr>
        <w:t xml:space="preserve">underwent </w:t>
      </w:r>
      <w:r w:rsidRPr="00BC37E8">
        <w:rPr>
          <w:rFonts w:ascii="Times New Roman" w:hAnsi="Times New Roman" w:cs="Times New Roman"/>
          <w:bCs/>
          <w:color w:val="0070C0"/>
        </w:rPr>
        <w:t xml:space="preserve">a structured process for gathering detailed input from experts </w:t>
      </w:r>
      <w:r w:rsidR="008B099E">
        <w:rPr>
          <w:rFonts w:ascii="Times New Roman" w:hAnsi="Times New Roman" w:cs="Times New Roman"/>
          <w:bCs/>
          <w:color w:val="0070C0"/>
        </w:rPr>
        <w:t>and a broad range of stakeholders</w:t>
      </w:r>
      <w:r w:rsidRPr="00BC37E8">
        <w:rPr>
          <w:rFonts w:ascii="Times New Roman" w:hAnsi="Times New Roman" w:cs="Times New Roman"/>
          <w:bCs/>
          <w:color w:val="0070C0"/>
        </w:rPr>
        <w:t xml:space="preserve">. </w:t>
      </w:r>
      <w:r w:rsidR="008B099E">
        <w:rPr>
          <w:rFonts w:ascii="Times New Roman" w:hAnsi="Times New Roman" w:cs="Times New Roman"/>
          <w:bCs/>
          <w:color w:val="0070C0"/>
        </w:rPr>
        <w:t xml:space="preserve">An </w:t>
      </w:r>
      <w:r w:rsidRPr="00BC37E8">
        <w:rPr>
          <w:rFonts w:ascii="Times New Roman" w:hAnsi="Times New Roman" w:cs="Times New Roman"/>
          <w:bCs/>
          <w:color w:val="0070C0"/>
        </w:rPr>
        <w:t>expert panel w</w:t>
      </w:r>
      <w:r w:rsidR="008B099E">
        <w:rPr>
          <w:rFonts w:ascii="Times New Roman" w:hAnsi="Times New Roman" w:cs="Times New Roman"/>
          <w:bCs/>
          <w:color w:val="0070C0"/>
        </w:rPr>
        <w:t>as</w:t>
      </w:r>
      <w:r w:rsidRPr="00BC37E8">
        <w:rPr>
          <w:rFonts w:ascii="Times New Roman" w:hAnsi="Times New Roman" w:cs="Times New Roman"/>
          <w:bCs/>
          <w:color w:val="0070C0"/>
        </w:rPr>
        <w:t xml:space="preserve"> convened to </w:t>
      </w:r>
      <w:r w:rsidR="00317279">
        <w:rPr>
          <w:rFonts w:ascii="Times New Roman" w:hAnsi="Times New Roman" w:cs="Times New Roman"/>
          <w:bCs/>
          <w:color w:val="0070C0"/>
        </w:rPr>
        <w:t xml:space="preserve">provide input to inform the comprehensive measure re-evaluation process. Experts provided input on measure refinements (e.g., attribution logic) that would help ensure that the measure is fulfilling its intent to capture the overall costs of care for patients as a result of their primary care management (i.e., capturing what it is intending to capture and differentiating between provider performance). </w:t>
      </w:r>
    </w:p>
    <w:p w14:paraId="15E10C4E" w14:textId="77777777" w:rsidR="00DD2114" w:rsidRPr="00BC37E8" w:rsidRDefault="00DD2114" w:rsidP="00637DC6">
      <w:pPr>
        <w:autoSpaceDE w:val="0"/>
        <w:autoSpaceDN w:val="0"/>
        <w:adjustRightInd w:val="0"/>
        <w:spacing w:after="0" w:line="240" w:lineRule="auto"/>
        <w:rPr>
          <w:rFonts w:ascii="Times New Roman" w:hAnsi="Times New Roman" w:cs="Times New Roman"/>
          <w:bCs/>
          <w:color w:val="0070C0"/>
        </w:rPr>
      </w:pPr>
    </w:p>
    <w:p w14:paraId="7D9F0D6D" w14:textId="7D9AC482" w:rsidR="00637DC6" w:rsidRPr="00BC37E8" w:rsidRDefault="009E0F54" w:rsidP="00637D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During </w:t>
      </w:r>
      <w:r w:rsidR="00637DC6" w:rsidRPr="00BC37E8">
        <w:rPr>
          <w:rFonts w:ascii="Times New Roman" w:hAnsi="Times New Roman" w:cs="Times New Roman"/>
          <w:bCs/>
          <w:color w:val="0070C0"/>
        </w:rPr>
        <w:t>measure</w:t>
      </w:r>
      <w:r w:rsidRPr="00BC37E8">
        <w:rPr>
          <w:rFonts w:ascii="Times New Roman" w:hAnsi="Times New Roman" w:cs="Times New Roman"/>
          <w:bCs/>
          <w:color w:val="0070C0"/>
        </w:rPr>
        <w:t xml:space="preserve"> </w:t>
      </w:r>
      <w:r w:rsidR="00317279">
        <w:rPr>
          <w:rFonts w:ascii="Times New Roman" w:hAnsi="Times New Roman" w:cs="Times New Roman"/>
          <w:bCs/>
          <w:color w:val="0070C0"/>
        </w:rPr>
        <w:t>re-evaluation</w:t>
      </w:r>
      <w:r w:rsidR="00637DC6" w:rsidRPr="00BC37E8">
        <w:rPr>
          <w:rFonts w:ascii="Times New Roman" w:hAnsi="Times New Roman" w:cs="Times New Roman"/>
          <w:bCs/>
          <w:color w:val="0070C0"/>
        </w:rPr>
        <w:t xml:space="preserve">, </w:t>
      </w:r>
      <w:r w:rsidR="00785101" w:rsidRPr="00BC37E8">
        <w:rPr>
          <w:rFonts w:ascii="Times New Roman" w:hAnsi="Times New Roman" w:cs="Times New Roman"/>
          <w:bCs/>
          <w:color w:val="0070C0"/>
        </w:rPr>
        <w:t xml:space="preserve">we </w:t>
      </w:r>
      <w:r w:rsidR="00637DC6" w:rsidRPr="00BC37E8">
        <w:rPr>
          <w:rFonts w:ascii="Times New Roman" w:hAnsi="Times New Roman" w:cs="Times New Roman"/>
          <w:bCs/>
          <w:color w:val="0070C0"/>
        </w:rPr>
        <w:t xml:space="preserve">incorporated input from (i) </w:t>
      </w:r>
      <w:r w:rsidR="00317279">
        <w:rPr>
          <w:rFonts w:ascii="Times New Roman" w:hAnsi="Times New Roman" w:cs="Times New Roman"/>
          <w:bCs/>
          <w:color w:val="0070C0"/>
        </w:rPr>
        <w:t>a</w:t>
      </w:r>
      <w:r w:rsidR="00317279" w:rsidRPr="00BC37E8">
        <w:rPr>
          <w:rFonts w:ascii="Times New Roman" w:hAnsi="Times New Roman" w:cs="Times New Roman"/>
          <w:bCs/>
          <w:color w:val="0070C0"/>
        </w:rPr>
        <w:t xml:space="preserve"> </w:t>
      </w:r>
      <w:r w:rsidR="00637DC6" w:rsidRPr="00BC37E8">
        <w:rPr>
          <w:rFonts w:ascii="Times New Roman" w:hAnsi="Times New Roman" w:cs="Times New Roman"/>
          <w:bCs/>
          <w:color w:val="0070C0"/>
        </w:rPr>
        <w:t>technical expert panel (TEP)</w:t>
      </w:r>
      <w:r w:rsidR="00317279">
        <w:rPr>
          <w:rFonts w:ascii="Times New Roman" w:hAnsi="Times New Roman" w:cs="Times New Roman"/>
          <w:bCs/>
          <w:color w:val="0070C0"/>
        </w:rPr>
        <w:t xml:space="preserve"> which convened to discuss this measure at three</w:t>
      </w:r>
      <w:r w:rsidR="00637DC6" w:rsidRPr="00BC37E8">
        <w:rPr>
          <w:rFonts w:ascii="Times New Roman" w:hAnsi="Times New Roman" w:cs="Times New Roman"/>
          <w:bCs/>
          <w:color w:val="0070C0"/>
        </w:rPr>
        <w:t xml:space="preserve"> meetings in 2017 and 2018, and (ii) stakeholder feedback from national field testing. </w:t>
      </w:r>
    </w:p>
    <w:p w14:paraId="5979C8AD" w14:textId="77777777" w:rsidR="00637DC6" w:rsidRPr="00BC37E8" w:rsidRDefault="00637DC6" w:rsidP="00637DC6">
      <w:pPr>
        <w:autoSpaceDE w:val="0"/>
        <w:autoSpaceDN w:val="0"/>
        <w:adjustRightInd w:val="0"/>
        <w:spacing w:after="0" w:line="240" w:lineRule="auto"/>
        <w:rPr>
          <w:rFonts w:ascii="Times New Roman" w:hAnsi="Times New Roman" w:cs="Times New Roman"/>
          <w:bCs/>
          <w:color w:val="0070C0"/>
        </w:rPr>
      </w:pPr>
    </w:p>
    <w:p w14:paraId="1ECF7A9B" w14:textId="196E97A7" w:rsidR="00637DC6" w:rsidRPr="00BC37E8" w:rsidRDefault="00DD2114" w:rsidP="00637D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The TEP comprised 19 members </w:t>
      </w:r>
      <w:r w:rsidR="00317279">
        <w:rPr>
          <w:rFonts w:ascii="Times New Roman" w:hAnsi="Times New Roman" w:cs="Times New Roman"/>
          <w:bCs/>
          <w:color w:val="0070C0"/>
        </w:rPr>
        <w:t xml:space="preserve">with expertise in cost measure development and evaluation and quality improvement </w:t>
      </w:r>
      <w:r w:rsidRPr="00BC37E8">
        <w:rPr>
          <w:rFonts w:ascii="Times New Roman" w:hAnsi="Times New Roman" w:cs="Times New Roman"/>
          <w:bCs/>
          <w:color w:val="0070C0"/>
        </w:rPr>
        <w:t xml:space="preserve">from diverse backgrounds, including clinicians, healthcare providers, academia, and patient </w:t>
      </w:r>
      <w:r w:rsidRPr="00BC37E8">
        <w:rPr>
          <w:rFonts w:ascii="Times New Roman" w:hAnsi="Times New Roman" w:cs="Times New Roman"/>
          <w:bCs/>
          <w:color w:val="0070C0"/>
        </w:rPr>
        <w:lastRenderedPageBreak/>
        <w:t xml:space="preserve">advocacy organizations. </w:t>
      </w:r>
      <w:r w:rsidR="00317279">
        <w:rPr>
          <w:rFonts w:ascii="Times New Roman" w:hAnsi="Times New Roman" w:cs="Times New Roman"/>
          <w:bCs/>
          <w:color w:val="0070C0"/>
        </w:rPr>
        <w:t xml:space="preserve">At a </w:t>
      </w:r>
      <w:r w:rsidRPr="00BC37E8">
        <w:rPr>
          <w:rFonts w:ascii="Times New Roman" w:hAnsi="Times New Roman" w:cs="Times New Roman"/>
          <w:bCs/>
          <w:color w:val="0070C0"/>
        </w:rPr>
        <w:t xml:space="preserve">TEP </w:t>
      </w:r>
      <w:r w:rsidR="00317279">
        <w:rPr>
          <w:rFonts w:ascii="Times New Roman" w:hAnsi="Times New Roman" w:cs="Times New Roman"/>
          <w:bCs/>
          <w:color w:val="0070C0"/>
        </w:rPr>
        <w:t xml:space="preserve">meeting in August 2017, the panel </w:t>
      </w:r>
      <w:r w:rsidRPr="00BC37E8">
        <w:rPr>
          <w:rFonts w:ascii="Times New Roman" w:hAnsi="Times New Roman" w:cs="Times New Roman"/>
          <w:bCs/>
          <w:color w:val="0070C0"/>
        </w:rPr>
        <w:t xml:space="preserve">provided </w:t>
      </w:r>
      <w:r w:rsidR="00735CBE">
        <w:rPr>
          <w:rFonts w:ascii="Times New Roman" w:hAnsi="Times New Roman" w:cs="Times New Roman"/>
          <w:bCs/>
          <w:color w:val="0070C0"/>
        </w:rPr>
        <w:t xml:space="preserve">high-level guidance and initial </w:t>
      </w:r>
      <w:r w:rsidRPr="00BC37E8">
        <w:rPr>
          <w:rFonts w:ascii="Times New Roman" w:hAnsi="Times New Roman" w:cs="Times New Roman"/>
          <w:bCs/>
          <w:color w:val="0070C0"/>
        </w:rPr>
        <w:t xml:space="preserve">input on </w:t>
      </w:r>
      <w:r w:rsidR="00735CBE">
        <w:rPr>
          <w:rFonts w:ascii="Times New Roman" w:hAnsi="Times New Roman" w:cs="Times New Roman"/>
          <w:bCs/>
          <w:color w:val="0070C0"/>
        </w:rPr>
        <w:t xml:space="preserve">direction for refinement, focusing on </w:t>
      </w:r>
      <w:r w:rsidR="00D41146">
        <w:rPr>
          <w:rFonts w:ascii="Times New Roman" w:hAnsi="Times New Roman" w:cs="Times New Roman"/>
          <w:bCs/>
          <w:color w:val="0070C0"/>
        </w:rPr>
        <w:t xml:space="preserve">which clinician(s) to attribute </w:t>
      </w:r>
      <w:r w:rsidR="00735CBE">
        <w:rPr>
          <w:rFonts w:ascii="Times New Roman" w:hAnsi="Times New Roman" w:cs="Times New Roman"/>
          <w:bCs/>
          <w:color w:val="0070C0"/>
        </w:rPr>
        <w:t xml:space="preserve">and </w:t>
      </w:r>
      <w:r w:rsidR="00D41146">
        <w:rPr>
          <w:rFonts w:ascii="Times New Roman" w:hAnsi="Times New Roman" w:cs="Times New Roman"/>
          <w:bCs/>
          <w:color w:val="0070C0"/>
        </w:rPr>
        <w:t xml:space="preserve">the </w:t>
      </w:r>
      <w:r w:rsidR="00735CBE">
        <w:rPr>
          <w:rFonts w:ascii="Times New Roman" w:hAnsi="Times New Roman" w:cs="Times New Roman"/>
          <w:bCs/>
          <w:color w:val="0070C0"/>
        </w:rPr>
        <w:t>timing of attribution which stakeholders previously comment</w:t>
      </w:r>
      <w:r w:rsidR="008B099E">
        <w:rPr>
          <w:rFonts w:ascii="Times New Roman" w:hAnsi="Times New Roman" w:cs="Times New Roman"/>
          <w:bCs/>
          <w:color w:val="0070C0"/>
        </w:rPr>
        <w:t>ed</w:t>
      </w:r>
      <w:r w:rsidR="00735CBE">
        <w:rPr>
          <w:rFonts w:ascii="Times New Roman" w:hAnsi="Times New Roman" w:cs="Times New Roman"/>
          <w:bCs/>
          <w:color w:val="0070C0"/>
        </w:rPr>
        <w:t xml:space="preserve"> on for the version of the measure as specified at that time. These refinements would address prior feedback and help the measure ensure it was capturing the clinicians responsible for primary care management, which is key to measure actionability and meaningfully differentiating between providers. During a</w:t>
      </w:r>
      <w:r w:rsidRPr="00BC37E8">
        <w:rPr>
          <w:rFonts w:ascii="Times New Roman" w:hAnsi="Times New Roman" w:cs="Times New Roman"/>
          <w:bCs/>
          <w:color w:val="0070C0"/>
        </w:rPr>
        <w:t xml:space="preserve"> May 2018</w:t>
      </w:r>
      <w:r w:rsidR="00735CBE">
        <w:rPr>
          <w:rFonts w:ascii="Times New Roman" w:hAnsi="Times New Roman" w:cs="Times New Roman"/>
          <w:bCs/>
          <w:color w:val="0070C0"/>
        </w:rPr>
        <w:t xml:space="preserve">, the TEP provided further input </w:t>
      </w:r>
      <w:r w:rsidR="008B099E">
        <w:rPr>
          <w:rFonts w:ascii="Times New Roman" w:hAnsi="Times New Roman" w:cs="Times New Roman"/>
          <w:bCs/>
          <w:color w:val="0070C0"/>
        </w:rPr>
        <w:t xml:space="preserve">on </w:t>
      </w:r>
      <w:r w:rsidR="00735CBE">
        <w:rPr>
          <w:rFonts w:ascii="Times New Roman" w:hAnsi="Times New Roman" w:cs="Times New Roman"/>
          <w:bCs/>
          <w:color w:val="0070C0"/>
        </w:rPr>
        <w:t>specific approaches with empirically testing to refine the attribution methodology</w:t>
      </w:r>
      <w:r w:rsidRPr="00BC37E8">
        <w:rPr>
          <w:rFonts w:ascii="Times New Roman" w:hAnsi="Times New Roman" w:cs="Times New Roman"/>
          <w:bCs/>
          <w:color w:val="0070C0"/>
        </w:rPr>
        <w:t>. Based on input from the first two TEP meetings, TPCC attribution rules were refined to better identify care relationships and fairly attribute clinicians</w:t>
      </w:r>
      <w:r w:rsidR="00735CBE">
        <w:rPr>
          <w:rFonts w:ascii="Times New Roman" w:hAnsi="Times New Roman" w:cs="Times New Roman"/>
          <w:bCs/>
          <w:color w:val="0070C0"/>
        </w:rPr>
        <w:t xml:space="preserve"> using a pairing of primary care related claims to address previous stakeholder comments</w:t>
      </w:r>
      <w:r w:rsidRPr="00BC37E8">
        <w:rPr>
          <w:rFonts w:ascii="Times New Roman" w:hAnsi="Times New Roman" w:cs="Times New Roman"/>
          <w:bCs/>
          <w:color w:val="0070C0"/>
        </w:rPr>
        <w:t>. For example, the timing of attribution was refined so that cost could no longer be assigned prior to seeing a beneficiary</w:t>
      </w:r>
      <w:r w:rsidR="008B099E">
        <w:rPr>
          <w:rFonts w:ascii="Times New Roman" w:hAnsi="Times New Roman" w:cs="Times New Roman"/>
          <w:bCs/>
          <w:color w:val="0070C0"/>
        </w:rPr>
        <w:t>,</w:t>
      </w:r>
      <w:r w:rsidR="00735CBE">
        <w:rPr>
          <w:rFonts w:ascii="Times New Roman" w:hAnsi="Times New Roman" w:cs="Times New Roman"/>
          <w:bCs/>
          <w:color w:val="0070C0"/>
        </w:rPr>
        <w:t xml:space="preserve"> and clinician</w:t>
      </w:r>
      <w:r w:rsidR="008B099E">
        <w:rPr>
          <w:rFonts w:ascii="Times New Roman" w:hAnsi="Times New Roman" w:cs="Times New Roman"/>
          <w:bCs/>
          <w:color w:val="0070C0"/>
        </w:rPr>
        <w:t>s</w:t>
      </w:r>
      <w:r w:rsidR="00735CBE">
        <w:rPr>
          <w:rFonts w:ascii="Times New Roman" w:hAnsi="Times New Roman" w:cs="Times New Roman"/>
          <w:bCs/>
          <w:color w:val="0070C0"/>
        </w:rPr>
        <w:t xml:space="preserve"> were excluded based on their Part B billing patterns</w:t>
      </w:r>
      <w:r w:rsidRPr="00BC37E8">
        <w:rPr>
          <w:rFonts w:ascii="Times New Roman" w:hAnsi="Times New Roman" w:cs="Times New Roman"/>
          <w:bCs/>
          <w:color w:val="0070C0"/>
        </w:rPr>
        <w:t>.</w:t>
      </w:r>
    </w:p>
    <w:p w14:paraId="18424425" w14:textId="77777777" w:rsidR="00DD2114" w:rsidRPr="00BC37E8" w:rsidRDefault="00DD2114" w:rsidP="00637DC6">
      <w:pPr>
        <w:autoSpaceDE w:val="0"/>
        <w:autoSpaceDN w:val="0"/>
        <w:adjustRightInd w:val="0"/>
        <w:spacing w:after="0" w:line="240" w:lineRule="auto"/>
        <w:rPr>
          <w:rFonts w:ascii="Times New Roman" w:hAnsi="Times New Roman" w:cs="Times New Roman"/>
          <w:bCs/>
          <w:color w:val="0070C0"/>
        </w:rPr>
      </w:pPr>
    </w:p>
    <w:p w14:paraId="1645A435" w14:textId="390F57A9" w:rsidR="00531010" w:rsidRPr="00BC37E8" w:rsidRDefault="00DD2114" w:rsidP="00637D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In addition, </w:t>
      </w:r>
      <w:r w:rsidR="00735CBE">
        <w:rPr>
          <w:rFonts w:ascii="Times New Roman" w:hAnsi="Times New Roman" w:cs="Times New Roman"/>
          <w:bCs/>
          <w:color w:val="0070C0"/>
        </w:rPr>
        <w:t>a</w:t>
      </w:r>
      <w:r w:rsidR="00735CBE" w:rsidRPr="00BC37E8">
        <w:rPr>
          <w:rFonts w:ascii="Times New Roman" w:hAnsi="Times New Roman" w:cs="Times New Roman"/>
          <w:bCs/>
          <w:color w:val="0070C0"/>
        </w:rPr>
        <w:t xml:space="preserve"> </w:t>
      </w:r>
      <w:r w:rsidRPr="00BC37E8">
        <w:rPr>
          <w:rFonts w:ascii="Times New Roman" w:hAnsi="Times New Roman" w:cs="Times New Roman"/>
          <w:bCs/>
          <w:color w:val="0070C0"/>
        </w:rPr>
        <w:t xml:space="preserve">national field testing feedback period in October and November 2018 offered all stakeholders an opportunity to review and provide input on draft measure specifications for the </w:t>
      </w:r>
      <w:r w:rsidR="00735CBE">
        <w:rPr>
          <w:rFonts w:ascii="Times New Roman" w:hAnsi="Times New Roman" w:cs="Times New Roman"/>
          <w:bCs/>
          <w:color w:val="0070C0"/>
        </w:rPr>
        <w:t>refinements</w:t>
      </w:r>
      <w:r w:rsidR="00735CBE" w:rsidRPr="00BC37E8">
        <w:rPr>
          <w:rFonts w:ascii="Times New Roman" w:hAnsi="Times New Roman" w:cs="Times New Roman"/>
          <w:bCs/>
          <w:color w:val="0070C0"/>
        </w:rPr>
        <w:t xml:space="preserve"> </w:t>
      </w:r>
      <w:r w:rsidRPr="00BC37E8">
        <w:rPr>
          <w:rFonts w:ascii="Times New Roman" w:hAnsi="Times New Roman" w:cs="Times New Roman"/>
          <w:bCs/>
          <w:color w:val="0070C0"/>
        </w:rPr>
        <w:t xml:space="preserve">and </w:t>
      </w:r>
      <w:r w:rsidR="00735CBE">
        <w:rPr>
          <w:rFonts w:ascii="Times New Roman" w:hAnsi="Times New Roman" w:cs="Times New Roman"/>
          <w:bCs/>
          <w:color w:val="0070C0"/>
        </w:rPr>
        <w:t xml:space="preserve">measure </w:t>
      </w:r>
      <w:r w:rsidRPr="00BC37E8">
        <w:rPr>
          <w:rFonts w:ascii="Times New Roman" w:hAnsi="Times New Roman" w:cs="Times New Roman"/>
          <w:bCs/>
          <w:color w:val="0070C0"/>
        </w:rPr>
        <w:t>feedback reports for attributed clinicians and clinician groups.  During this period, 567,239 field test reports for TINs and TIN-NPIs were available for download and review for the</w:t>
      </w:r>
      <w:r w:rsidR="009E0F54" w:rsidRPr="00BC37E8">
        <w:rPr>
          <w:rFonts w:ascii="Times New Roman" w:hAnsi="Times New Roman" w:cs="Times New Roman"/>
          <w:bCs/>
          <w:color w:val="0070C0"/>
        </w:rPr>
        <w:t xml:space="preserve"> TPCC measure</w:t>
      </w:r>
      <w:r w:rsidRPr="00BC37E8">
        <w:rPr>
          <w:rFonts w:ascii="Times New Roman" w:hAnsi="Times New Roman" w:cs="Times New Roman"/>
          <w:bCs/>
          <w:color w:val="0070C0"/>
        </w:rPr>
        <w:t xml:space="preserve"> revised </w:t>
      </w:r>
      <w:r w:rsidR="009E0F54" w:rsidRPr="00BC37E8">
        <w:rPr>
          <w:rFonts w:ascii="Times New Roman" w:hAnsi="Times New Roman" w:cs="Times New Roman"/>
          <w:bCs/>
          <w:color w:val="0070C0"/>
        </w:rPr>
        <w:t>in 2018</w:t>
      </w:r>
      <w:r w:rsidRPr="00BC37E8">
        <w:rPr>
          <w:rFonts w:ascii="Times New Roman" w:hAnsi="Times New Roman" w:cs="Times New Roman"/>
          <w:bCs/>
          <w:color w:val="0070C0"/>
        </w:rPr>
        <w:t xml:space="preserve">. Following field testing and </w:t>
      </w:r>
      <w:r w:rsidR="008B099E">
        <w:rPr>
          <w:rFonts w:ascii="Times New Roman" w:hAnsi="Times New Roman" w:cs="Times New Roman"/>
          <w:bCs/>
          <w:color w:val="0070C0"/>
        </w:rPr>
        <w:t xml:space="preserve">with the input from the TEP who met in </w:t>
      </w:r>
      <w:r w:rsidRPr="00BC37E8">
        <w:rPr>
          <w:rFonts w:ascii="Times New Roman" w:hAnsi="Times New Roman" w:cs="Times New Roman"/>
          <w:bCs/>
          <w:color w:val="0070C0"/>
        </w:rPr>
        <w:t xml:space="preserve">November 2018 </w:t>
      </w:r>
      <w:r w:rsidR="008B099E">
        <w:rPr>
          <w:rFonts w:ascii="Times New Roman" w:hAnsi="Times New Roman" w:cs="Times New Roman"/>
          <w:bCs/>
          <w:color w:val="0070C0"/>
        </w:rPr>
        <w:t>to consider field testing feedback</w:t>
      </w:r>
      <w:r w:rsidRPr="00BC37E8">
        <w:rPr>
          <w:rFonts w:ascii="Times New Roman" w:hAnsi="Times New Roman" w:cs="Times New Roman"/>
          <w:bCs/>
          <w:color w:val="0070C0"/>
        </w:rPr>
        <w:t xml:space="preserve">, a number of refinements were made to the measure including </w:t>
      </w:r>
      <w:r w:rsidR="008B099E">
        <w:rPr>
          <w:rFonts w:ascii="Times New Roman" w:hAnsi="Times New Roman" w:cs="Times New Roman"/>
          <w:bCs/>
          <w:color w:val="0070C0"/>
        </w:rPr>
        <w:t>adding</w:t>
      </w:r>
      <w:r w:rsidRPr="00BC37E8">
        <w:rPr>
          <w:rFonts w:ascii="Times New Roman" w:hAnsi="Times New Roman" w:cs="Times New Roman"/>
          <w:bCs/>
          <w:color w:val="0070C0"/>
        </w:rPr>
        <w:t xml:space="preserve"> </w:t>
      </w:r>
      <w:r w:rsidR="00BA6C49" w:rsidRPr="00BC37E8">
        <w:rPr>
          <w:rFonts w:ascii="Times New Roman" w:hAnsi="Times New Roman" w:cs="Times New Roman"/>
          <w:bCs/>
          <w:color w:val="0070C0"/>
        </w:rPr>
        <w:t xml:space="preserve">a specialty adjustment to account for differences in TIN’s specialty composition and </w:t>
      </w:r>
      <w:r w:rsidR="008B099E">
        <w:rPr>
          <w:rFonts w:ascii="Times New Roman" w:hAnsi="Times New Roman" w:cs="Times New Roman"/>
          <w:bCs/>
          <w:color w:val="0070C0"/>
        </w:rPr>
        <w:t>creating</w:t>
      </w:r>
      <w:r w:rsidR="00BA6C49" w:rsidRPr="00BC37E8">
        <w:rPr>
          <w:rFonts w:ascii="Times New Roman" w:hAnsi="Times New Roman" w:cs="Times New Roman"/>
          <w:bCs/>
          <w:color w:val="0070C0"/>
        </w:rPr>
        <w:t xml:space="preserve"> </w:t>
      </w:r>
      <w:r w:rsidRPr="00BC37E8">
        <w:rPr>
          <w:rFonts w:ascii="Times New Roman" w:hAnsi="Times New Roman" w:cs="Times New Roman"/>
          <w:bCs/>
          <w:color w:val="0070C0"/>
        </w:rPr>
        <w:t>specialty exclusions to remove from attribution those clinicians belonging to specialties that are unlikely to be responsible for primary care.</w:t>
      </w:r>
    </w:p>
    <w:p w14:paraId="45B0C4DF" w14:textId="297D7BA0" w:rsidR="00531010" w:rsidRPr="00BC37E8" w:rsidRDefault="00531010" w:rsidP="00637DC6">
      <w:pPr>
        <w:autoSpaceDE w:val="0"/>
        <w:autoSpaceDN w:val="0"/>
        <w:adjustRightInd w:val="0"/>
        <w:spacing w:after="0" w:line="240" w:lineRule="auto"/>
        <w:rPr>
          <w:rFonts w:ascii="Times New Roman" w:hAnsi="Times New Roman" w:cs="Times New Roman"/>
          <w:bCs/>
          <w:color w:val="0070C0"/>
        </w:rPr>
      </w:pPr>
    </w:p>
    <w:p w14:paraId="4DFC7015" w14:textId="4AAD5C7B" w:rsidR="00531010" w:rsidRPr="00BC37E8" w:rsidRDefault="00735CBE" w:rsidP="00637DC6">
      <w:pPr>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 xml:space="preserve">To gather a formal record of the TEP’s systematic input and iterative assessments of the measure refinements throughout this process, </w:t>
      </w:r>
      <w:r w:rsidRPr="004C5C9D">
        <w:rPr>
          <w:rFonts w:ascii="Times New Roman" w:hAnsi="Times New Roman" w:cs="Times New Roman"/>
          <w:bCs/>
          <w:color w:val="0070C0"/>
        </w:rPr>
        <w:t>TEP members complete</w:t>
      </w:r>
      <w:r>
        <w:rPr>
          <w:rFonts w:ascii="Times New Roman" w:hAnsi="Times New Roman" w:cs="Times New Roman"/>
          <w:bCs/>
          <w:color w:val="0070C0"/>
        </w:rPr>
        <w:t>d</w:t>
      </w:r>
      <w:r w:rsidRPr="004C5C9D">
        <w:rPr>
          <w:rFonts w:ascii="Times New Roman" w:hAnsi="Times New Roman" w:cs="Times New Roman"/>
          <w:bCs/>
          <w:color w:val="0070C0"/>
        </w:rPr>
        <w:t xml:space="preserve"> a face validity survey </w:t>
      </w:r>
      <w:r>
        <w:rPr>
          <w:rFonts w:ascii="Times New Roman" w:hAnsi="Times New Roman" w:cs="Times New Roman"/>
          <w:bCs/>
          <w:color w:val="0070C0"/>
        </w:rPr>
        <w:t xml:space="preserve">in November 2019 </w:t>
      </w:r>
      <w:r w:rsidRPr="004C5C9D">
        <w:rPr>
          <w:rFonts w:ascii="Times New Roman" w:hAnsi="Times New Roman" w:cs="Times New Roman"/>
          <w:bCs/>
          <w:color w:val="0070C0"/>
        </w:rPr>
        <w:t xml:space="preserve">that </w:t>
      </w:r>
      <w:r>
        <w:rPr>
          <w:rFonts w:ascii="Times New Roman" w:hAnsi="Times New Roman" w:cs="Times New Roman"/>
          <w:bCs/>
          <w:color w:val="0070C0"/>
        </w:rPr>
        <w:t>assessed (i) the revised measure as compared to the previous version, and (ii) the measure as currently specified after refinements were made</w:t>
      </w:r>
      <w:r w:rsidRPr="004C5C9D">
        <w:rPr>
          <w:rFonts w:ascii="Times New Roman" w:hAnsi="Times New Roman" w:cs="Times New Roman"/>
          <w:bCs/>
          <w:color w:val="0070C0"/>
        </w:rPr>
        <w:t xml:space="preserve">. The </w:t>
      </w:r>
      <w:r>
        <w:rPr>
          <w:rFonts w:ascii="Times New Roman" w:hAnsi="Times New Roman" w:cs="Times New Roman"/>
          <w:bCs/>
          <w:color w:val="0070C0"/>
        </w:rPr>
        <w:t xml:space="preserve">survey used a Likert scale with </w:t>
      </w:r>
      <w:r w:rsidRPr="004C5C9D">
        <w:rPr>
          <w:rFonts w:ascii="Times New Roman" w:hAnsi="Times New Roman" w:cs="Times New Roman"/>
          <w:bCs/>
          <w:color w:val="0070C0"/>
        </w:rPr>
        <w:t>value</w:t>
      </w:r>
      <w:r>
        <w:rPr>
          <w:rFonts w:ascii="Times New Roman" w:hAnsi="Times New Roman" w:cs="Times New Roman"/>
          <w:bCs/>
          <w:color w:val="0070C0"/>
        </w:rPr>
        <w:t>s</w:t>
      </w:r>
      <w:r w:rsidRPr="004C5C9D">
        <w:rPr>
          <w:rFonts w:ascii="Times New Roman" w:hAnsi="Times New Roman" w:cs="Times New Roman"/>
          <w:bCs/>
          <w:color w:val="0070C0"/>
        </w:rPr>
        <w:t xml:space="preserve"> of 1 = Strongly Disagree, 2 = Moderately Disagree, 3 = Somewhat Disagree, 4 = Somewhat Agree, 5 = Moderately Agree, and 6 = Strongly Agree. Fifteen of the 19 TEP members </w:t>
      </w:r>
      <w:r>
        <w:rPr>
          <w:rFonts w:ascii="Times New Roman" w:hAnsi="Times New Roman" w:cs="Times New Roman"/>
          <w:bCs/>
          <w:color w:val="0070C0"/>
        </w:rPr>
        <w:t>completed</w:t>
      </w:r>
      <w:r w:rsidRPr="004C5C9D">
        <w:rPr>
          <w:rFonts w:ascii="Times New Roman" w:hAnsi="Times New Roman" w:cs="Times New Roman"/>
          <w:bCs/>
          <w:color w:val="0070C0"/>
        </w:rPr>
        <w:t xml:space="preserve"> the survey.</w:t>
      </w:r>
    </w:p>
    <w:p w14:paraId="0F6FF16D" w14:textId="77777777" w:rsidR="00735CBE" w:rsidRDefault="00735CBE" w:rsidP="008C676C">
      <w:pPr>
        <w:autoSpaceDE w:val="0"/>
        <w:autoSpaceDN w:val="0"/>
        <w:adjustRightInd w:val="0"/>
        <w:spacing w:after="0" w:line="240" w:lineRule="auto"/>
        <w:rPr>
          <w:rFonts w:ascii="Times New Roman" w:hAnsi="Times New Roman" w:cs="Times New Roman"/>
          <w:b/>
          <w:bCs/>
          <w:color w:val="0070C0"/>
        </w:rPr>
      </w:pPr>
    </w:p>
    <w:p w14:paraId="55B02922" w14:textId="77C1B7BE" w:rsidR="00735CBE" w:rsidRDefault="008564E0" w:rsidP="008C676C">
      <w:pPr>
        <w:autoSpaceDE w:val="0"/>
        <w:autoSpaceDN w:val="0"/>
        <w:adjustRightInd w:val="0"/>
        <w:spacing w:after="0" w:line="240" w:lineRule="auto"/>
        <w:rPr>
          <w:rFonts w:ascii="Times New Roman" w:hAnsi="Times New Roman" w:cs="Times New Roman"/>
          <w:b/>
          <w:bCs/>
          <w:color w:val="0070C0"/>
        </w:rPr>
      </w:pPr>
      <w:r w:rsidRPr="004B5AC8">
        <w:rPr>
          <w:rFonts w:ascii="Times New Roman" w:hAnsi="Times New Roman" w:cs="Times New Roman"/>
          <w:b/>
          <w:bCs/>
          <w:color w:val="0070C0"/>
          <w:u w:val="single"/>
        </w:rPr>
        <w:t>Empirical Validity Testing</w:t>
      </w:r>
    </w:p>
    <w:p w14:paraId="3EB1DDF5" w14:textId="1091A500" w:rsidR="00F62466" w:rsidRPr="00BC37E8" w:rsidRDefault="00BD64C5" w:rsidP="008C676C">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We undertook two approaches to </w:t>
      </w:r>
      <w:r w:rsidR="00735CBE">
        <w:rPr>
          <w:rFonts w:ascii="Times New Roman" w:hAnsi="Times New Roman" w:cs="Times New Roman"/>
          <w:bCs/>
          <w:color w:val="0070C0"/>
        </w:rPr>
        <w:t>empirically examine</w:t>
      </w:r>
      <w:r w:rsidR="00735CBE" w:rsidRPr="00BC37E8">
        <w:rPr>
          <w:rFonts w:ascii="Times New Roman" w:hAnsi="Times New Roman" w:cs="Times New Roman"/>
          <w:bCs/>
          <w:color w:val="0070C0"/>
        </w:rPr>
        <w:t xml:space="preserve"> </w:t>
      </w:r>
      <w:r w:rsidRPr="00BC37E8">
        <w:rPr>
          <w:rFonts w:ascii="Times New Roman" w:hAnsi="Times New Roman" w:cs="Times New Roman"/>
          <w:bCs/>
          <w:color w:val="0070C0"/>
        </w:rPr>
        <w:t xml:space="preserve">the </w:t>
      </w:r>
      <w:r w:rsidR="00150CBF">
        <w:rPr>
          <w:rFonts w:ascii="Times New Roman" w:hAnsi="Times New Roman" w:cs="Times New Roman"/>
          <w:bCs/>
          <w:color w:val="0070C0"/>
        </w:rPr>
        <w:t>extent to which the measure captures what it intends to capture</w:t>
      </w:r>
      <w:r w:rsidRPr="00BC37E8">
        <w:rPr>
          <w:rFonts w:ascii="Times New Roman" w:hAnsi="Times New Roman" w:cs="Times New Roman"/>
          <w:bCs/>
          <w:color w:val="0070C0"/>
        </w:rPr>
        <w:t xml:space="preserve">. In the first approach, we </w:t>
      </w:r>
      <w:r w:rsidR="00150CBF">
        <w:rPr>
          <w:rFonts w:ascii="Times New Roman" w:hAnsi="Times New Roman" w:cs="Times New Roman"/>
          <w:bCs/>
          <w:color w:val="0070C0"/>
        </w:rPr>
        <w:t xml:space="preserve">sought to confirm the expectation that the TPCC measure captures variation in service utilization by </w:t>
      </w:r>
      <w:r w:rsidRPr="00BC37E8">
        <w:rPr>
          <w:rFonts w:ascii="Times New Roman" w:hAnsi="Times New Roman" w:cs="Times New Roman"/>
          <w:bCs/>
          <w:color w:val="0070C0"/>
        </w:rPr>
        <w:t>examining differences in</w:t>
      </w:r>
      <w:r w:rsidR="0065272A" w:rsidRPr="00BC37E8">
        <w:rPr>
          <w:rFonts w:ascii="Times New Roman" w:hAnsi="Times New Roman" w:cs="Times New Roman"/>
          <w:bCs/>
          <w:color w:val="0070C0"/>
        </w:rPr>
        <w:t xml:space="preserve"> mean</w:t>
      </w:r>
      <w:r w:rsidRPr="00BC37E8">
        <w:rPr>
          <w:rFonts w:ascii="Times New Roman" w:hAnsi="Times New Roman" w:cs="Times New Roman"/>
          <w:bCs/>
          <w:color w:val="0070C0"/>
        </w:rPr>
        <w:t xml:space="preserve"> risk-</w:t>
      </w:r>
      <w:r w:rsidR="0065272A" w:rsidRPr="00BC37E8">
        <w:rPr>
          <w:rFonts w:ascii="Times New Roman" w:hAnsi="Times New Roman" w:cs="Times New Roman"/>
          <w:bCs/>
          <w:color w:val="0070C0"/>
        </w:rPr>
        <w:t xml:space="preserve"> and specialty-</w:t>
      </w:r>
      <w:r w:rsidRPr="00BC37E8">
        <w:rPr>
          <w:rFonts w:ascii="Times New Roman" w:hAnsi="Times New Roman" w:cs="Times New Roman"/>
          <w:bCs/>
          <w:color w:val="0070C0"/>
        </w:rPr>
        <w:t xml:space="preserve">adjusted cost for </w:t>
      </w:r>
      <w:r w:rsidR="0065272A" w:rsidRPr="00BC37E8">
        <w:rPr>
          <w:rFonts w:ascii="Times New Roman" w:hAnsi="Times New Roman" w:cs="Times New Roman"/>
          <w:bCs/>
          <w:color w:val="0070C0"/>
        </w:rPr>
        <w:t xml:space="preserve">beneficiary months stratified by beneficiaries with </w:t>
      </w:r>
      <w:r w:rsidRPr="00BC37E8">
        <w:rPr>
          <w:rFonts w:ascii="Times New Roman" w:hAnsi="Times New Roman" w:cs="Times New Roman"/>
          <w:bCs/>
          <w:color w:val="0070C0"/>
        </w:rPr>
        <w:t xml:space="preserve">known indicators of resource or service utilization, specifically complications related to acute admission and post-acute care utilization. For this analysis, we compared the mean risk- and specialty-adjusted monthly cost for beneficiaries with and without complications related to acute admission and post-acute care utilization occurring in the measurement period. </w:t>
      </w:r>
      <w:r w:rsidR="00150CBF">
        <w:rPr>
          <w:rFonts w:ascii="Times New Roman" w:hAnsi="Times New Roman" w:cs="Times New Roman"/>
          <w:bCs/>
          <w:color w:val="0070C0"/>
        </w:rPr>
        <w:t>We expected that beneficiaries as measured by TPCC with these indicators of resource or service utilization would be more expensive those without.</w:t>
      </w:r>
      <w:r w:rsidRPr="00BC37E8">
        <w:rPr>
          <w:rFonts w:ascii="Times New Roman" w:hAnsi="Times New Roman" w:cs="Times New Roman"/>
          <w:bCs/>
          <w:color w:val="0070C0"/>
        </w:rPr>
        <w:t xml:space="preserve"> </w:t>
      </w:r>
    </w:p>
    <w:p w14:paraId="717E9CF3" w14:textId="77777777" w:rsidR="00F62466" w:rsidRPr="00BC37E8" w:rsidRDefault="00F62466" w:rsidP="00BD64C5">
      <w:pPr>
        <w:tabs>
          <w:tab w:val="left" w:pos="8280"/>
        </w:tabs>
        <w:autoSpaceDE w:val="0"/>
        <w:autoSpaceDN w:val="0"/>
        <w:adjustRightInd w:val="0"/>
        <w:spacing w:after="0" w:line="240" w:lineRule="auto"/>
        <w:rPr>
          <w:rFonts w:ascii="Times New Roman" w:hAnsi="Times New Roman" w:cs="Times New Roman"/>
          <w:bCs/>
          <w:color w:val="0070C0"/>
        </w:rPr>
      </w:pPr>
    </w:p>
    <w:p w14:paraId="413BC6CD" w14:textId="3E73B629" w:rsidR="00F62466" w:rsidRPr="00BC37E8" w:rsidRDefault="00BD64C5" w:rsidP="00BD64C5">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In the second approach, we </w:t>
      </w:r>
      <w:r w:rsidR="0018016E">
        <w:rPr>
          <w:rFonts w:ascii="Times New Roman" w:hAnsi="Times New Roman" w:cs="Times New Roman"/>
          <w:bCs/>
          <w:color w:val="0070C0"/>
        </w:rPr>
        <w:t>empirically tested whether the measure is capturing variation in provider cost in the manner intended by evaluating</w:t>
      </w:r>
      <w:r w:rsidR="0018016E" w:rsidRPr="00BC37E8">
        <w:rPr>
          <w:rFonts w:ascii="Times New Roman" w:hAnsi="Times New Roman" w:cs="Times New Roman"/>
          <w:bCs/>
          <w:color w:val="0070C0"/>
        </w:rPr>
        <w:t xml:space="preserve"> </w:t>
      </w:r>
      <w:r w:rsidRPr="00BC37E8">
        <w:rPr>
          <w:rFonts w:ascii="Times New Roman" w:hAnsi="Times New Roman" w:cs="Times New Roman"/>
          <w:bCs/>
          <w:color w:val="0070C0"/>
        </w:rPr>
        <w:t xml:space="preserve">how different types of </w:t>
      </w:r>
      <w:r w:rsidR="008C676C" w:rsidRPr="00BC37E8">
        <w:rPr>
          <w:rFonts w:ascii="Times New Roman" w:hAnsi="Times New Roman" w:cs="Times New Roman"/>
          <w:bCs/>
          <w:color w:val="0070C0"/>
        </w:rPr>
        <w:t>cost</w:t>
      </w:r>
      <w:r w:rsidRPr="00BC37E8">
        <w:rPr>
          <w:rFonts w:ascii="Times New Roman" w:hAnsi="Times New Roman" w:cs="Times New Roman"/>
          <w:bCs/>
          <w:color w:val="0070C0"/>
        </w:rPr>
        <w:t xml:space="preserve"> impact risk-</w:t>
      </w:r>
      <w:r w:rsidR="0065272A" w:rsidRPr="00BC37E8">
        <w:rPr>
          <w:rFonts w:ascii="Times New Roman" w:hAnsi="Times New Roman" w:cs="Times New Roman"/>
          <w:bCs/>
          <w:color w:val="0070C0"/>
        </w:rPr>
        <w:t xml:space="preserve"> and specialty-</w:t>
      </w:r>
      <w:r w:rsidRPr="00BC37E8">
        <w:rPr>
          <w:rFonts w:ascii="Times New Roman" w:hAnsi="Times New Roman" w:cs="Times New Roman"/>
          <w:bCs/>
          <w:color w:val="0070C0"/>
        </w:rPr>
        <w:t xml:space="preserve">adjusted </w:t>
      </w:r>
      <w:r w:rsidR="0065272A" w:rsidRPr="00BC37E8">
        <w:rPr>
          <w:rFonts w:ascii="Times New Roman" w:hAnsi="Times New Roman" w:cs="Times New Roman"/>
          <w:bCs/>
          <w:color w:val="0070C0"/>
        </w:rPr>
        <w:t xml:space="preserve">monthly </w:t>
      </w:r>
      <w:r w:rsidRPr="00BC37E8">
        <w:rPr>
          <w:rFonts w:ascii="Times New Roman" w:hAnsi="Times New Roman" w:cs="Times New Roman"/>
          <w:bCs/>
          <w:color w:val="0070C0"/>
        </w:rPr>
        <w:t xml:space="preserve">costs. We classified certain services included in the TPCC measure into clinically coherent groups of services, called </w:t>
      </w:r>
      <w:r w:rsidR="008C676C" w:rsidRPr="00BC37E8">
        <w:rPr>
          <w:rFonts w:ascii="Times New Roman" w:hAnsi="Times New Roman" w:cs="Times New Roman"/>
          <w:bCs/>
          <w:color w:val="0070C0"/>
        </w:rPr>
        <w:t>“clinical themes”</w:t>
      </w:r>
      <w:r w:rsidRPr="00BC37E8">
        <w:rPr>
          <w:rFonts w:ascii="Times New Roman" w:hAnsi="Times New Roman" w:cs="Times New Roman"/>
          <w:bCs/>
          <w:color w:val="0070C0"/>
        </w:rPr>
        <w:t xml:space="preserve">. The </w:t>
      </w:r>
      <w:r w:rsidR="008C676C" w:rsidRPr="00BC37E8">
        <w:rPr>
          <w:rFonts w:ascii="Times New Roman" w:hAnsi="Times New Roman" w:cs="Times New Roman"/>
          <w:bCs/>
          <w:color w:val="0070C0"/>
        </w:rPr>
        <w:t xml:space="preserve">clinical themes </w:t>
      </w:r>
      <w:r w:rsidRPr="00BC37E8">
        <w:rPr>
          <w:rFonts w:ascii="Times New Roman" w:hAnsi="Times New Roman" w:cs="Times New Roman"/>
          <w:bCs/>
          <w:color w:val="0070C0"/>
        </w:rPr>
        <w:t xml:space="preserve">are: </w:t>
      </w:r>
    </w:p>
    <w:p w14:paraId="6DA3FD3D" w14:textId="4ABCD76E" w:rsidR="00D95CAB" w:rsidRPr="00BC37E8" w:rsidRDefault="00D95CAB" w:rsidP="00D95CAB">
      <w:pPr>
        <w:numPr>
          <w:ilvl w:val="0"/>
          <w:numId w:val="31"/>
        </w:num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 xml:space="preserve">Acute Inpatient Service, </w:t>
      </w:r>
      <w:r w:rsidRPr="00BC37E8">
        <w:rPr>
          <w:rFonts w:ascii="Times New Roman" w:hAnsi="Times New Roman" w:cs="Times New Roman"/>
          <w:bCs/>
          <w:color w:val="0070C0"/>
        </w:rPr>
        <w:t>including acute inpatient hospitalization and the related services billed by any clinician during the stay</w:t>
      </w:r>
    </w:p>
    <w:p w14:paraId="47371169" w14:textId="77777777" w:rsidR="00D95CAB" w:rsidRPr="00BC37E8" w:rsidRDefault="00D95CAB" w:rsidP="00D95CAB">
      <w:pPr>
        <w:numPr>
          <w:ilvl w:val="0"/>
          <w:numId w:val="31"/>
        </w:num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Post-Acute Care (PAC)</w:t>
      </w:r>
      <w:r w:rsidRPr="00BC37E8">
        <w:rPr>
          <w:rFonts w:ascii="Times New Roman" w:hAnsi="Times New Roman" w:cs="Times New Roman"/>
          <w:bCs/>
          <w:color w:val="0070C0"/>
        </w:rPr>
        <w:t>, including home health (HH), skilled nursing facility (SNF), and inpatient rehabilitation or long-term care facility (IRF/LTCH)</w:t>
      </w:r>
    </w:p>
    <w:p w14:paraId="26A3B38D" w14:textId="77777777" w:rsidR="00D95CAB" w:rsidRPr="00BC37E8" w:rsidRDefault="00D95CAB" w:rsidP="00D95CAB">
      <w:pPr>
        <w:numPr>
          <w:ilvl w:val="0"/>
          <w:numId w:val="31"/>
        </w:num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 xml:space="preserve">Emergency Services Not Included in a Hospital Admission, </w:t>
      </w:r>
      <w:r w:rsidRPr="00BC37E8">
        <w:rPr>
          <w:rFonts w:ascii="Times New Roman" w:hAnsi="Times New Roman" w:cs="Times New Roman"/>
          <w:bCs/>
          <w:color w:val="0070C0"/>
        </w:rPr>
        <w:t>including emergency E&amp;M services; procedures; laboratory, pathology, and other tests; and imaging services.</w:t>
      </w:r>
    </w:p>
    <w:p w14:paraId="712BE9DB" w14:textId="77777777" w:rsidR="00D95CAB" w:rsidRPr="00BC37E8" w:rsidRDefault="00D95CAB" w:rsidP="00D95CAB">
      <w:pPr>
        <w:numPr>
          <w:ilvl w:val="0"/>
          <w:numId w:val="31"/>
        </w:num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lastRenderedPageBreak/>
        <w:t>Outpatient Evaluation and Management Services, Procedure, and Therapy (excluding emergency department)</w:t>
      </w:r>
      <w:r w:rsidRPr="00BC37E8">
        <w:rPr>
          <w:rFonts w:ascii="Times New Roman" w:hAnsi="Times New Roman" w:cs="Times New Roman"/>
          <w:bCs/>
          <w:color w:val="0070C0"/>
        </w:rPr>
        <w:t>, including physical, occupational, or speech and language pathology therapy; E&amp;M</w:t>
      </w:r>
      <w:r w:rsidRPr="00BC37E8">
        <w:rPr>
          <w:rFonts w:ascii="Times New Roman" w:hAnsi="Times New Roman" w:cs="Times New Roman"/>
          <w:b/>
          <w:bCs/>
          <w:color w:val="0070C0"/>
        </w:rPr>
        <w:t xml:space="preserve"> </w:t>
      </w:r>
      <w:r w:rsidRPr="00BC37E8">
        <w:rPr>
          <w:rFonts w:ascii="Times New Roman" w:hAnsi="Times New Roman" w:cs="Times New Roman"/>
          <w:bCs/>
          <w:color w:val="0070C0"/>
        </w:rPr>
        <w:t xml:space="preserve">services, major procedures; anesthesia, and ambulatory/minor procedures. </w:t>
      </w:r>
    </w:p>
    <w:p w14:paraId="6B271000" w14:textId="77777777" w:rsidR="00BD64C5" w:rsidRPr="00BC37E8" w:rsidRDefault="00BD64C5" w:rsidP="00BD64C5">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 </w:t>
      </w:r>
    </w:p>
    <w:p w14:paraId="549DB12E" w14:textId="78200F78" w:rsidR="00BD64C5" w:rsidRPr="00BC37E8" w:rsidRDefault="00BD64C5" w:rsidP="00BD64C5">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We calculated the Pearson correlation between the cost of each service category and the risk</w:t>
      </w:r>
      <w:r w:rsidR="00F62466" w:rsidRPr="00BC37E8">
        <w:rPr>
          <w:rFonts w:ascii="Times New Roman" w:hAnsi="Times New Roman" w:cs="Times New Roman"/>
          <w:bCs/>
          <w:color w:val="0070C0"/>
        </w:rPr>
        <w:t>-</w:t>
      </w:r>
      <w:r w:rsidR="0065272A" w:rsidRPr="00BC37E8">
        <w:rPr>
          <w:rFonts w:ascii="Times New Roman" w:hAnsi="Times New Roman" w:cs="Times New Roman"/>
          <w:bCs/>
          <w:color w:val="0070C0"/>
        </w:rPr>
        <w:t xml:space="preserve"> and specialty-</w:t>
      </w:r>
      <w:r w:rsidRPr="00BC37E8">
        <w:rPr>
          <w:rFonts w:ascii="Times New Roman" w:hAnsi="Times New Roman" w:cs="Times New Roman"/>
          <w:bCs/>
          <w:color w:val="0070C0"/>
        </w:rPr>
        <w:t xml:space="preserve">adjusted cost.  </w:t>
      </w:r>
    </w:p>
    <w:p w14:paraId="40A3222E" w14:textId="77777777" w:rsidR="00BD64C5" w:rsidRPr="00BC37E8" w:rsidRDefault="00BD64C5" w:rsidP="00BD64C5">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 </w:t>
      </w:r>
    </w:p>
    <w:p w14:paraId="7C1510A1" w14:textId="00FE60DD" w:rsidR="00BD64C5" w:rsidRPr="00BC37E8" w:rsidRDefault="00BD64C5" w:rsidP="00BD64C5">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We </w:t>
      </w:r>
      <w:r w:rsidR="0018016E">
        <w:rPr>
          <w:rFonts w:ascii="Times New Roman" w:hAnsi="Times New Roman" w:cs="Times New Roman"/>
          <w:bCs/>
          <w:color w:val="0070C0"/>
        </w:rPr>
        <w:t>hypothesized</w:t>
      </w:r>
      <w:r w:rsidR="0018016E" w:rsidRPr="00BC37E8">
        <w:rPr>
          <w:rFonts w:ascii="Times New Roman" w:hAnsi="Times New Roman" w:cs="Times New Roman"/>
          <w:bCs/>
          <w:color w:val="0070C0"/>
        </w:rPr>
        <w:t xml:space="preserve"> </w:t>
      </w:r>
      <w:r w:rsidRPr="00BC37E8">
        <w:rPr>
          <w:rFonts w:ascii="Times New Roman" w:hAnsi="Times New Roman" w:cs="Times New Roman"/>
          <w:bCs/>
          <w:color w:val="0070C0"/>
        </w:rPr>
        <w:t>that at least some of the Post-Acute Care categories and the Acute Inpatient Services category would have the highest correlation with risk- and specialty-adjusted beneficiary month</w:t>
      </w:r>
      <w:r w:rsidR="0065272A" w:rsidRPr="00BC37E8">
        <w:rPr>
          <w:rFonts w:ascii="Times New Roman" w:hAnsi="Times New Roman" w:cs="Times New Roman"/>
          <w:bCs/>
          <w:color w:val="0070C0"/>
        </w:rPr>
        <w:t>ly</w:t>
      </w:r>
      <w:r w:rsidRPr="00BC37E8">
        <w:rPr>
          <w:rFonts w:ascii="Times New Roman" w:hAnsi="Times New Roman" w:cs="Times New Roman"/>
          <w:bCs/>
          <w:color w:val="0070C0"/>
        </w:rPr>
        <w:t xml:space="preserve"> cost even after accounting for beneficiary characteristics, as these types of care are often associated with costly services related to treatment of complications.</w:t>
      </w:r>
    </w:p>
    <w:p w14:paraId="47C4F0C5" w14:textId="3B59E9D1" w:rsidR="00B835CD" w:rsidRDefault="00B835CD" w:rsidP="00BD64C5">
      <w:pPr>
        <w:tabs>
          <w:tab w:val="left" w:pos="8280"/>
        </w:tabs>
        <w:autoSpaceDE w:val="0"/>
        <w:autoSpaceDN w:val="0"/>
        <w:adjustRightInd w:val="0"/>
        <w:spacing w:after="0" w:line="240" w:lineRule="auto"/>
        <w:rPr>
          <w:rFonts w:ascii="Times New Roman" w:hAnsi="Times New Roman" w:cs="Times New Roman"/>
          <w:bCs/>
          <w:color w:val="0070C0"/>
        </w:rPr>
      </w:pPr>
    </w:p>
    <w:p w14:paraId="036BBF89" w14:textId="1CA2C324" w:rsidR="0018016E" w:rsidRDefault="0018016E" w:rsidP="00BD64C5">
      <w:pPr>
        <w:tabs>
          <w:tab w:val="left" w:pos="8280"/>
        </w:tabs>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W</w:t>
      </w:r>
      <w:r w:rsidRPr="00445802">
        <w:rPr>
          <w:rFonts w:ascii="Times New Roman" w:hAnsi="Times New Roman" w:cs="Times New Roman"/>
          <w:bCs/>
          <w:color w:val="0070C0"/>
        </w:rPr>
        <w:t xml:space="preserve">e </w:t>
      </w:r>
      <w:r>
        <w:rPr>
          <w:rFonts w:ascii="Times New Roman" w:hAnsi="Times New Roman" w:cs="Times New Roman"/>
          <w:bCs/>
          <w:color w:val="0070C0"/>
        </w:rPr>
        <w:t xml:space="preserve">also </w:t>
      </w:r>
      <w:r w:rsidRPr="00445802">
        <w:rPr>
          <w:rFonts w:ascii="Times New Roman" w:hAnsi="Times New Roman" w:cs="Times New Roman"/>
          <w:bCs/>
          <w:color w:val="0070C0"/>
        </w:rPr>
        <w:t xml:space="preserve">examined the possibility of </w:t>
      </w:r>
      <w:r>
        <w:rPr>
          <w:rFonts w:ascii="Times New Roman" w:hAnsi="Times New Roman" w:cs="Times New Roman"/>
          <w:bCs/>
          <w:color w:val="0070C0"/>
        </w:rPr>
        <w:t xml:space="preserve">testing a hypothesized </w:t>
      </w:r>
      <w:r w:rsidRPr="00445802">
        <w:rPr>
          <w:rFonts w:ascii="Times New Roman" w:hAnsi="Times New Roman" w:cs="Times New Roman"/>
          <w:bCs/>
          <w:color w:val="0070C0"/>
        </w:rPr>
        <w:t xml:space="preserve">relationship between clinicians’ </w:t>
      </w:r>
      <w:r>
        <w:rPr>
          <w:rFonts w:ascii="Times New Roman" w:hAnsi="Times New Roman" w:cs="Times New Roman"/>
          <w:bCs/>
          <w:color w:val="0070C0"/>
        </w:rPr>
        <w:t>TPCC</w:t>
      </w:r>
      <w:r w:rsidRPr="00445802">
        <w:rPr>
          <w:rFonts w:ascii="Times New Roman" w:hAnsi="Times New Roman" w:cs="Times New Roman"/>
          <w:bCs/>
          <w:color w:val="0070C0"/>
        </w:rPr>
        <w:t xml:space="preserve"> scores and their scores on MIPS quality measures. </w:t>
      </w:r>
      <w:r>
        <w:rPr>
          <w:rFonts w:ascii="Times New Roman" w:hAnsi="Times New Roman" w:cs="Times New Roman"/>
          <w:bCs/>
          <w:color w:val="0070C0"/>
        </w:rPr>
        <w:t>This type of testing assesses whether clinicians with better TPCC scores also perform well on quality measures aimed at capturing the same dimension of care. However, a</w:t>
      </w:r>
      <w:r w:rsidRPr="00445802">
        <w:rPr>
          <w:rFonts w:ascii="Times New Roman" w:hAnsi="Times New Roman" w:cs="Times New Roman"/>
          <w:bCs/>
          <w:color w:val="0070C0"/>
        </w:rPr>
        <w:t>ny relationship between cost measures and quality measures depends on many factors, including the exact construction of each measure, such as whether the specifications are sufficiently harmonized to be capturing the same patient care experience. It also depends on the dimension of care that the quality measure is assessing; for instance, outcomes measures may not be able to assess patient health indicators if the relevant outcome is unlikely to emerge in the short or medium term. An additional consideration specific to MIPS is the availability of quality measure data given reporting requirements. Participants in MIPS select six quality measures to report out of a large number of measures; in 2017 and 2018, there were over 270 available quality measures for clinicians to select from.</w:t>
      </w:r>
    </w:p>
    <w:p w14:paraId="33DF5CDB" w14:textId="5B755E80" w:rsidR="0018016E" w:rsidRDefault="0018016E" w:rsidP="004B5AC8">
      <w:pPr>
        <w:tabs>
          <w:tab w:val="left" w:pos="1048"/>
        </w:tabs>
        <w:autoSpaceDE w:val="0"/>
        <w:autoSpaceDN w:val="0"/>
        <w:adjustRightInd w:val="0"/>
        <w:spacing w:after="0" w:line="240" w:lineRule="auto"/>
        <w:rPr>
          <w:rFonts w:ascii="Times New Roman" w:hAnsi="Times New Roman" w:cs="Times New Roman"/>
          <w:bCs/>
          <w:color w:val="0070C0"/>
        </w:rPr>
      </w:pPr>
    </w:p>
    <w:p w14:paraId="67527FE7" w14:textId="3B76D5DA" w:rsidR="008B099E" w:rsidRDefault="0018016E" w:rsidP="004B5AC8">
      <w:pPr>
        <w:tabs>
          <w:tab w:val="left" w:pos="1048"/>
        </w:tabs>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As there must be a</w:t>
      </w:r>
      <w:r w:rsidRPr="00445802">
        <w:rPr>
          <w:rFonts w:ascii="Times New Roman" w:hAnsi="Times New Roman" w:cs="Times New Roman"/>
          <w:bCs/>
          <w:color w:val="0070C0"/>
        </w:rPr>
        <w:t xml:space="preserve"> conceptual basis for testing whether an expected relationship between cost and quality measures exists</w:t>
      </w:r>
      <w:r>
        <w:rPr>
          <w:rFonts w:ascii="Times New Roman" w:hAnsi="Times New Roman" w:cs="Times New Roman"/>
          <w:bCs/>
          <w:color w:val="0070C0"/>
        </w:rPr>
        <w:t>, s</w:t>
      </w:r>
      <w:r w:rsidRPr="00445802">
        <w:rPr>
          <w:rFonts w:ascii="Times New Roman" w:hAnsi="Times New Roman" w:cs="Times New Roman"/>
          <w:bCs/>
          <w:color w:val="0070C0"/>
        </w:rPr>
        <w:t xml:space="preserve">tronger potential quality measures </w:t>
      </w:r>
      <w:r>
        <w:rPr>
          <w:rFonts w:ascii="Times New Roman" w:hAnsi="Times New Roman" w:cs="Times New Roman"/>
          <w:bCs/>
          <w:color w:val="0070C0"/>
        </w:rPr>
        <w:t>should</w:t>
      </w:r>
      <w:r w:rsidRPr="00445802">
        <w:rPr>
          <w:rFonts w:ascii="Times New Roman" w:hAnsi="Times New Roman" w:cs="Times New Roman"/>
          <w:bCs/>
          <w:color w:val="0070C0"/>
        </w:rPr>
        <w:t xml:space="preserve"> capture the s</w:t>
      </w:r>
      <w:r>
        <w:rPr>
          <w:rFonts w:ascii="Times New Roman" w:hAnsi="Times New Roman" w:cs="Times New Roman"/>
          <w:bCs/>
          <w:color w:val="0070C0"/>
        </w:rPr>
        <w:t>a</w:t>
      </w:r>
      <w:r w:rsidRPr="00445802">
        <w:rPr>
          <w:rFonts w:ascii="Times New Roman" w:hAnsi="Times New Roman" w:cs="Times New Roman"/>
          <w:bCs/>
          <w:color w:val="0070C0"/>
        </w:rPr>
        <w:t xml:space="preserve">me dimension of care as the cost measure. For example, a quality measure that assesses the incidence of complications for the same patient cohort should conceptually be reflected in a cost measure that includes the cost of those complications, although there may be other factors driving costs besides those assessed by the quality measure. </w:t>
      </w:r>
      <w:r>
        <w:rPr>
          <w:rFonts w:ascii="Times New Roman" w:hAnsi="Times New Roman" w:cs="Times New Roman"/>
          <w:bCs/>
          <w:color w:val="0070C0"/>
        </w:rPr>
        <w:t>This kind of analysis looks into a hypothesized relationship between how different types of measures can test the claims-based TPCC measure against one that uses a different data source (e.g., health records). As such, w</w:t>
      </w:r>
      <w:r w:rsidRPr="00445802">
        <w:rPr>
          <w:rFonts w:ascii="Times New Roman" w:hAnsi="Times New Roman" w:cs="Times New Roman"/>
          <w:bCs/>
          <w:color w:val="0070C0"/>
        </w:rPr>
        <w:t>e focused on identifying potential non-claims based outcomes measures for</w:t>
      </w:r>
      <w:r w:rsidR="00F5247D">
        <w:rPr>
          <w:rFonts w:ascii="Times New Roman" w:hAnsi="Times New Roman" w:cs="Times New Roman"/>
          <w:bCs/>
          <w:color w:val="0070C0"/>
        </w:rPr>
        <w:t xml:space="preserve"> primary care and general health outcomes </w:t>
      </w:r>
      <w:r w:rsidRPr="00445802">
        <w:rPr>
          <w:rFonts w:ascii="Times New Roman" w:hAnsi="Times New Roman" w:cs="Times New Roman"/>
          <w:bCs/>
          <w:color w:val="0070C0"/>
        </w:rPr>
        <w:t xml:space="preserve">that would be reflected in the cost measure. </w:t>
      </w:r>
      <w:r w:rsidR="008B099E">
        <w:rPr>
          <w:rFonts w:ascii="Times New Roman" w:hAnsi="Times New Roman" w:cs="Times New Roman"/>
          <w:bCs/>
          <w:color w:val="0070C0"/>
        </w:rPr>
        <w:t>Of the available</w:t>
      </w:r>
      <w:r w:rsidRPr="00BC37E8">
        <w:rPr>
          <w:rFonts w:ascii="Times New Roman" w:hAnsi="Times New Roman" w:cs="Times New Roman"/>
          <w:bCs/>
          <w:color w:val="0070C0"/>
        </w:rPr>
        <w:t xml:space="preserve"> outcome measures</w:t>
      </w:r>
      <w:r w:rsidR="008B099E">
        <w:rPr>
          <w:rFonts w:ascii="Times New Roman" w:hAnsi="Times New Roman" w:cs="Times New Roman"/>
          <w:bCs/>
          <w:color w:val="0070C0"/>
        </w:rPr>
        <w:t xml:space="preserve">, some were aimed at different types of care from what TPCC aims to cover (e.g., </w:t>
      </w:r>
      <w:r w:rsidR="008B099E" w:rsidRPr="00E92F3A">
        <w:rPr>
          <w:rFonts w:ascii="Times New Roman" w:hAnsi="Times New Roman" w:cs="Times New Roman"/>
          <w:bCs/>
          <w:color w:val="0070C0"/>
        </w:rPr>
        <w:t>MIPS Q#342 is specific to admission to palliative care services</w:t>
      </w:r>
      <w:r w:rsidR="008B099E">
        <w:rPr>
          <w:rFonts w:ascii="Times New Roman" w:hAnsi="Times New Roman" w:cs="Times New Roman"/>
          <w:bCs/>
          <w:color w:val="0070C0"/>
        </w:rPr>
        <w:t xml:space="preserve">) and others were narrowly specified relative to the intent of the TPCC measure (e.g., MIPS Q#338 applies only to patients with a diagnosis of HIV). </w:t>
      </w:r>
      <w:r w:rsidRPr="00BC37E8">
        <w:rPr>
          <w:rFonts w:ascii="Times New Roman" w:hAnsi="Times New Roman" w:cs="Times New Roman"/>
          <w:bCs/>
          <w:color w:val="0070C0"/>
        </w:rPr>
        <w:t xml:space="preserve">MIPS Q#398 Optimal Asthma Control </w:t>
      </w:r>
      <w:r w:rsidR="008B099E">
        <w:rPr>
          <w:rFonts w:ascii="Times New Roman" w:hAnsi="Times New Roman" w:cs="Times New Roman"/>
          <w:bCs/>
          <w:color w:val="0070C0"/>
        </w:rPr>
        <w:t xml:space="preserve">(eCQM measure) </w:t>
      </w:r>
      <w:r w:rsidRPr="00BC37E8">
        <w:rPr>
          <w:rFonts w:ascii="Times New Roman" w:hAnsi="Times New Roman" w:cs="Times New Roman"/>
          <w:bCs/>
          <w:color w:val="0070C0"/>
        </w:rPr>
        <w:t xml:space="preserve">has potential to explore a conceptual relationship with the TPCC measure. The quality measure assesses two components of asthma control: performance on asthma control tests/questionnaires, and whether the patient was at risk of exacerbation, defined as having less than 2 ED visits and inpatient hospitalizations due to asthma in 12 months. While this suggests </w:t>
      </w:r>
      <w:r w:rsidR="008B099E">
        <w:rPr>
          <w:rFonts w:ascii="Times New Roman" w:hAnsi="Times New Roman" w:cs="Times New Roman"/>
          <w:bCs/>
          <w:color w:val="0070C0"/>
        </w:rPr>
        <w:t>that a conceptual</w:t>
      </w:r>
      <w:r w:rsidRPr="00BC37E8">
        <w:rPr>
          <w:rFonts w:ascii="Times New Roman" w:hAnsi="Times New Roman" w:cs="Times New Roman"/>
          <w:bCs/>
          <w:color w:val="0070C0"/>
        </w:rPr>
        <w:t xml:space="preserve"> relationship</w:t>
      </w:r>
      <w:r w:rsidR="008B099E">
        <w:rPr>
          <w:rFonts w:ascii="Times New Roman" w:hAnsi="Times New Roman" w:cs="Times New Roman"/>
          <w:bCs/>
          <w:color w:val="0070C0"/>
        </w:rPr>
        <w:t xml:space="preserve"> as ED visits and inpatient hospitalizations will be reflected in claims data</w:t>
      </w:r>
      <w:r w:rsidRPr="00BC37E8">
        <w:rPr>
          <w:rFonts w:ascii="Times New Roman" w:hAnsi="Times New Roman" w:cs="Times New Roman"/>
          <w:bCs/>
          <w:color w:val="0070C0"/>
        </w:rPr>
        <w:t>, we note the following critical limitations: (i) the measure is specified for patients aged 5-17 and 18-50,</w:t>
      </w:r>
      <w:r w:rsidR="008B099E">
        <w:rPr>
          <w:rFonts w:ascii="Times New Roman" w:hAnsi="Times New Roman" w:cs="Times New Roman"/>
          <w:bCs/>
          <w:color w:val="0070C0"/>
        </w:rPr>
        <w:t xml:space="preserve"> which greatly</w:t>
      </w:r>
      <w:r w:rsidRPr="00BC37E8">
        <w:rPr>
          <w:rFonts w:ascii="Times New Roman" w:hAnsi="Times New Roman" w:cs="Times New Roman"/>
          <w:bCs/>
          <w:color w:val="0070C0"/>
        </w:rPr>
        <w:t xml:space="preserve"> </w:t>
      </w:r>
      <w:r w:rsidR="008B099E">
        <w:rPr>
          <w:rFonts w:ascii="Times New Roman" w:hAnsi="Times New Roman" w:cs="Times New Roman"/>
          <w:bCs/>
          <w:color w:val="0070C0"/>
        </w:rPr>
        <w:t>reduces</w:t>
      </w:r>
      <w:r w:rsidRPr="00BC37E8">
        <w:rPr>
          <w:rFonts w:ascii="Times New Roman" w:hAnsi="Times New Roman" w:cs="Times New Roman"/>
          <w:bCs/>
          <w:color w:val="0070C0"/>
        </w:rPr>
        <w:t xml:space="preserve"> the common patient cohort with TPCC, and (ii) only 376 MIPS participating clinicians or groups reported this measure in 2017. </w:t>
      </w:r>
    </w:p>
    <w:p w14:paraId="7CDE84E3" w14:textId="77777777" w:rsidR="008B099E" w:rsidRDefault="008B099E" w:rsidP="004B5AC8">
      <w:pPr>
        <w:tabs>
          <w:tab w:val="left" w:pos="1048"/>
        </w:tabs>
        <w:autoSpaceDE w:val="0"/>
        <w:autoSpaceDN w:val="0"/>
        <w:adjustRightInd w:val="0"/>
        <w:spacing w:after="0" w:line="240" w:lineRule="auto"/>
        <w:rPr>
          <w:rFonts w:ascii="Times New Roman" w:hAnsi="Times New Roman" w:cs="Times New Roman"/>
          <w:bCs/>
          <w:color w:val="0070C0"/>
        </w:rPr>
      </w:pPr>
    </w:p>
    <w:p w14:paraId="045A78CF" w14:textId="58F6DBC5" w:rsidR="0018016E" w:rsidRPr="00BC37E8" w:rsidRDefault="008B099E" w:rsidP="004B5AC8">
      <w:pPr>
        <w:tabs>
          <w:tab w:val="left" w:pos="1048"/>
        </w:tabs>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We also examined the potential for analyzing a relationship with MIPS Q#458 All-cause Hospital Readmission, a claims-based outcomes measure evaluating unplanned readmissions. However, there was no publicly available reporting data for this measure in 2017.</w:t>
      </w:r>
      <w:r>
        <w:rPr>
          <w:rStyle w:val="FootnoteReference"/>
          <w:rFonts w:ascii="Times New Roman" w:hAnsi="Times New Roman"/>
          <w:bCs/>
          <w:color w:val="0070C0"/>
        </w:rPr>
        <w:footnoteReference w:id="5"/>
      </w:r>
      <w:r>
        <w:rPr>
          <w:rFonts w:ascii="Times New Roman" w:hAnsi="Times New Roman" w:cs="Times New Roman"/>
          <w:bCs/>
          <w:color w:val="0070C0"/>
        </w:rPr>
        <w:t xml:space="preserve"> The measure construction also means that even with complete data, the patient cohort and attributed clinicians would differ; for example, MIPS </w:t>
      </w:r>
      <w:r>
        <w:rPr>
          <w:rFonts w:ascii="Times New Roman" w:hAnsi="Times New Roman" w:cs="Times New Roman"/>
          <w:bCs/>
          <w:color w:val="0070C0"/>
        </w:rPr>
        <w:lastRenderedPageBreak/>
        <w:t xml:space="preserve">Q#458 is only reported for groups of 16 or more clinicians meeting a 200 patient case minimum and attributes based on CPT/HCPCS codes denoting primary care services. Intermediate outcome measures (e.g., MIPS Q#236 Controlling High Blood Pressure) have a weaker conceptual relationship with a cost measure, as the link between one point in time blood pressure test and observable costs in claims data is much more remote than an outcomes measure. As </w:t>
      </w:r>
      <w:r w:rsidR="0018016E" w:rsidRPr="00BC37E8">
        <w:rPr>
          <w:rFonts w:ascii="Times New Roman" w:hAnsi="Times New Roman" w:cs="Times New Roman"/>
          <w:bCs/>
          <w:color w:val="0070C0"/>
        </w:rPr>
        <w:t>such, we were unable to test the conceptual relationship between the TPCC measure and related quality measures.</w:t>
      </w:r>
    </w:p>
    <w:p w14:paraId="1B3CC6FE" w14:textId="77777777" w:rsidR="0018016E" w:rsidRPr="00BC37E8" w:rsidRDefault="0018016E" w:rsidP="004B5AC8">
      <w:pPr>
        <w:tabs>
          <w:tab w:val="left" w:pos="1048"/>
        </w:tabs>
        <w:autoSpaceDE w:val="0"/>
        <w:autoSpaceDN w:val="0"/>
        <w:adjustRightInd w:val="0"/>
        <w:spacing w:after="0" w:line="240" w:lineRule="auto"/>
        <w:rPr>
          <w:rFonts w:ascii="Times New Roman" w:hAnsi="Times New Roman" w:cs="Times New Roman"/>
          <w:bCs/>
          <w:color w:val="0070C0"/>
        </w:rPr>
      </w:pPr>
    </w:p>
    <w:p w14:paraId="7ED3F70D" w14:textId="384AD5FF" w:rsidR="00B835CD" w:rsidRPr="00BC37E8" w:rsidRDefault="00B835CD" w:rsidP="004115B4">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Attribution Validity Testing</w:t>
      </w:r>
      <w:r w:rsidR="004115B4" w:rsidRPr="00BC37E8">
        <w:rPr>
          <w:rFonts w:ascii="Times New Roman" w:hAnsi="Times New Roman" w:cs="Times New Roman"/>
          <w:b/>
          <w:bCs/>
          <w:color w:val="0070C0"/>
        </w:rPr>
        <w:t xml:space="preserve">: </w:t>
      </w:r>
      <w:r w:rsidRPr="00BC37E8">
        <w:rPr>
          <w:rFonts w:ascii="Times New Roman" w:hAnsi="Times New Roman" w:cs="Times New Roman"/>
          <w:bCs/>
          <w:color w:val="0070C0"/>
        </w:rPr>
        <w:t xml:space="preserve">As part of </w:t>
      </w:r>
      <w:r w:rsidR="008B099E">
        <w:rPr>
          <w:rFonts w:ascii="Times New Roman" w:hAnsi="Times New Roman" w:cs="Times New Roman"/>
          <w:bCs/>
          <w:color w:val="0070C0"/>
        </w:rPr>
        <w:t>earlier</w:t>
      </w:r>
      <w:r w:rsidR="008B099E" w:rsidRPr="00BC37E8">
        <w:rPr>
          <w:rFonts w:ascii="Times New Roman" w:hAnsi="Times New Roman" w:cs="Times New Roman"/>
          <w:bCs/>
          <w:color w:val="0070C0"/>
        </w:rPr>
        <w:t xml:space="preserve"> </w:t>
      </w:r>
      <w:r w:rsidRPr="00BC37E8">
        <w:rPr>
          <w:rFonts w:ascii="Times New Roman" w:hAnsi="Times New Roman" w:cs="Times New Roman"/>
          <w:bCs/>
          <w:color w:val="0070C0"/>
        </w:rPr>
        <w:t xml:space="preserve">testing on the measure specifications, we also evaluated the validity of the TPCC measure attribution methodology through two approaches. Firstly, we examined the proportion of </w:t>
      </w:r>
      <w:r w:rsidR="00AA605F" w:rsidRPr="00BC37E8">
        <w:rPr>
          <w:rFonts w:ascii="Times New Roman" w:hAnsi="Times New Roman" w:cs="Times New Roman"/>
          <w:bCs/>
          <w:color w:val="0070C0"/>
        </w:rPr>
        <w:t xml:space="preserve">the beneficiary’s </w:t>
      </w:r>
      <w:r w:rsidRPr="00BC37E8">
        <w:rPr>
          <w:rFonts w:ascii="Times New Roman" w:hAnsi="Times New Roman" w:cs="Times New Roman"/>
          <w:bCs/>
          <w:color w:val="0070C0"/>
        </w:rPr>
        <w:t>Part B Evaluation and Management (E&amp;M) codes</w:t>
      </w:r>
      <w:r w:rsidR="009B3043" w:rsidRPr="00BC37E8">
        <w:rPr>
          <w:rFonts w:ascii="Times New Roman" w:hAnsi="Times New Roman" w:cs="Times New Roman"/>
          <w:bCs/>
          <w:color w:val="0070C0"/>
        </w:rPr>
        <w:t xml:space="preserve"> related to primary care that are</w:t>
      </w:r>
      <w:r w:rsidRPr="00BC37E8">
        <w:rPr>
          <w:rFonts w:ascii="Times New Roman" w:hAnsi="Times New Roman" w:cs="Times New Roman"/>
          <w:bCs/>
          <w:color w:val="0070C0"/>
        </w:rPr>
        <w:t xml:space="preserve"> billed by the attributed TIN/TIN-NPI, to demonstrate that there is claims-based evidence that those TIN/TIN-NPIs manage their beneficiaries’ ongoing care. And secondly, we conducted an impact analysis on the volume of TINs attributed the measure solely based on the services conducted by their Nurse Practitioners</w:t>
      </w:r>
      <w:r w:rsidR="00AA605F" w:rsidRPr="00BC37E8">
        <w:rPr>
          <w:rFonts w:ascii="Times New Roman" w:hAnsi="Times New Roman" w:cs="Times New Roman"/>
          <w:bCs/>
          <w:color w:val="0070C0"/>
        </w:rPr>
        <w:t xml:space="preserve"> (NP)</w:t>
      </w:r>
      <w:r w:rsidRPr="00BC37E8">
        <w:rPr>
          <w:rFonts w:ascii="Times New Roman" w:hAnsi="Times New Roman" w:cs="Times New Roman"/>
          <w:bCs/>
          <w:color w:val="0070C0"/>
        </w:rPr>
        <w:t xml:space="preserve"> and/or Physician Assistants</w:t>
      </w:r>
      <w:r w:rsidR="00AA605F" w:rsidRPr="00BC37E8">
        <w:rPr>
          <w:rFonts w:ascii="Times New Roman" w:hAnsi="Times New Roman" w:cs="Times New Roman"/>
          <w:bCs/>
          <w:color w:val="0070C0"/>
        </w:rPr>
        <w:t xml:space="preserve"> (PA)</w:t>
      </w:r>
      <w:r w:rsidRPr="00BC37E8">
        <w:rPr>
          <w:rFonts w:ascii="Times New Roman" w:hAnsi="Times New Roman" w:cs="Times New Roman"/>
          <w:bCs/>
          <w:color w:val="0070C0"/>
        </w:rPr>
        <w:t xml:space="preserve">, to </w:t>
      </w:r>
      <w:r w:rsidR="00AA605F" w:rsidRPr="00BC37E8">
        <w:rPr>
          <w:rFonts w:ascii="Times New Roman" w:hAnsi="Times New Roman" w:cs="Times New Roman"/>
          <w:bCs/>
          <w:color w:val="0070C0"/>
        </w:rPr>
        <w:t xml:space="preserve">check if </w:t>
      </w:r>
      <w:r w:rsidRPr="00BC37E8">
        <w:rPr>
          <w:rFonts w:ascii="Times New Roman" w:hAnsi="Times New Roman" w:cs="Times New Roman"/>
          <w:bCs/>
          <w:color w:val="0070C0"/>
        </w:rPr>
        <w:t xml:space="preserve">TINs </w:t>
      </w:r>
      <w:r w:rsidR="00AA605F" w:rsidRPr="00BC37E8">
        <w:rPr>
          <w:rFonts w:ascii="Times New Roman" w:hAnsi="Times New Roman" w:cs="Times New Roman"/>
          <w:bCs/>
          <w:color w:val="0070C0"/>
        </w:rPr>
        <w:t>unlikely to manage primary care are attributed through the work of the NP and PA within their practice</w:t>
      </w:r>
      <w:r w:rsidRPr="00BC37E8">
        <w:rPr>
          <w:rFonts w:ascii="Times New Roman" w:hAnsi="Times New Roman" w:cs="Times New Roman"/>
          <w:bCs/>
          <w:color w:val="0070C0"/>
        </w:rPr>
        <w:t xml:space="preserve">. </w:t>
      </w:r>
      <w:r w:rsidR="008B099E">
        <w:rPr>
          <w:rFonts w:ascii="Times New Roman" w:hAnsi="Times New Roman" w:cs="Times New Roman"/>
          <w:bCs/>
          <w:color w:val="0070C0"/>
        </w:rPr>
        <w:t>These tests are aimed at evaluating the extent to which the TPCC measure is attributing beneficiaries to clinicians who are providing primary care services and who have a relationship with a given beneficiary.</w:t>
      </w:r>
    </w:p>
    <w:p w14:paraId="75C7810A" w14:textId="77777777" w:rsidR="00ED7E0D" w:rsidRPr="00BC37E8" w:rsidRDefault="00ED7E0D" w:rsidP="004115B4">
      <w:pPr>
        <w:tabs>
          <w:tab w:val="left" w:pos="8280"/>
        </w:tabs>
        <w:autoSpaceDE w:val="0"/>
        <w:autoSpaceDN w:val="0"/>
        <w:adjustRightInd w:val="0"/>
        <w:spacing w:after="0" w:line="240" w:lineRule="auto"/>
        <w:rPr>
          <w:rFonts w:ascii="Times New Roman" w:hAnsi="Times New Roman" w:cs="Times New Roman"/>
          <w:bCs/>
          <w:color w:val="0070C0"/>
        </w:rPr>
      </w:pPr>
    </w:p>
    <w:p w14:paraId="33912ADD" w14:textId="77777777" w:rsidR="00002061" w:rsidRPr="00BC37E8" w:rsidRDefault="00B835CD" w:rsidP="00BD64C5">
      <w:pPr>
        <w:tabs>
          <w:tab w:val="left" w:pos="8280"/>
        </w:tabs>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Cs/>
          <w:color w:val="0070C0"/>
        </w:rPr>
        <w:t xml:space="preserve">We expected that for the first approach, there would be a high level of engagement between attributed clinicians and beneficiaries, as measured by </w:t>
      </w:r>
      <w:r w:rsidR="00604B7A" w:rsidRPr="00BC37E8">
        <w:rPr>
          <w:rFonts w:ascii="Times New Roman" w:hAnsi="Times New Roman" w:cs="Times New Roman"/>
          <w:bCs/>
          <w:color w:val="0070C0"/>
        </w:rPr>
        <w:t>a</w:t>
      </w:r>
      <w:r w:rsidRPr="00BC37E8">
        <w:rPr>
          <w:rFonts w:ascii="Times New Roman" w:hAnsi="Times New Roman" w:cs="Times New Roman"/>
          <w:bCs/>
          <w:color w:val="0070C0"/>
        </w:rPr>
        <w:t xml:space="preserve"> higher proportion of </w:t>
      </w:r>
      <w:r w:rsidR="00AA605F" w:rsidRPr="00BC37E8">
        <w:rPr>
          <w:rFonts w:ascii="Times New Roman" w:hAnsi="Times New Roman" w:cs="Times New Roman"/>
          <w:bCs/>
          <w:color w:val="0070C0"/>
        </w:rPr>
        <w:t xml:space="preserve">the beneficiary’s </w:t>
      </w:r>
      <w:r w:rsidRPr="00BC37E8">
        <w:rPr>
          <w:rFonts w:ascii="Times New Roman" w:hAnsi="Times New Roman" w:cs="Times New Roman"/>
          <w:bCs/>
          <w:color w:val="0070C0"/>
        </w:rPr>
        <w:t>E&amp;M codes billed by the attributed clinicians. For the second approach, we expected limited attribution of TINs</w:t>
      </w:r>
      <w:r w:rsidR="00002061" w:rsidRPr="00BC37E8">
        <w:rPr>
          <w:rFonts w:ascii="Times New Roman" w:hAnsi="Times New Roman" w:cs="Times New Roman"/>
          <w:bCs/>
          <w:color w:val="0070C0"/>
        </w:rPr>
        <w:t xml:space="preserve"> with specialties unlikely to manage primary care</w:t>
      </w:r>
      <w:r w:rsidRPr="00BC37E8">
        <w:rPr>
          <w:rFonts w:ascii="Times New Roman" w:hAnsi="Times New Roman" w:cs="Times New Roman"/>
          <w:bCs/>
          <w:color w:val="0070C0"/>
        </w:rPr>
        <w:t xml:space="preserve"> via </w:t>
      </w:r>
      <w:r w:rsidR="00002061" w:rsidRPr="00BC37E8">
        <w:rPr>
          <w:rFonts w:ascii="Times New Roman" w:hAnsi="Times New Roman" w:cs="Times New Roman"/>
          <w:bCs/>
          <w:color w:val="0070C0"/>
        </w:rPr>
        <w:t xml:space="preserve">their </w:t>
      </w:r>
      <w:r w:rsidRPr="00BC37E8">
        <w:rPr>
          <w:rFonts w:ascii="Times New Roman" w:hAnsi="Times New Roman" w:cs="Times New Roman"/>
          <w:bCs/>
          <w:color w:val="0070C0"/>
        </w:rPr>
        <w:t xml:space="preserve">NPs and PAs alone.  </w:t>
      </w:r>
    </w:p>
    <w:p w14:paraId="054D4EFF" w14:textId="3EED315B" w:rsidR="00794FD6" w:rsidRDefault="00BD5261" w:rsidP="00ED7E0D">
      <w:pPr>
        <w:tabs>
          <w:tab w:val="left" w:pos="8280"/>
        </w:tabs>
        <w:autoSpaceDE w:val="0"/>
        <w:autoSpaceDN w:val="0"/>
        <w:adjustRightInd w:val="0"/>
        <w:spacing w:after="0" w:line="240" w:lineRule="auto"/>
        <w:rPr>
          <w:rFonts w:cstheme="minorHAnsi"/>
          <w:bCs/>
          <w:color w:val="0070C0"/>
        </w:rPr>
      </w:pPr>
      <w:r>
        <w:rPr>
          <w:rFonts w:cstheme="minorHAnsi"/>
          <w:bCs/>
          <w:color w:val="0070C0"/>
        </w:rPr>
        <w:tab/>
      </w:r>
    </w:p>
    <w:p w14:paraId="6B9D3C29" w14:textId="77777777" w:rsidR="00047193"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5ACDAEBC" w14:textId="77777777" w:rsidR="00F5247D" w:rsidRPr="00445802" w:rsidRDefault="00F5247D" w:rsidP="00F5247D">
      <w:pPr>
        <w:autoSpaceDE w:val="0"/>
        <w:autoSpaceDN w:val="0"/>
        <w:adjustRightInd w:val="0"/>
        <w:spacing w:after="0" w:line="240" w:lineRule="auto"/>
        <w:rPr>
          <w:rFonts w:ascii="Times New Roman" w:hAnsi="Times New Roman" w:cs="Times New Roman"/>
          <w:b/>
          <w:bCs/>
          <w:color w:val="0070C0"/>
          <w:u w:val="single"/>
        </w:rPr>
      </w:pPr>
      <w:r w:rsidRPr="00445802">
        <w:rPr>
          <w:rFonts w:ascii="Times New Roman" w:hAnsi="Times New Roman" w:cs="Times New Roman"/>
          <w:b/>
          <w:bCs/>
          <w:color w:val="0070C0"/>
          <w:u w:val="single"/>
        </w:rPr>
        <w:t xml:space="preserve">Face Validity </w:t>
      </w:r>
    </w:p>
    <w:p w14:paraId="1C00A893" w14:textId="1FB54AD3" w:rsidR="00F5247D" w:rsidRDefault="00F5247D" w:rsidP="00F5247D">
      <w:pPr>
        <w:spacing w:after="160" w:line="240" w:lineRule="auto"/>
        <w:rPr>
          <w:rFonts w:ascii="Times New Roman" w:hAnsi="Times New Roman" w:cs="Times New Roman"/>
          <w:b/>
          <w:bCs/>
          <w:color w:val="0070C0"/>
        </w:rPr>
      </w:pPr>
      <w:r w:rsidRPr="004C5C9D">
        <w:rPr>
          <w:rFonts w:ascii="Times New Roman" w:hAnsi="Times New Roman" w:cs="Times New Roman"/>
          <w:bCs/>
          <w:color w:val="0070C0"/>
        </w:rPr>
        <w:t xml:space="preserve">The </w:t>
      </w:r>
      <w:r>
        <w:rPr>
          <w:rFonts w:ascii="Times New Roman" w:hAnsi="Times New Roman" w:cs="Times New Roman"/>
          <w:bCs/>
          <w:color w:val="0070C0"/>
        </w:rPr>
        <w:t>results of the assessment of face validity indicate that a convened group of experts had high levels of agreement with the measure’s ability to provide an accurate reflection of costs, and to distinguish good and poor performance. The survey questions and mean rating for each question are provided below:</w:t>
      </w:r>
    </w:p>
    <w:p w14:paraId="6196208F" w14:textId="77777777" w:rsidR="008B099E" w:rsidRDefault="00735CBE" w:rsidP="008F31A6">
      <w:pPr>
        <w:spacing w:line="240" w:lineRule="auto"/>
        <w:ind w:left="720"/>
        <w:rPr>
          <w:rFonts w:ascii="Times New Roman" w:hAnsi="Times New Roman" w:cs="Times New Roman"/>
          <w:color w:val="0070C0"/>
          <w:sz w:val="20"/>
          <w:szCs w:val="20"/>
        </w:rPr>
      </w:pPr>
      <w:r w:rsidRPr="008F31A6">
        <w:rPr>
          <w:rFonts w:ascii="Times New Roman" w:hAnsi="Times New Roman" w:cs="Times New Roman"/>
          <w:b/>
          <w:color w:val="0070C0"/>
          <w:sz w:val="20"/>
        </w:rPr>
        <w:t>Question 1</w:t>
      </w:r>
      <w:r w:rsidRPr="008F31A6">
        <w:rPr>
          <w:rFonts w:ascii="Times New Roman" w:hAnsi="Times New Roman" w:cs="Times New Roman"/>
          <w:color w:val="0070C0"/>
          <w:sz w:val="20"/>
        </w:rPr>
        <w:t xml:space="preserve">: Indicate the extent to which the key refinements help the measure provide an accurate reflection of the overall costs related to primary care: </w:t>
      </w:r>
      <w:r w:rsidR="00F5247D" w:rsidRPr="008F31A6">
        <w:rPr>
          <w:rFonts w:ascii="Times New Roman" w:hAnsi="Times New Roman" w:cs="Times New Roman"/>
          <w:color w:val="0070C0"/>
          <w:sz w:val="20"/>
        </w:rPr>
        <w:t xml:space="preserve">(i) </w:t>
      </w:r>
      <w:r w:rsidRPr="008F31A6">
        <w:rPr>
          <w:rFonts w:ascii="Times New Roman" w:hAnsi="Times New Roman" w:cs="Times New Roman"/>
          <w:color w:val="0070C0"/>
          <w:sz w:val="20"/>
        </w:rPr>
        <w:t>Identifies the primary care relationship by accounting for the overall pattern of primary care service delivery</w:t>
      </w:r>
      <w:r w:rsidR="00F5247D" w:rsidRPr="008F31A6">
        <w:rPr>
          <w:rFonts w:ascii="Times New Roman" w:hAnsi="Times New Roman" w:cs="Times New Roman"/>
          <w:color w:val="0070C0"/>
          <w:sz w:val="20"/>
        </w:rPr>
        <w:t xml:space="preserve">, and (ii) </w:t>
      </w:r>
      <w:r w:rsidR="00AE0FF1" w:rsidRPr="008F31A6">
        <w:rPr>
          <w:rFonts w:ascii="Times New Roman" w:hAnsi="Times New Roman" w:cs="Times New Roman"/>
          <w:color w:val="0070C0"/>
          <w:sz w:val="20"/>
        </w:rPr>
        <w:t>A</w:t>
      </w:r>
      <w:r w:rsidRPr="008F31A6">
        <w:rPr>
          <w:rFonts w:ascii="Times New Roman" w:hAnsi="Times New Roman" w:cs="Times New Roman"/>
          <w:color w:val="0070C0"/>
          <w:sz w:val="20"/>
        </w:rPr>
        <w:t>llows for attribution of costs to multiple clinicians and clinician groups</w:t>
      </w:r>
      <w:r w:rsidR="00AE0FF1" w:rsidRPr="008F31A6">
        <w:rPr>
          <w:rFonts w:ascii="Times New Roman" w:hAnsi="Times New Roman" w:cs="Times New Roman"/>
          <w:color w:val="0070C0"/>
          <w:sz w:val="20"/>
        </w:rPr>
        <w:br/>
      </w:r>
      <w:r w:rsidR="00AE0FF1" w:rsidRPr="008F31A6">
        <w:rPr>
          <w:rFonts w:ascii="Times New Roman" w:hAnsi="Times New Roman" w:cs="Times New Roman"/>
          <w:color w:val="0070C0"/>
          <w:sz w:val="20"/>
          <w:szCs w:val="20"/>
          <w:u w:val="single"/>
        </w:rPr>
        <w:br/>
        <w:t>Response</w:t>
      </w:r>
      <w:r w:rsidR="00AE0FF1" w:rsidRPr="008F31A6">
        <w:rPr>
          <w:rFonts w:ascii="Times New Roman" w:hAnsi="Times New Roman" w:cs="Times New Roman"/>
          <w:color w:val="0070C0"/>
          <w:sz w:val="20"/>
          <w:szCs w:val="20"/>
        </w:rPr>
        <w:t xml:space="preserve">: </w:t>
      </w:r>
      <w:r w:rsidR="005E45D9" w:rsidRPr="008F31A6">
        <w:rPr>
          <w:rFonts w:ascii="Times New Roman" w:hAnsi="Times New Roman" w:cs="Times New Roman"/>
          <w:color w:val="0070C0"/>
          <w:sz w:val="20"/>
          <w:szCs w:val="20"/>
        </w:rPr>
        <w:t>12</w:t>
      </w:r>
      <w:r w:rsidR="00AE0FF1" w:rsidRPr="008F31A6">
        <w:rPr>
          <w:rFonts w:ascii="Times New Roman" w:hAnsi="Times New Roman" w:cs="Times New Roman"/>
          <w:color w:val="0070C0"/>
          <w:sz w:val="20"/>
          <w:szCs w:val="20"/>
        </w:rPr>
        <w:t xml:space="preserve"> members agreed (rating between 4-6), </w:t>
      </w:r>
      <w:r w:rsidR="005E45D9" w:rsidRPr="008F31A6">
        <w:rPr>
          <w:rFonts w:ascii="Times New Roman" w:hAnsi="Times New Roman" w:cs="Times New Roman"/>
          <w:color w:val="0070C0"/>
          <w:sz w:val="20"/>
          <w:szCs w:val="20"/>
        </w:rPr>
        <w:t>3</w:t>
      </w:r>
      <w:r w:rsidR="00AE0FF1" w:rsidRPr="008F31A6">
        <w:rPr>
          <w:rFonts w:ascii="Times New Roman" w:hAnsi="Times New Roman" w:cs="Times New Roman"/>
          <w:color w:val="0070C0"/>
          <w:sz w:val="20"/>
          <w:szCs w:val="20"/>
        </w:rPr>
        <w:t xml:space="preserve"> members disagreed (rating between 1-3)</w:t>
      </w:r>
      <w:r w:rsidR="00AE0FF1" w:rsidRPr="008F31A6">
        <w:rPr>
          <w:rFonts w:ascii="Times New Roman" w:hAnsi="Times New Roman" w:cs="Times New Roman"/>
          <w:color w:val="0070C0"/>
          <w:sz w:val="20"/>
          <w:szCs w:val="20"/>
          <w:u w:val="single"/>
        </w:rPr>
        <w:br/>
      </w:r>
      <w:r w:rsidRPr="008F31A6">
        <w:rPr>
          <w:rFonts w:ascii="Times New Roman" w:hAnsi="Times New Roman" w:cs="Times New Roman"/>
          <w:color w:val="0070C0"/>
          <w:sz w:val="20"/>
          <w:szCs w:val="20"/>
          <w:u w:val="single"/>
        </w:rPr>
        <w:t>Mean Rating</w:t>
      </w:r>
      <w:r w:rsidR="00AE0FF1" w:rsidRPr="008F31A6">
        <w:rPr>
          <w:rStyle w:val="FootnoteReference"/>
          <w:rFonts w:ascii="Times New Roman" w:hAnsi="Times New Roman"/>
          <w:color w:val="0070C0"/>
          <w:sz w:val="20"/>
          <w:szCs w:val="20"/>
        </w:rPr>
        <w:footnoteReference w:id="6"/>
      </w:r>
      <w:r w:rsidRPr="008F31A6">
        <w:rPr>
          <w:rFonts w:ascii="Times New Roman" w:hAnsi="Times New Roman" w:cs="Times New Roman"/>
          <w:color w:val="0070C0"/>
          <w:sz w:val="20"/>
          <w:szCs w:val="20"/>
        </w:rPr>
        <w:t xml:space="preserve">: 4.9 out of 6 </w:t>
      </w:r>
      <w:r w:rsidR="00AE0FF1" w:rsidRPr="008F31A6">
        <w:rPr>
          <w:rFonts w:ascii="Times New Roman" w:hAnsi="Times New Roman" w:cs="Times New Roman"/>
          <w:color w:val="0070C0"/>
          <w:sz w:val="20"/>
          <w:szCs w:val="20"/>
        </w:rPr>
        <w:t>(s</w:t>
      </w:r>
      <w:r w:rsidRPr="008F31A6">
        <w:rPr>
          <w:rFonts w:ascii="Times New Roman" w:hAnsi="Times New Roman" w:cs="Times New Roman"/>
          <w:color w:val="0070C0"/>
          <w:sz w:val="20"/>
          <w:szCs w:val="20"/>
        </w:rPr>
        <w:t>omewhat to moderate agreement</w:t>
      </w:r>
      <w:r w:rsidR="00AE0FF1" w:rsidRPr="008F31A6">
        <w:rPr>
          <w:rFonts w:ascii="Times New Roman" w:hAnsi="Times New Roman" w:cs="Times New Roman"/>
          <w:color w:val="0070C0"/>
          <w:sz w:val="20"/>
          <w:szCs w:val="20"/>
        </w:rPr>
        <w:t>)</w:t>
      </w:r>
      <w:r w:rsidR="00AE0FF1" w:rsidRPr="008F31A6">
        <w:rPr>
          <w:rFonts w:ascii="Times New Roman" w:hAnsi="Times New Roman" w:cs="Times New Roman"/>
          <w:color w:val="0070C0"/>
          <w:sz w:val="20"/>
          <w:szCs w:val="20"/>
        </w:rPr>
        <w:br/>
      </w:r>
      <w:r w:rsidR="00AE0FF1" w:rsidRPr="008F31A6">
        <w:rPr>
          <w:rFonts w:ascii="Times New Roman" w:hAnsi="Times New Roman" w:cs="Times New Roman"/>
          <w:b/>
          <w:bCs/>
          <w:color w:val="0070C0"/>
          <w:sz w:val="20"/>
          <w:szCs w:val="20"/>
        </w:rPr>
        <w:br/>
      </w:r>
      <w:r w:rsidRPr="008F31A6">
        <w:rPr>
          <w:rFonts w:ascii="Times New Roman" w:hAnsi="Times New Roman" w:cs="Times New Roman"/>
          <w:b/>
          <w:bCs/>
          <w:color w:val="0070C0"/>
          <w:sz w:val="20"/>
          <w:szCs w:val="20"/>
        </w:rPr>
        <w:t>Question 2:</w:t>
      </w:r>
      <w:r w:rsidRPr="008F31A6">
        <w:rPr>
          <w:rFonts w:ascii="Times New Roman" w:hAnsi="Times New Roman" w:cs="Times New Roman"/>
          <w:color w:val="0070C0"/>
          <w:sz w:val="20"/>
          <w:szCs w:val="20"/>
        </w:rPr>
        <w:t xml:space="preserve"> Indicate the extent to which you agree with the following statement comparing the refined TPCC measure (in use from MIPS 2020 onwards) to the previous version of the measure (used in MIPS from 2017 to 2019)</w:t>
      </w:r>
      <w:r w:rsidR="00AE0FF1" w:rsidRPr="008F31A6">
        <w:rPr>
          <w:rFonts w:ascii="Times New Roman" w:hAnsi="Times New Roman" w:cs="Times New Roman"/>
          <w:color w:val="0070C0"/>
          <w:sz w:val="20"/>
          <w:szCs w:val="20"/>
        </w:rPr>
        <w:t>: “</w:t>
      </w:r>
      <w:r w:rsidRPr="008F31A6">
        <w:rPr>
          <w:rFonts w:ascii="Times New Roman" w:hAnsi="Times New Roman" w:cs="Times New Roman"/>
          <w:color w:val="0070C0"/>
          <w:sz w:val="20"/>
          <w:szCs w:val="20"/>
        </w:rPr>
        <w:t>The scores obtained from the revised TPCC measure provide a more accurate reflection of the costs for overall primary care than the previous version of the measure, and can better distinguish good and poor performance.</w:t>
      </w:r>
      <w:r w:rsidR="00AE0FF1" w:rsidRPr="008F31A6">
        <w:rPr>
          <w:rFonts w:ascii="Times New Roman" w:hAnsi="Times New Roman" w:cs="Times New Roman"/>
          <w:color w:val="0070C0"/>
          <w:sz w:val="20"/>
          <w:szCs w:val="20"/>
        </w:rPr>
        <w:t>”</w:t>
      </w:r>
      <w:r w:rsidR="00AE0FF1" w:rsidRPr="008F31A6">
        <w:rPr>
          <w:rFonts w:ascii="Times New Roman" w:hAnsi="Times New Roman" w:cs="Times New Roman"/>
          <w:color w:val="0070C0"/>
          <w:sz w:val="20"/>
          <w:szCs w:val="20"/>
        </w:rPr>
        <w:br/>
      </w:r>
      <w:r w:rsidR="00AE0FF1" w:rsidRPr="008F31A6">
        <w:rPr>
          <w:rFonts w:ascii="Times New Roman" w:hAnsi="Times New Roman" w:cs="Times New Roman"/>
          <w:color w:val="0070C0"/>
          <w:sz w:val="20"/>
          <w:szCs w:val="20"/>
        </w:rPr>
        <w:br/>
      </w:r>
      <w:r w:rsidR="00AE0FF1" w:rsidRPr="008F31A6">
        <w:rPr>
          <w:rFonts w:ascii="Times New Roman" w:hAnsi="Times New Roman" w:cs="Times New Roman"/>
          <w:color w:val="0070C0"/>
          <w:sz w:val="20"/>
          <w:szCs w:val="20"/>
          <w:u w:val="single"/>
        </w:rPr>
        <w:t>Response</w:t>
      </w:r>
      <w:r w:rsidR="00AE0FF1" w:rsidRPr="008F31A6">
        <w:rPr>
          <w:rFonts w:ascii="Times New Roman" w:hAnsi="Times New Roman" w:cs="Times New Roman"/>
          <w:color w:val="0070C0"/>
          <w:sz w:val="20"/>
          <w:szCs w:val="20"/>
        </w:rPr>
        <w:t xml:space="preserve">: </w:t>
      </w:r>
      <w:r w:rsidR="005E45D9" w:rsidRPr="008F31A6">
        <w:rPr>
          <w:rFonts w:ascii="Times New Roman" w:hAnsi="Times New Roman" w:cs="Times New Roman"/>
          <w:color w:val="0070C0"/>
          <w:sz w:val="20"/>
          <w:szCs w:val="20"/>
        </w:rPr>
        <w:t>13</w:t>
      </w:r>
      <w:r w:rsidR="00AE0FF1" w:rsidRPr="008F31A6">
        <w:rPr>
          <w:rFonts w:ascii="Times New Roman" w:hAnsi="Times New Roman" w:cs="Times New Roman"/>
          <w:color w:val="0070C0"/>
          <w:sz w:val="20"/>
          <w:szCs w:val="20"/>
        </w:rPr>
        <w:t xml:space="preserve"> members agreed (rating between 4-6)</w:t>
      </w:r>
      <w:r w:rsidR="005E45D9" w:rsidRPr="008F31A6">
        <w:rPr>
          <w:rFonts w:ascii="Times New Roman" w:hAnsi="Times New Roman" w:cs="Times New Roman"/>
          <w:color w:val="0070C0"/>
          <w:sz w:val="20"/>
          <w:szCs w:val="20"/>
        </w:rPr>
        <w:t>, 2</w:t>
      </w:r>
      <w:r w:rsidR="00AE0FF1" w:rsidRPr="008F31A6">
        <w:rPr>
          <w:rFonts w:ascii="Times New Roman" w:hAnsi="Times New Roman" w:cs="Times New Roman"/>
          <w:color w:val="0070C0"/>
          <w:sz w:val="20"/>
          <w:szCs w:val="20"/>
        </w:rPr>
        <w:t xml:space="preserve"> members disagreed (rating between 1-3)</w:t>
      </w:r>
      <w:r w:rsidR="00AE0FF1" w:rsidRPr="008F31A6">
        <w:rPr>
          <w:rFonts w:ascii="Times New Roman" w:hAnsi="Times New Roman" w:cs="Times New Roman"/>
          <w:color w:val="0070C0"/>
          <w:sz w:val="20"/>
          <w:szCs w:val="20"/>
        </w:rPr>
        <w:br/>
      </w:r>
      <w:r w:rsidR="00AE0FF1" w:rsidRPr="008F31A6">
        <w:rPr>
          <w:rFonts w:ascii="Times New Roman" w:hAnsi="Times New Roman" w:cs="Times New Roman"/>
          <w:color w:val="0070C0"/>
          <w:sz w:val="20"/>
          <w:szCs w:val="20"/>
          <w:u w:val="single"/>
        </w:rPr>
        <w:t>Mean Rating</w:t>
      </w:r>
      <w:r w:rsidR="00AE0FF1" w:rsidRPr="008F31A6">
        <w:rPr>
          <w:rFonts w:ascii="Times New Roman" w:hAnsi="Times New Roman" w:cs="Times New Roman"/>
          <w:color w:val="0070C0"/>
          <w:sz w:val="20"/>
          <w:szCs w:val="20"/>
        </w:rPr>
        <w:t>: 4.8 out of 6 (somewhat to moderate agreement)</w:t>
      </w:r>
      <w:r w:rsidR="00AE0FF1" w:rsidRPr="008F31A6">
        <w:rPr>
          <w:rFonts w:ascii="Times New Roman" w:hAnsi="Times New Roman" w:cs="Times New Roman"/>
          <w:b/>
          <w:bCs/>
          <w:color w:val="0070C0"/>
          <w:sz w:val="20"/>
          <w:szCs w:val="20"/>
        </w:rPr>
        <w:br/>
      </w:r>
      <w:r w:rsidR="00AE0FF1" w:rsidRPr="008F31A6">
        <w:rPr>
          <w:rFonts w:ascii="Times New Roman" w:hAnsi="Times New Roman" w:cs="Times New Roman"/>
          <w:b/>
          <w:bCs/>
          <w:color w:val="0070C0"/>
          <w:sz w:val="20"/>
          <w:szCs w:val="20"/>
        </w:rPr>
        <w:br/>
      </w:r>
      <w:r w:rsidRPr="008F31A6">
        <w:rPr>
          <w:rFonts w:ascii="Times New Roman" w:hAnsi="Times New Roman" w:cs="Times New Roman"/>
          <w:b/>
          <w:bCs/>
          <w:color w:val="0070C0"/>
          <w:sz w:val="20"/>
          <w:szCs w:val="20"/>
        </w:rPr>
        <w:t>Question 3:</w:t>
      </w:r>
      <w:r w:rsidRPr="008F31A6">
        <w:rPr>
          <w:rFonts w:ascii="Times New Roman" w:hAnsi="Times New Roman" w:cs="Times New Roman"/>
          <w:color w:val="0070C0"/>
          <w:sz w:val="20"/>
          <w:szCs w:val="20"/>
        </w:rPr>
        <w:t xml:space="preserve"> Indicate the extent to which you agree with the following statement about the TPCC measure</w:t>
      </w:r>
      <w:r w:rsidR="00AE0FF1" w:rsidRPr="008F31A6">
        <w:rPr>
          <w:rFonts w:ascii="Times New Roman" w:hAnsi="Times New Roman" w:cs="Times New Roman"/>
          <w:color w:val="0070C0"/>
          <w:sz w:val="20"/>
          <w:szCs w:val="20"/>
        </w:rPr>
        <w:t>: “</w:t>
      </w:r>
      <w:r w:rsidRPr="008F31A6">
        <w:rPr>
          <w:rFonts w:ascii="Times New Roman" w:hAnsi="Times New Roman" w:cs="Times New Roman"/>
          <w:color w:val="0070C0"/>
          <w:sz w:val="20"/>
          <w:szCs w:val="20"/>
        </w:rPr>
        <w:t>The scores obtained from the TPCC measure as specified will provide an accurate reflection of the costs for overall primary care, and can be used to distinguish good and poor performance on cost effectiveness.</w:t>
      </w:r>
      <w:r w:rsidR="00AE0FF1" w:rsidRPr="008F31A6">
        <w:rPr>
          <w:rFonts w:ascii="Times New Roman" w:hAnsi="Times New Roman" w:cs="Times New Roman"/>
          <w:color w:val="0070C0"/>
          <w:sz w:val="20"/>
          <w:szCs w:val="20"/>
        </w:rPr>
        <w:t>”</w:t>
      </w:r>
      <w:r w:rsidR="00AE0FF1" w:rsidRPr="008F31A6">
        <w:rPr>
          <w:rFonts w:ascii="Times New Roman" w:hAnsi="Times New Roman" w:cs="Times New Roman"/>
          <w:color w:val="0070C0"/>
          <w:sz w:val="20"/>
          <w:szCs w:val="20"/>
          <w:u w:val="single"/>
        </w:rPr>
        <w:br/>
      </w:r>
      <w:r w:rsidR="00AE0FF1" w:rsidRPr="008F31A6">
        <w:rPr>
          <w:rFonts w:ascii="Times New Roman" w:hAnsi="Times New Roman" w:cs="Times New Roman"/>
          <w:color w:val="0070C0"/>
          <w:sz w:val="20"/>
          <w:szCs w:val="20"/>
          <w:u w:val="single"/>
        </w:rPr>
        <w:br/>
      </w:r>
      <w:r w:rsidR="00AE0FF1" w:rsidRPr="008F31A6">
        <w:rPr>
          <w:rFonts w:ascii="Times New Roman" w:hAnsi="Times New Roman" w:cs="Times New Roman"/>
          <w:color w:val="0070C0"/>
          <w:sz w:val="20"/>
          <w:szCs w:val="20"/>
          <w:u w:val="single"/>
        </w:rPr>
        <w:lastRenderedPageBreak/>
        <w:t>Response</w:t>
      </w:r>
      <w:r w:rsidR="00AE0FF1" w:rsidRPr="008F31A6">
        <w:rPr>
          <w:rFonts w:ascii="Times New Roman" w:hAnsi="Times New Roman" w:cs="Times New Roman"/>
          <w:color w:val="0070C0"/>
          <w:sz w:val="20"/>
          <w:szCs w:val="20"/>
        </w:rPr>
        <w:t xml:space="preserve">: </w:t>
      </w:r>
      <w:r w:rsidR="005E45D9" w:rsidRPr="008F31A6">
        <w:rPr>
          <w:rFonts w:ascii="Times New Roman" w:hAnsi="Times New Roman" w:cs="Times New Roman"/>
          <w:color w:val="0070C0"/>
          <w:sz w:val="20"/>
          <w:szCs w:val="20"/>
        </w:rPr>
        <w:t>12</w:t>
      </w:r>
      <w:r w:rsidR="00AE0FF1" w:rsidRPr="008F31A6">
        <w:rPr>
          <w:rFonts w:ascii="Times New Roman" w:hAnsi="Times New Roman" w:cs="Times New Roman"/>
          <w:color w:val="0070C0"/>
          <w:sz w:val="20"/>
          <w:szCs w:val="20"/>
        </w:rPr>
        <w:t xml:space="preserve"> members agreed (rating between 4-6), </w:t>
      </w:r>
      <w:r w:rsidR="005E45D9" w:rsidRPr="008F31A6">
        <w:rPr>
          <w:rFonts w:ascii="Times New Roman" w:hAnsi="Times New Roman" w:cs="Times New Roman"/>
          <w:color w:val="0070C0"/>
          <w:sz w:val="20"/>
          <w:szCs w:val="20"/>
        </w:rPr>
        <w:t>3</w:t>
      </w:r>
      <w:r w:rsidR="00AE0FF1" w:rsidRPr="008F31A6">
        <w:rPr>
          <w:rFonts w:ascii="Times New Roman" w:hAnsi="Times New Roman" w:cs="Times New Roman"/>
          <w:color w:val="0070C0"/>
          <w:sz w:val="20"/>
          <w:szCs w:val="20"/>
        </w:rPr>
        <w:t xml:space="preserve"> members disagreed (rating between 1-3)</w:t>
      </w:r>
      <w:r w:rsidR="00AE0FF1" w:rsidRPr="008F31A6">
        <w:rPr>
          <w:rFonts w:ascii="Times New Roman" w:hAnsi="Times New Roman" w:cs="Times New Roman"/>
          <w:color w:val="0070C0"/>
          <w:sz w:val="20"/>
          <w:szCs w:val="20"/>
        </w:rPr>
        <w:br/>
      </w:r>
      <w:r w:rsidRPr="008F31A6">
        <w:rPr>
          <w:rFonts w:ascii="Times New Roman" w:hAnsi="Times New Roman" w:cs="Times New Roman"/>
          <w:color w:val="0070C0"/>
          <w:sz w:val="20"/>
          <w:szCs w:val="20"/>
          <w:u w:val="single"/>
        </w:rPr>
        <w:t>Mean Rating</w:t>
      </w:r>
      <w:r w:rsidRPr="008F31A6">
        <w:rPr>
          <w:rFonts w:ascii="Times New Roman" w:hAnsi="Times New Roman" w:cs="Times New Roman"/>
          <w:color w:val="0070C0"/>
          <w:sz w:val="20"/>
          <w:szCs w:val="20"/>
        </w:rPr>
        <w:t xml:space="preserve">: 4.8 out of 6 </w:t>
      </w:r>
      <w:r w:rsidR="00AE0FF1" w:rsidRPr="008F31A6">
        <w:rPr>
          <w:rFonts w:ascii="Times New Roman" w:hAnsi="Times New Roman" w:cs="Times New Roman"/>
          <w:color w:val="0070C0"/>
          <w:sz w:val="20"/>
          <w:szCs w:val="20"/>
        </w:rPr>
        <w:t>(s</w:t>
      </w:r>
      <w:r w:rsidRPr="008F31A6">
        <w:rPr>
          <w:rFonts w:ascii="Times New Roman" w:hAnsi="Times New Roman" w:cs="Times New Roman"/>
          <w:color w:val="0070C0"/>
          <w:sz w:val="20"/>
          <w:szCs w:val="20"/>
        </w:rPr>
        <w:t>omewhat to moderate agreement</w:t>
      </w:r>
      <w:r w:rsidR="00AE0FF1" w:rsidRPr="008F31A6">
        <w:rPr>
          <w:rFonts w:ascii="Times New Roman" w:hAnsi="Times New Roman" w:cs="Times New Roman"/>
          <w:color w:val="0070C0"/>
          <w:sz w:val="20"/>
          <w:szCs w:val="20"/>
        </w:rPr>
        <w:t>)</w:t>
      </w:r>
      <w:r w:rsidR="00AE0FF1" w:rsidRPr="008F31A6">
        <w:rPr>
          <w:rFonts w:ascii="Times New Roman" w:hAnsi="Times New Roman" w:cs="Times New Roman"/>
          <w:b/>
          <w:bCs/>
          <w:color w:val="0070C0"/>
          <w:sz w:val="20"/>
          <w:szCs w:val="20"/>
        </w:rPr>
        <w:br/>
      </w:r>
      <w:r w:rsidR="00AE0FF1" w:rsidRPr="008F31A6">
        <w:rPr>
          <w:rFonts w:ascii="Times New Roman" w:hAnsi="Times New Roman" w:cs="Times New Roman"/>
          <w:b/>
          <w:bCs/>
          <w:color w:val="0070C0"/>
          <w:sz w:val="20"/>
          <w:szCs w:val="20"/>
        </w:rPr>
        <w:br/>
      </w:r>
      <w:r w:rsidRPr="008F31A6">
        <w:rPr>
          <w:rFonts w:ascii="Times New Roman" w:hAnsi="Times New Roman" w:cs="Times New Roman"/>
          <w:b/>
          <w:bCs/>
          <w:color w:val="0070C0"/>
          <w:sz w:val="20"/>
          <w:szCs w:val="20"/>
        </w:rPr>
        <w:t>Question 4:</w:t>
      </w:r>
      <w:r w:rsidRPr="008F31A6">
        <w:rPr>
          <w:rFonts w:ascii="Times New Roman" w:hAnsi="Times New Roman" w:cs="Times New Roman"/>
          <w:color w:val="0070C0"/>
          <w:sz w:val="20"/>
          <w:szCs w:val="20"/>
        </w:rPr>
        <w:t xml:space="preserve"> If you disagree with the statement, what aspects of the measure do you believe should be changed for you to agree with the statement? </w:t>
      </w:r>
      <w:r w:rsidR="00AE0FF1" w:rsidRPr="008F31A6">
        <w:rPr>
          <w:rFonts w:ascii="Times New Roman" w:hAnsi="Times New Roman" w:cs="Times New Roman"/>
          <w:color w:val="0070C0"/>
          <w:sz w:val="20"/>
          <w:szCs w:val="20"/>
          <w:u w:val="single"/>
        </w:rPr>
        <w:br/>
      </w:r>
      <w:r w:rsidR="00AE0FF1" w:rsidRPr="008F31A6">
        <w:rPr>
          <w:rFonts w:ascii="Times New Roman" w:hAnsi="Times New Roman" w:cs="Times New Roman"/>
          <w:color w:val="0070C0"/>
          <w:sz w:val="20"/>
          <w:szCs w:val="20"/>
          <w:u w:val="single"/>
        </w:rPr>
        <w:br/>
        <w:t>Response</w:t>
      </w:r>
      <w:r w:rsidR="00AE0FF1" w:rsidRPr="008F31A6">
        <w:rPr>
          <w:rFonts w:ascii="Times New Roman" w:hAnsi="Times New Roman" w:cs="Times New Roman"/>
          <w:color w:val="0070C0"/>
          <w:sz w:val="20"/>
          <w:szCs w:val="20"/>
        </w:rPr>
        <w:t xml:space="preserve">: </w:t>
      </w:r>
      <w:r w:rsidR="008B099E">
        <w:rPr>
          <w:rFonts w:ascii="Times New Roman" w:hAnsi="Times New Roman" w:cs="Times New Roman"/>
          <w:color w:val="0070C0"/>
          <w:sz w:val="20"/>
          <w:szCs w:val="20"/>
        </w:rPr>
        <w:t>Two members who disagreed with the statement in Question 3 provided comments. These related to concerns about double counting costs with episode-based cost measures. Another member noted that while the refinements are an improvement on the measure, the attribution methodology should identify one PCP (e.g., through the use of a primary care add-on code).</w:t>
      </w:r>
    </w:p>
    <w:p w14:paraId="3BCA72E1" w14:textId="458777E4" w:rsidR="008B099E" w:rsidRPr="008B099E" w:rsidRDefault="008B099E" w:rsidP="008F31A6">
      <w:pPr>
        <w:spacing w:line="240" w:lineRule="auto"/>
        <w:ind w:left="720"/>
        <w:rPr>
          <w:rFonts w:ascii="Times New Roman" w:hAnsi="Times New Roman" w:cs="Times New Roman"/>
          <w:color w:val="0070C0"/>
          <w:sz w:val="20"/>
          <w:szCs w:val="20"/>
        </w:rPr>
      </w:pPr>
      <w:r w:rsidRPr="008F31A6">
        <w:rPr>
          <w:rFonts w:ascii="Times New Roman" w:hAnsi="Times New Roman" w:cs="Times New Roman"/>
          <w:color w:val="0070C0"/>
          <w:sz w:val="20"/>
        </w:rPr>
        <w:t xml:space="preserve">Other members </w:t>
      </w:r>
      <w:r>
        <w:rPr>
          <w:rFonts w:ascii="Times New Roman" w:hAnsi="Times New Roman" w:cs="Times New Roman"/>
          <w:color w:val="0070C0"/>
          <w:sz w:val="20"/>
        </w:rPr>
        <w:t xml:space="preserve">who agreed with the statement provided general feedback in this question, such as recommending further review across different measures. </w:t>
      </w:r>
      <w:r w:rsidRPr="008B099E">
        <w:rPr>
          <w:rFonts w:ascii="Times New Roman" w:hAnsi="Times New Roman" w:cs="Times New Roman"/>
          <w:color w:val="0070C0"/>
          <w:sz w:val="20"/>
          <w:szCs w:val="20"/>
        </w:rPr>
        <w:t xml:space="preserve"> </w:t>
      </w:r>
    </w:p>
    <w:p w14:paraId="1D2DBBCB" w14:textId="684BFB9B" w:rsidR="00735CBE" w:rsidRPr="004B5AC8" w:rsidRDefault="00AE0FF1" w:rsidP="00990AE0">
      <w:pPr>
        <w:autoSpaceDE w:val="0"/>
        <w:autoSpaceDN w:val="0"/>
        <w:adjustRightInd w:val="0"/>
        <w:spacing w:after="0" w:line="240" w:lineRule="auto"/>
        <w:rPr>
          <w:rFonts w:ascii="Times New Roman" w:hAnsi="Times New Roman" w:cs="Times New Roman"/>
          <w:b/>
          <w:bCs/>
          <w:color w:val="0070C0"/>
          <w:u w:val="single"/>
        </w:rPr>
      </w:pPr>
      <w:r w:rsidRPr="00AE0FF1">
        <w:rPr>
          <w:rFonts w:ascii="Times New Roman" w:hAnsi="Times New Roman" w:cs="Times New Roman"/>
          <w:b/>
          <w:bCs/>
          <w:color w:val="0070C0"/>
          <w:u w:val="single"/>
        </w:rPr>
        <w:t>Empirically</w:t>
      </w:r>
      <w:r w:rsidRPr="004B5AC8">
        <w:rPr>
          <w:rFonts w:ascii="Times New Roman" w:hAnsi="Times New Roman" w:cs="Times New Roman"/>
          <w:b/>
          <w:bCs/>
          <w:color w:val="0070C0"/>
          <w:u w:val="single"/>
        </w:rPr>
        <w:t xml:space="preserve"> Validity</w:t>
      </w:r>
    </w:p>
    <w:p w14:paraId="0F3F7000" w14:textId="387BD0F9" w:rsidR="00F62466" w:rsidRPr="00BC37E8" w:rsidRDefault="002D21D4" w:rsidP="00637D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 xml:space="preserve">Table </w:t>
      </w:r>
      <w:r w:rsidR="00093E8F">
        <w:rPr>
          <w:rFonts w:ascii="Times New Roman" w:hAnsi="Times New Roman" w:cs="Times New Roman"/>
          <w:b/>
          <w:bCs/>
          <w:color w:val="0070C0"/>
        </w:rPr>
        <w:t>4</w:t>
      </w:r>
      <w:r w:rsidRPr="00BC37E8">
        <w:rPr>
          <w:rFonts w:ascii="Times New Roman" w:hAnsi="Times New Roman" w:cs="Times New Roman"/>
          <w:bCs/>
          <w:color w:val="0070C0"/>
        </w:rPr>
        <w:t xml:space="preserve"> present results for the </w:t>
      </w:r>
      <w:r w:rsidR="00F62466" w:rsidRPr="00BC37E8">
        <w:rPr>
          <w:rFonts w:ascii="Times New Roman" w:hAnsi="Times New Roman" w:cs="Times New Roman"/>
          <w:bCs/>
          <w:color w:val="0070C0"/>
        </w:rPr>
        <w:t xml:space="preserve">first analysis of validity </w:t>
      </w:r>
      <w:r w:rsidRPr="00BC37E8">
        <w:rPr>
          <w:rFonts w:ascii="Times New Roman" w:hAnsi="Times New Roman" w:cs="Times New Roman"/>
          <w:bCs/>
          <w:color w:val="0070C0"/>
        </w:rPr>
        <w:t xml:space="preserve">that </w:t>
      </w:r>
      <w:r w:rsidR="00F62466" w:rsidRPr="00BC37E8">
        <w:rPr>
          <w:rFonts w:ascii="Times New Roman" w:hAnsi="Times New Roman" w:cs="Times New Roman"/>
          <w:bCs/>
          <w:color w:val="0070C0"/>
        </w:rPr>
        <w:t xml:space="preserve">shows the distribution of beneficiary’s mean risk- and specialty-adjusted monthly cost across beneficiary months for a beneficiary during the measurement period. The mean </w:t>
      </w:r>
      <w:r w:rsidRPr="00BC37E8">
        <w:rPr>
          <w:rFonts w:ascii="Times New Roman" w:hAnsi="Times New Roman" w:cs="Times New Roman"/>
          <w:bCs/>
          <w:color w:val="0070C0"/>
        </w:rPr>
        <w:t xml:space="preserve">of beneficiary’s </w:t>
      </w:r>
      <w:r w:rsidR="00F62466" w:rsidRPr="00BC37E8">
        <w:rPr>
          <w:rFonts w:ascii="Times New Roman" w:hAnsi="Times New Roman" w:cs="Times New Roman"/>
          <w:bCs/>
          <w:color w:val="0070C0"/>
        </w:rPr>
        <w:t>average risk- and specialty-adjusted monthly cost for a beneficiary during the measurement period is $1,1</w:t>
      </w:r>
      <w:r w:rsidR="000737E9" w:rsidRPr="00BC37E8">
        <w:rPr>
          <w:rFonts w:ascii="Times New Roman" w:hAnsi="Times New Roman" w:cs="Times New Roman"/>
          <w:bCs/>
          <w:color w:val="0070C0"/>
        </w:rPr>
        <w:t>87</w:t>
      </w:r>
      <w:r w:rsidR="00F62466" w:rsidRPr="00BC37E8">
        <w:rPr>
          <w:rFonts w:ascii="Times New Roman" w:hAnsi="Times New Roman" w:cs="Times New Roman"/>
          <w:bCs/>
          <w:color w:val="0070C0"/>
        </w:rPr>
        <w:t xml:space="preserve">. The mean </w:t>
      </w:r>
      <w:r w:rsidRPr="00BC37E8">
        <w:rPr>
          <w:rFonts w:ascii="Times New Roman" w:hAnsi="Times New Roman" w:cs="Times New Roman"/>
          <w:bCs/>
          <w:color w:val="0070C0"/>
        </w:rPr>
        <w:t xml:space="preserve">of beneficiary’s </w:t>
      </w:r>
      <w:r w:rsidR="00F62466" w:rsidRPr="00BC37E8">
        <w:rPr>
          <w:rFonts w:ascii="Times New Roman" w:hAnsi="Times New Roman" w:cs="Times New Roman"/>
          <w:bCs/>
          <w:color w:val="0070C0"/>
        </w:rPr>
        <w:t xml:space="preserve">average risk- and specialty-adjusted monthly cost </w:t>
      </w:r>
      <w:r w:rsidR="000737E9" w:rsidRPr="00BC37E8">
        <w:rPr>
          <w:rFonts w:ascii="Times New Roman" w:hAnsi="Times New Roman" w:cs="Times New Roman"/>
          <w:bCs/>
          <w:color w:val="0070C0"/>
        </w:rPr>
        <w:t>for beneficiaries with services relating to a</w:t>
      </w:r>
      <w:r w:rsidR="00F62466" w:rsidRPr="00BC37E8">
        <w:rPr>
          <w:rFonts w:ascii="Times New Roman" w:hAnsi="Times New Roman" w:cs="Times New Roman"/>
          <w:bCs/>
          <w:color w:val="0070C0"/>
        </w:rPr>
        <w:t xml:space="preserve">cute </w:t>
      </w:r>
      <w:r w:rsidRPr="00BC37E8">
        <w:rPr>
          <w:rFonts w:ascii="Times New Roman" w:hAnsi="Times New Roman" w:cs="Times New Roman"/>
          <w:bCs/>
          <w:color w:val="0070C0"/>
        </w:rPr>
        <w:t xml:space="preserve">inpatient </w:t>
      </w:r>
      <w:r w:rsidR="000737E9" w:rsidRPr="00BC37E8">
        <w:rPr>
          <w:rFonts w:ascii="Times New Roman" w:hAnsi="Times New Roman" w:cs="Times New Roman"/>
          <w:bCs/>
          <w:color w:val="0070C0"/>
        </w:rPr>
        <w:t>a</w:t>
      </w:r>
      <w:r w:rsidR="00F62466" w:rsidRPr="00BC37E8">
        <w:rPr>
          <w:rFonts w:ascii="Times New Roman" w:hAnsi="Times New Roman" w:cs="Times New Roman"/>
          <w:bCs/>
          <w:color w:val="0070C0"/>
        </w:rPr>
        <w:t>dmissions is $2,</w:t>
      </w:r>
      <w:r w:rsidR="000737E9" w:rsidRPr="00BC37E8">
        <w:rPr>
          <w:rFonts w:ascii="Times New Roman" w:hAnsi="Times New Roman" w:cs="Times New Roman"/>
          <w:bCs/>
          <w:color w:val="0070C0"/>
        </w:rPr>
        <w:t>647</w:t>
      </w:r>
      <w:r w:rsidR="00F62466" w:rsidRPr="00BC37E8">
        <w:rPr>
          <w:rFonts w:ascii="Times New Roman" w:hAnsi="Times New Roman" w:cs="Times New Roman"/>
          <w:bCs/>
          <w:color w:val="0070C0"/>
        </w:rPr>
        <w:t>, compared with $8</w:t>
      </w:r>
      <w:r w:rsidR="000737E9" w:rsidRPr="00BC37E8">
        <w:rPr>
          <w:rFonts w:ascii="Times New Roman" w:hAnsi="Times New Roman" w:cs="Times New Roman"/>
          <w:bCs/>
          <w:color w:val="0070C0"/>
        </w:rPr>
        <w:t>66</w:t>
      </w:r>
      <w:r w:rsidR="00F62466" w:rsidRPr="00BC37E8">
        <w:rPr>
          <w:rFonts w:ascii="Times New Roman" w:hAnsi="Times New Roman" w:cs="Times New Roman"/>
          <w:bCs/>
          <w:color w:val="0070C0"/>
        </w:rPr>
        <w:t xml:space="preserve"> for a beneficiary without </w:t>
      </w:r>
      <w:r w:rsidRPr="00BC37E8">
        <w:rPr>
          <w:rFonts w:ascii="Times New Roman" w:hAnsi="Times New Roman" w:cs="Times New Roman"/>
          <w:bCs/>
          <w:color w:val="0070C0"/>
        </w:rPr>
        <w:t>acute inpatient admissions</w:t>
      </w:r>
      <w:r w:rsidR="00F62466" w:rsidRPr="00BC37E8">
        <w:rPr>
          <w:rFonts w:ascii="Times New Roman" w:hAnsi="Times New Roman" w:cs="Times New Roman"/>
          <w:bCs/>
          <w:color w:val="0070C0"/>
        </w:rPr>
        <w:t>. The mean</w:t>
      </w:r>
      <w:r w:rsidRPr="00BC37E8">
        <w:rPr>
          <w:rFonts w:ascii="Times New Roman" w:hAnsi="Times New Roman" w:cs="Times New Roman"/>
          <w:bCs/>
          <w:color w:val="0070C0"/>
        </w:rPr>
        <w:t xml:space="preserve"> of beneficiary’s</w:t>
      </w:r>
      <w:r w:rsidR="00F62466" w:rsidRPr="00BC37E8">
        <w:rPr>
          <w:rFonts w:ascii="Times New Roman" w:hAnsi="Times New Roman" w:cs="Times New Roman"/>
          <w:bCs/>
          <w:color w:val="0070C0"/>
        </w:rPr>
        <w:t xml:space="preserve"> average risk- and specialty-adjusted monthly cost with services relating to Post-Acute Care is $2,</w:t>
      </w:r>
      <w:r w:rsidR="000737E9" w:rsidRPr="00BC37E8">
        <w:rPr>
          <w:rFonts w:ascii="Times New Roman" w:hAnsi="Times New Roman" w:cs="Times New Roman"/>
          <w:bCs/>
          <w:color w:val="0070C0"/>
        </w:rPr>
        <w:t>427</w:t>
      </w:r>
      <w:r w:rsidR="00F62466" w:rsidRPr="00BC37E8">
        <w:rPr>
          <w:rFonts w:ascii="Times New Roman" w:hAnsi="Times New Roman" w:cs="Times New Roman"/>
          <w:bCs/>
          <w:color w:val="0070C0"/>
        </w:rPr>
        <w:t>, compared with $9</w:t>
      </w:r>
      <w:r w:rsidR="000737E9" w:rsidRPr="00BC37E8">
        <w:rPr>
          <w:rFonts w:ascii="Times New Roman" w:hAnsi="Times New Roman" w:cs="Times New Roman"/>
          <w:bCs/>
          <w:color w:val="0070C0"/>
        </w:rPr>
        <w:t>96</w:t>
      </w:r>
      <w:r w:rsidR="00F62466" w:rsidRPr="00BC37E8">
        <w:rPr>
          <w:rFonts w:ascii="Times New Roman" w:hAnsi="Times New Roman" w:cs="Times New Roman"/>
          <w:bCs/>
          <w:color w:val="0070C0"/>
        </w:rPr>
        <w:t xml:space="preserve"> for a beneficiary without </w:t>
      </w:r>
      <w:r w:rsidRPr="00BC37E8">
        <w:rPr>
          <w:rFonts w:ascii="Times New Roman" w:hAnsi="Times New Roman" w:cs="Times New Roman"/>
          <w:bCs/>
          <w:color w:val="0070C0"/>
        </w:rPr>
        <w:t>PAC</w:t>
      </w:r>
      <w:r w:rsidR="00F62466" w:rsidRPr="00BC37E8">
        <w:rPr>
          <w:rFonts w:ascii="Times New Roman" w:hAnsi="Times New Roman" w:cs="Times New Roman"/>
          <w:bCs/>
          <w:color w:val="0070C0"/>
        </w:rPr>
        <w:t>.</w:t>
      </w:r>
    </w:p>
    <w:p w14:paraId="0DEE9A9A" w14:textId="77777777" w:rsidR="00F62466" w:rsidRPr="00BC37E8" w:rsidRDefault="00F62466" w:rsidP="00637DC6">
      <w:pPr>
        <w:autoSpaceDE w:val="0"/>
        <w:autoSpaceDN w:val="0"/>
        <w:adjustRightInd w:val="0"/>
        <w:spacing w:after="0" w:line="240" w:lineRule="auto"/>
        <w:rPr>
          <w:rFonts w:ascii="Times New Roman" w:hAnsi="Times New Roman" w:cs="Times New Roman"/>
          <w:b/>
          <w:bCs/>
          <w:iCs/>
        </w:rPr>
      </w:pPr>
    </w:p>
    <w:p w14:paraId="7ABA8401" w14:textId="010CA937" w:rsidR="00901B77" w:rsidRPr="00361530" w:rsidRDefault="00901B77" w:rsidP="000737E9">
      <w:pPr>
        <w:autoSpaceDE w:val="0"/>
        <w:autoSpaceDN w:val="0"/>
        <w:adjustRightInd w:val="0"/>
        <w:spacing w:after="0" w:line="240" w:lineRule="auto"/>
        <w:jc w:val="center"/>
        <w:rPr>
          <w:rFonts w:ascii="Times New Roman" w:hAnsi="Times New Roman" w:cs="Times New Roman"/>
          <w:b/>
          <w:bCs/>
          <w:iCs/>
        </w:rPr>
      </w:pPr>
      <w:r w:rsidRPr="00361530">
        <w:rPr>
          <w:rFonts w:ascii="Times New Roman" w:hAnsi="Times New Roman" w:cs="Times New Roman"/>
          <w:b/>
          <w:bCs/>
          <w:iCs/>
        </w:rPr>
        <w:t xml:space="preserve">Table </w:t>
      </w:r>
      <w:r w:rsidR="00093E8F">
        <w:rPr>
          <w:rFonts w:ascii="Times New Roman" w:hAnsi="Times New Roman" w:cs="Times New Roman"/>
          <w:b/>
          <w:bCs/>
          <w:iCs/>
        </w:rPr>
        <w:t>4</w:t>
      </w:r>
      <w:r w:rsidR="007A573C" w:rsidRPr="00361530">
        <w:rPr>
          <w:rFonts w:ascii="Times New Roman" w:hAnsi="Times New Roman" w:cs="Times New Roman"/>
          <w:b/>
          <w:bCs/>
          <w:iCs/>
        </w:rPr>
        <w:t>.</w:t>
      </w:r>
      <w:r w:rsidR="00637DC6" w:rsidRPr="00361530">
        <w:rPr>
          <w:rFonts w:ascii="Times New Roman" w:hAnsi="Times New Roman" w:cs="Times New Roman"/>
          <w:b/>
          <w:bCs/>
          <w:iCs/>
        </w:rPr>
        <w:t xml:space="preserve"> Distribution of </w:t>
      </w:r>
      <w:r w:rsidR="00F62466" w:rsidRPr="00361530">
        <w:rPr>
          <w:rFonts w:ascii="Times New Roman" w:hAnsi="Times New Roman" w:cs="Times New Roman"/>
          <w:b/>
          <w:bCs/>
          <w:iCs/>
        </w:rPr>
        <w:t>Beneficiary’s Average Risk- and Specialty-Adjusted Monthly Cost</w:t>
      </w:r>
    </w:p>
    <w:tbl>
      <w:tblPr>
        <w:tblStyle w:val="TableGrid"/>
        <w:tblW w:w="9365" w:type="dxa"/>
        <w:jc w:val="center"/>
        <w:tblLayout w:type="fixed"/>
        <w:tblLook w:val="04A0" w:firstRow="1" w:lastRow="0" w:firstColumn="1" w:lastColumn="0" w:noHBand="0" w:noVBand="1"/>
      </w:tblPr>
      <w:tblGrid>
        <w:gridCol w:w="2695"/>
        <w:gridCol w:w="855"/>
        <w:gridCol w:w="855"/>
        <w:gridCol w:w="992"/>
        <w:gridCol w:w="992"/>
        <w:gridCol w:w="992"/>
        <w:gridCol w:w="992"/>
        <w:gridCol w:w="992"/>
      </w:tblGrid>
      <w:tr w:rsidR="00901B77" w14:paraId="311DA114" w14:textId="77777777" w:rsidTr="000737E9">
        <w:trPr>
          <w:trHeight w:val="283"/>
          <w:jc w:val="center"/>
        </w:trPr>
        <w:tc>
          <w:tcPr>
            <w:tcW w:w="2695" w:type="dxa"/>
            <w:vMerge w:val="restart"/>
            <w:shd w:val="clear" w:color="auto" w:fill="17365D" w:themeFill="text2" w:themeFillShade="BF"/>
            <w:vAlign w:val="center"/>
          </w:tcPr>
          <w:p w14:paraId="208BE3E5" w14:textId="71366DDD" w:rsidR="00901B77" w:rsidRPr="00361530" w:rsidRDefault="00901B77" w:rsidP="00901B77">
            <w:pPr>
              <w:autoSpaceDE w:val="0"/>
              <w:autoSpaceDN w:val="0"/>
              <w:adjustRightInd w:val="0"/>
              <w:jc w:val="center"/>
              <w:rPr>
                <w:rFonts w:ascii="Arial" w:hAnsi="Arial" w:cs="Arial"/>
                <w:b/>
                <w:bCs/>
                <w:iCs/>
                <w:sz w:val="20"/>
                <w:szCs w:val="20"/>
              </w:rPr>
            </w:pPr>
            <w:r w:rsidRPr="00361530">
              <w:rPr>
                <w:rFonts w:ascii="Arial" w:hAnsi="Arial" w:cs="Arial"/>
                <w:b/>
                <w:bCs/>
                <w:sz w:val="20"/>
                <w:szCs w:val="20"/>
              </w:rPr>
              <w:t>Cost Driver Category</w:t>
            </w:r>
          </w:p>
        </w:tc>
        <w:tc>
          <w:tcPr>
            <w:tcW w:w="6670" w:type="dxa"/>
            <w:gridSpan w:val="7"/>
            <w:shd w:val="clear" w:color="auto" w:fill="17365D" w:themeFill="text2" w:themeFillShade="BF"/>
            <w:vAlign w:val="center"/>
          </w:tcPr>
          <w:p w14:paraId="60F04D05" w14:textId="0B4C8632" w:rsidR="00901B77" w:rsidRPr="00361530" w:rsidRDefault="002D21D4" w:rsidP="002D21D4">
            <w:pPr>
              <w:autoSpaceDE w:val="0"/>
              <w:autoSpaceDN w:val="0"/>
              <w:adjustRightInd w:val="0"/>
              <w:jc w:val="center"/>
              <w:rPr>
                <w:rFonts w:ascii="Arial" w:hAnsi="Arial" w:cs="Arial"/>
                <w:b/>
                <w:bCs/>
                <w:iCs/>
                <w:sz w:val="20"/>
                <w:szCs w:val="20"/>
              </w:rPr>
            </w:pPr>
            <w:r w:rsidRPr="00361530">
              <w:rPr>
                <w:rFonts w:ascii="Arial" w:hAnsi="Arial" w:cs="Arial"/>
                <w:b/>
                <w:bCs/>
                <w:sz w:val="20"/>
                <w:szCs w:val="20"/>
              </w:rPr>
              <w:t xml:space="preserve">Beneficiary Mean </w:t>
            </w:r>
            <w:r w:rsidR="00901B77" w:rsidRPr="00361530">
              <w:rPr>
                <w:rFonts w:ascii="Arial" w:hAnsi="Arial" w:cs="Arial"/>
                <w:b/>
                <w:bCs/>
                <w:sz w:val="20"/>
                <w:szCs w:val="20"/>
              </w:rPr>
              <w:t xml:space="preserve">Risk- and Specialty-Adjusted </w:t>
            </w:r>
            <w:r w:rsidRPr="00361530">
              <w:rPr>
                <w:rFonts w:ascii="Arial" w:hAnsi="Arial" w:cs="Arial"/>
                <w:b/>
                <w:bCs/>
                <w:sz w:val="20"/>
                <w:szCs w:val="20"/>
              </w:rPr>
              <w:t xml:space="preserve">Monthly </w:t>
            </w:r>
            <w:r w:rsidR="00901B77" w:rsidRPr="00361530">
              <w:rPr>
                <w:rFonts w:ascii="Arial" w:hAnsi="Arial" w:cs="Arial"/>
                <w:b/>
                <w:bCs/>
                <w:sz w:val="20"/>
                <w:szCs w:val="20"/>
              </w:rPr>
              <w:t>Cost</w:t>
            </w:r>
          </w:p>
        </w:tc>
      </w:tr>
      <w:tr w:rsidR="00901B77" w14:paraId="39FE28C8" w14:textId="77777777" w:rsidTr="000737E9">
        <w:trPr>
          <w:trHeight w:val="283"/>
          <w:jc w:val="center"/>
        </w:trPr>
        <w:tc>
          <w:tcPr>
            <w:tcW w:w="2695" w:type="dxa"/>
            <w:vMerge/>
            <w:shd w:val="clear" w:color="auto" w:fill="17365D" w:themeFill="text2" w:themeFillShade="BF"/>
            <w:vAlign w:val="center"/>
          </w:tcPr>
          <w:p w14:paraId="58B94DB6" w14:textId="77777777" w:rsidR="00901B77" w:rsidRPr="00361530" w:rsidRDefault="00901B77" w:rsidP="00901B77">
            <w:pPr>
              <w:autoSpaceDE w:val="0"/>
              <w:autoSpaceDN w:val="0"/>
              <w:adjustRightInd w:val="0"/>
              <w:jc w:val="center"/>
              <w:rPr>
                <w:rFonts w:ascii="Arial" w:hAnsi="Arial" w:cs="Arial"/>
                <w:b/>
                <w:bCs/>
                <w:iCs/>
                <w:sz w:val="20"/>
                <w:szCs w:val="20"/>
              </w:rPr>
            </w:pPr>
          </w:p>
        </w:tc>
        <w:tc>
          <w:tcPr>
            <w:tcW w:w="855" w:type="dxa"/>
            <w:vMerge w:val="restart"/>
            <w:shd w:val="clear" w:color="auto" w:fill="365F91" w:themeFill="accent1" w:themeFillShade="BF"/>
            <w:vAlign w:val="center"/>
          </w:tcPr>
          <w:p w14:paraId="57E729F7" w14:textId="491A22F8" w:rsidR="00901B77" w:rsidRPr="00361530" w:rsidRDefault="00901B77" w:rsidP="00901B77">
            <w:pPr>
              <w:autoSpaceDE w:val="0"/>
              <w:autoSpaceDN w:val="0"/>
              <w:adjustRightInd w:val="0"/>
              <w:jc w:val="center"/>
              <w:rPr>
                <w:rFonts w:ascii="Arial" w:hAnsi="Arial" w:cs="Arial"/>
                <w:b/>
                <w:bCs/>
                <w:iCs/>
                <w:color w:val="FFFFFF" w:themeColor="background1"/>
                <w:sz w:val="20"/>
                <w:szCs w:val="20"/>
              </w:rPr>
            </w:pPr>
            <w:r w:rsidRPr="00361530">
              <w:rPr>
                <w:rFonts w:ascii="Arial" w:hAnsi="Arial" w:cs="Arial"/>
                <w:b/>
                <w:bCs/>
                <w:iCs/>
                <w:color w:val="FFFFFF" w:themeColor="background1"/>
                <w:sz w:val="20"/>
                <w:szCs w:val="20"/>
              </w:rPr>
              <w:t>Mean</w:t>
            </w:r>
          </w:p>
        </w:tc>
        <w:tc>
          <w:tcPr>
            <w:tcW w:w="855" w:type="dxa"/>
            <w:vMerge w:val="restart"/>
            <w:shd w:val="clear" w:color="auto" w:fill="365F91" w:themeFill="accent1" w:themeFillShade="BF"/>
            <w:vAlign w:val="center"/>
          </w:tcPr>
          <w:p w14:paraId="5A41C351" w14:textId="2BC32B10" w:rsidR="00901B77" w:rsidRPr="00361530" w:rsidRDefault="00901B77" w:rsidP="00901B77">
            <w:pPr>
              <w:autoSpaceDE w:val="0"/>
              <w:autoSpaceDN w:val="0"/>
              <w:adjustRightInd w:val="0"/>
              <w:jc w:val="center"/>
              <w:rPr>
                <w:rFonts w:ascii="Arial" w:hAnsi="Arial" w:cs="Arial"/>
                <w:b/>
                <w:bCs/>
                <w:iCs/>
                <w:color w:val="FFFFFF" w:themeColor="background1"/>
                <w:sz w:val="20"/>
                <w:szCs w:val="20"/>
              </w:rPr>
            </w:pPr>
            <w:r w:rsidRPr="00361530">
              <w:rPr>
                <w:rFonts w:ascii="Arial" w:hAnsi="Arial" w:cs="Arial"/>
                <w:b/>
                <w:bCs/>
                <w:iCs/>
                <w:color w:val="FFFFFF" w:themeColor="background1"/>
                <w:sz w:val="20"/>
                <w:szCs w:val="20"/>
              </w:rPr>
              <w:t>Std. Dev.</w:t>
            </w:r>
          </w:p>
        </w:tc>
        <w:tc>
          <w:tcPr>
            <w:tcW w:w="4960" w:type="dxa"/>
            <w:gridSpan w:val="5"/>
            <w:shd w:val="clear" w:color="auto" w:fill="365F91" w:themeFill="accent1" w:themeFillShade="BF"/>
            <w:vAlign w:val="center"/>
          </w:tcPr>
          <w:p w14:paraId="25FCF29E" w14:textId="7CFD9C40" w:rsidR="00901B77" w:rsidRPr="00361530" w:rsidRDefault="00901B77" w:rsidP="00901B77">
            <w:pPr>
              <w:autoSpaceDE w:val="0"/>
              <w:autoSpaceDN w:val="0"/>
              <w:adjustRightInd w:val="0"/>
              <w:jc w:val="center"/>
              <w:rPr>
                <w:rFonts w:ascii="Arial" w:hAnsi="Arial" w:cs="Arial"/>
                <w:b/>
                <w:bCs/>
                <w:iCs/>
                <w:color w:val="FFFFFF" w:themeColor="background1"/>
                <w:sz w:val="20"/>
                <w:szCs w:val="20"/>
              </w:rPr>
            </w:pPr>
            <w:r w:rsidRPr="00361530">
              <w:rPr>
                <w:rFonts w:ascii="Arial" w:hAnsi="Arial" w:cs="Arial"/>
                <w:b/>
                <w:bCs/>
                <w:iCs/>
                <w:color w:val="FFFFFF" w:themeColor="background1"/>
                <w:sz w:val="20"/>
                <w:szCs w:val="20"/>
              </w:rPr>
              <w:t>Percentiles</w:t>
            </w:r>
          </w:p>
        </w:tc>
      </w:tr>
      <w:tr w:rsidR="00901B77" w14:paraId="1DAA5BFA" w14:textId="77777777" w:rsidTr="000737E9">
        <w:trPr>
          <w:trHeight w:val="467"/>
          <w:jc w:val="center"/>
        </w:trPr>
        <w:tc>
          <w:tcPr>
            <w:tcW w:w="2695" w:type="dxa"/>
            <w:vMerge/>
            <w:shd w:val="clear" w:color="auto" w:fill="17365D" w:themeFill="text2" w:themeFillShade="BF"/>
            <w:vAlign w:val="center"/>
          </w:tcPr>
          <w:p w14:paraId="666F55B3" w14:textId="77777777" w:rsidR="00901B77" w:rsidRPr="00361530" w:rsidRDefault="00901B77" w:rsidP="00901B77">
            <w:pPr>
              <w:autoSpaceDE w:val="0"/>
              <w:autoSpaceDN w:val="0"/>
              <w:adjustRightInd w:val="0"/>
              <w:jc w:val="center"/>
              <w:rPr>
                <w:rFonts w:ascii="Arial" w:hAnsi="Arial" w:cs="Arial"/>
                <w:b/>
                <w:bCs/>
                <w:iCs/>
                <w:sz w:val="20"/>
                <w:szCs w:val="20"/>
              </w:rPr>
            </w:pPr>
          </w:p>
        </w:tc>
        <w:tc>
          <w:tcPr>
            <w:tcW w:w="855" w:type="dxa"/>
            <w:vMerge/>
            <w:shd w:val="clear" w:color="auto" w:fill="17365D" w:themeFill="text2" w:themeFillShade="BF"/>
            <w:vAlign w:val="center"/>
          </w:tcPr>
          <w:p w14:paraId="58379416" w14:textId="77777777" w:rsidR="00901B77" w:rsidRPr="00361530" w:rsidRDefault="00901B77" w:rsidP="00901B77">
            <w:pPr>
              <w:autoSpaceDE w:val="0"/>
              <w:autoSpaceDN w:val="0"/>
              <w:adjustRightInd w:val="0"/>
              <w:jc w:val="center"/>
              <w:rPr>
                <w:rFonts w:ascii="Arial" w:hAnsi="Arial" w:cs="Arial"/>
                <w:b/>
                <w:bCs/>
                <w:iCs/>
                <w:sz w:val="20"/>
                <w:szCs w:val="20"/>
              </w:rPr>
            </w:pPr>
          </w:p>
        </w:tc>
        <w:tc>
          <w:tcPr>
            <w:tcW w:w="855" w:type="dxa"/>
            <w:vMerge/>
            <w:shd w:val="clear" w:color="auto" w:fill="17365D" w:themeFill="text2" w:themeFillShade="BF"/>
            <w:vAlign w:val="center"/>
          </w:tcPr>
          <w:p w14:paraId="6738E496" w14:textId="77777777" w:rsidR="00901B77" w:rsidRPr="00361530" w:rsidRDefault="00901B77" w:rsidP="00901B77">
            <w:pPr>
              <w:autoSpaceDE w:val="0"/>
              <w:autoSpaceDN w:val="0"/>
              <w:adjustRightInd w:val="0"/>
              <w:jc w:val="center"/>
              <w:rPr>
                <w:rFonts w:ascii="Arial" w:hAnsi="Arial" w:cs="Arial"/>
                <w:b/>
                <w:bCs/>
                <w:iCs/>
                <w:sz w:val="20"/>
                <w:szCs w:val="20"/>
              </w:rPr>
            </w:pPr>
          </w:p>
        </w:tc>
        <w:tc>
          <w:tcPr>
            <w:tcW w:w="992" w:type="dxa"/>
            <w:shd w:val="clear" w:color="auto" w:fill="C6D9F1" w:themeFill="text2" w:themeFillTint="33"/>
            <w:vAlign w:val="center"/>
          </w:tcPr>
          <w:p w14:paraId="0CA62B1B" w14:textId="1C45124F" w:rsidR="00901B77" w:rsidRPr="00361530" w:rsidRDefault="00901B77" w:rsidP="00901B77">
            <w:pPr>
              <w:autoSpaceDE w:val="0"/>
              <w:autoSpaceDN w:val="0"/>
              <w:adjustRightInd w:val="0"/>
              <w:jc w:val="center"/>
              <w:rPr>
                <w:rFonts w:ascii="Arial" w:hAnsi="Arial" w:cs="Arial"/>
                <w:b/>
                <w:bCs/>
                <w:iCs/>
                <w:sz w:val="20"/>
                <w:szCs w:val="20"/>
              </w:rPr>
            </w:pPr>
            <w:r w:rsidRPr="00361530">
              <w:rPr>
                <w:rFonts w:ascii="Arial" w:hAnsi="Arial" w:cs="Arial"/>
                <w:b/>
                <w:bCs/>
                <w:iCs/>
                <w:sz w:val="20"/>
                <w:szCs w:val="20"/>
              </w:rPr>
              <w:t>10th</w:t>
            </w:r>
          </w:p>
        </w:tc>
        <w:tc>
          <w:tcPr>
            <w:tcW w:w="992" w:type="dxa"/>
            <w:shd w:val="clear" w:color="auto" w:fill="C6D9F1" w:themeFill="text2" w:themeFillTint="33"/>
            <w:vAlign w:val="center"/>
          </w:tcPr>
          <w:p w14:paraId="5DD071C4" w14:textId="46541C8C" w:rsidR="00901B77" w:rsidRPr="00361530" w:rsidRDefault="00901B77" w:rsidP="00901B77">
            <w:pPr>
              <w:autoSpaceDE w:val="0"/>
              <w:autoSpaceDN w:val="0"/>
              <w:adjustRightInd w:val="0"/>
              <w:jc w:val="center"/>
              <w:rPr>
                <w:rFonts w:ascii="Arial" w:hAnsi="Arial" w:cs="Arial"/>
                <w:b/>
                <w:bCs/>
                <w:iCs/>
                <w:sz w:val="20"/>
                <w:szCs w:val="20"/>
              </w:rPr>
            </w:pPr>
            <w:r w:rsidRPr="00361530">
              <w:rPr>
                <w:rFonts w:ascii="Arial" w:hAnsi="Arial" w:cs="Arial"/>
                <w:b/>
                <w:bCs/>
                <w:iCs/>
                <w:sz w:val="20"/>
                <w:szCs w:val="20"/>
              </w:rPr>
              <w:t>25th</w:t>
            </w:r>
          </w:p>
        </w:tc>
        <w:tc>
          <w:tcPr>
            <w:tcW w:w="992" w:type="dxa"/>
            <w:shd w:val="clear" w:color="auto" w:fill="C6D9F1" w:themeFill="text2" w:themeFillTint="33"/>
            <w:vAlign w:val="center"/>
          </w:tcPr>
          <w:p w14:paraId="70948FBE" w14:textId="7C49CA3A" w:rsidR="00901B77" w:rsidRPr="00361530" w:rsidRDefault="00901B77" w:rsidP="00901B77">
            <w:pPr>
              <w:autoSpaceDE w:val="0"/>
              <w:autoSpaceDN w:val="0"/>
              <w:adjustRightInd w:val="0"/>
              <w:jc w:val="center"/>
              <w:rPr>
                <w:rFonts w:ascii="Arial" w:hAnsi="Arial" w:cs="Arial"/>
                <w:b/>
                <w:bCs/>
                <w:iCs/>
                <w:sz w:val="20"/>
                <w:szCs w:val="20"/>
              </w:rPr>
            </w:pPr>
            <w:r w:rsidRPr="00361530">
              <w:rPr>
                <w:rFonts w:ascii="Arial" w:hAnsi="Arial" w:cs="Arial"/>
                <w:b/>
                <w:bCs/>
                <w:iCs/>
                <w:sz w:val="20"/>
                <w:szCs w:val="20"/>
              </w:rPr>
              <w:t>50th</w:t>
            </w:r>
          </w:p>
        </w:tc>
        <w:tc>
          <w:tcPr>
            <w:tcW w:w="992" w:type="dxa"/>
            <w:shd w:val="clear" w:color="auto" w:fill="C6D9F1" w:themeFill="text2" w:themeFillTint="33"/>
            <w:vAlign w:val="center"/>
          </w:tcPr>
          <w:p w14:paraId="0E5B633D" w14:textId="56799723" w:rsidR="00901B77" w:rsidRPr="00361530" w:rsidRDefault="00901B77" w:rsidP="00901B77">
            <w:pPr>
              <w:autoSpaceDE w:val="0"/>
              <w:autoSpaceDN w:val="0"/>
              <w:adjustRightInd w:val="0"/>
              <w:jc w:val="center"/>
              <w:rPr>
                <w:rFonts w:ascii="Arial" w:hAnsi="Arial" w:cs="Arial"/>
                <w:b/>
                <w:bCs/>
                <w:iCs/>
                <w:sz w:val="20"/>
                <w:szCs w:val="20"/>
              </w:rPr>
            </w:pPr>
            <w:r w:rsidRPr="00361530">
              <w:rPr>
                <w:rFonts w:ascii="Arial" w:hAnsi="Arial" w:cs="Arial"/>
                <w:b/>
                <w:bCs/>
                <w:iCs/>
                <w:sz w:val="20"/>
                <w:szCs w:val="20"/>
              </w:rPr>
              <w:t>75th</w:t>
            </w:r>
          </w:p>
        </w:tc>
        <w:tc>
          <w:tcPr>
            <w:tcW w:w="992" w:type="dxa"/>
            <w:shd w:val="clear" w:color="auto" w:fill="C6D9F1" w:themeFill="text2" w:themeFillTint="33"/>
            <w:vAlign w:val="center"/>
          </w:tcPr>
          <w:p w14:paraId="62FACE56" w14:textId="5FC90E9A" w:rsidR="00901B77" w:rsidRPr="00361530" w:rsidRDefault="00901B77" w:rsidP="00901B77">
            <w:pPr>
              <w:autoSpaceDE w:val="0"/>
              <w:autoSpaceDN w:val="0"/>
              <w:adjustRightInd w:val="0"/>
              <w:jc w:val="center"/>
              <w:rPr>
                <w:rFonts w:ascii="Arial" w:hAnsi="Arial" w:cs="Arial"/>
                <w:b/>
                <w:bCs/>
                <w:iCs/>
                <w:sz w:val="20"/>
                <w:szCs w:val="20"/>
              </w:rPr>
            </w:pPr>
            <w:r w:rsidRPr="00361530">
              <w:rPr>
                <w:rFonts w:ascii="Arial" w:hAnsi="Arial" w:cs="Arial"/>
                <w:b/>
                <w:bCs/>
                <w:iCs/>
                <w:sz w:val="20"/>
                <w:szCs w:val="20"/>
              </w:rPr>
              <w:t>90th</w:t>
            </w:r>
          </w:p>
        </w:tc>
      </w:tr>
      <w:tr w:rsidR="002D21D4" w14:paraId="2C4ED7B3" w14:textId="77777777" w:rsidTr="000737E9">
        <w:trPr>
          <w:trHeight w:val="283"/>
          <w:jc w:val="center"/>
        </w:trPr>
        <w:tc>
          <w:tcPr>
            <w:tcW w:w="2695" w:type="dxa"/>
          </w:tcPr>
          <w:p w14:paraId="2B97394C" w14:textId="253B6798" w:rsidR="002D21D4" w:rsidRPr="00361530" w:rsidRDefault="002D21D4" w:rsidP="002D21D4">
            <w:pPr>
              <w:autoSpaceDE w:val="0"/>
              <w:autoSpaceDN w:val="0"/>
              <w:adjustRightInd w:val="0"/>
              <w:rPr>
                <w:rFonts w:ascii="Arial" w:hAnsi="Arial" w:cs="Arial"/>
                <w:b/>
                <w:bCs/>
                <w:iCs/>
                <w:sz w:val="20"/>
                <w:szCs w:val="20"/>
              </w:rPr>
            </w:pPr>
            <w:r w:rsidRPr="00361530">
              <w:rPr>
                <w:rFonts w:ascii="Arial" w:hAnsi="Arial" w:cs="Arial"/>
                <w:bCs/>
                <w:sz w:val="20"/>
                <w:szCs w:val="20"/>
              </w:rPr>
              <w:t>All Beneficiaries</w:t>
            </w:r>
          </w:p>
        </w:tc>
        <w:tc>
          <w:tcPr>
            <w:tcW w:w="855" w:type="dxa"/>
          </w:tcPr>
          <w:p w14:paraId="637DEA48" w14:textId="5897626B"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$1,187 </w:t>
            </w:r>
          </w:p>
        </w:tc>
        <w:tc>
          <w:tcPr>
            <w:tcW w:w="855" w:type="dxa"/>
          </w:tcPr>
          <w:p w14:paraId="7091A58B" w14:textId="2F2B9AFF"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$1,567 </w:t>
            </w:r>
          </w:p>
        </w:tc>
        <w:tc>
          <w:tcPr>
            <w:tcW w:w="992" w:type="dxa"/>
          </w:tcPr>
          <w:p w14:paraId="1E88BA16" w14:textId="2F2828F2"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$148 </w:t>
            </w:r>
          </w:p>
        </w:tc>
        <w:tc>
          <w:tcPr>
            <w:tcW w:w="992" w:type="dxa"/>
          </w:tcPr>
          <w:p w14:paraId="7E57A9BE" w14:textId="46DDD722"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$302 </w:t>
            </w:r>
          </w:p>
        </w:tc>
        <w:tc>
          <w:tcPr>
            <w:tcW w:w="992" w:type="dxa"/>
          </w:tcPr>
          <w:p w14:paraId="6A0C1461" w14:textId="7253811B"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$669 </w:t>
            </w:r>
          </w:p>
        </w:tc>
        <w:tc>
          <w:tcPr>
            <w:tcW w:w="992" w:type="dxa"/>
          </w:tcPr>
          <w:p w14:paraId="6C76C100" w14:textId="1CA699F3"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$1,509 </w:t>
            </w:r>
          </w:p>
        </w:tc>
        <w:tc>
          <w:tcPr>
            <w:tcW w:w="992" w:type="dxa"/>
          </w:tcPr>
          <w:p w14:paraId="22D70F31" w14:textId="6BD2FF1E"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$2,758 </w:t>
            </w:r>
          </w:p>
        </w:tc>
      </w:tr>
      <w:tr w:rsidR="002D21D4" w14:paraId="085968F4" w14:textId="77777777" w:rsidTr="000737E9">
        <w:trPr>
          <w:trHeight w:val="274"/>
          <w:jc w:val="center"/>
        </w:trPr>
        <w:tc>
          <w:tcPr>
            <w:tcW w:w="2695" w:type="dxa"/>
          </w:tcPr>
          <w:p w14:paraId="67B5C026" w14:textId="717DEE09" w:rsidR="002D21D4" w:rsidRPr="00361530" w:rsidRDefault="002D21D4" w:rsidP="002D21D4">
            <w:pPr>
              <w:autoSpaceDE w:val="0"/>
              <w:autoSpaceDN w:val="0"/>
              <w:adjustRightInd w:val="0"/>
              <w:rPr>
                <w:rFonts w:ascii="Arial" w:hAnsi="Arial" w:cs="Arial"/>
                <w:bCs/>
                <w:iCs/>
                <w:sz w:val="20"/>
                <w:szCs w:val="20"/>
              </w:rPr>
            </w:pPr>
            <w:r w:rsidRPr="00361530">
              <w:rPr>
                <w:rFonts w:ascii="Arial" w:hAnsi="Arial" w:cs="Arial"/>
                <w:bCs/>
                <w:iCs/>
                <w:sz w:val="20"/>
                <w:szCs w:val="20"/>
              </w:rPr>
              <w:t>Beneficiaries with Acute Inpatient Admissions</w:t>
            </w:r>
          </w:p>
        </w:tc>
        <w:tc>
          <w:tcPr>
            <w:tcW w:w="855" w:type="dxa"/>
          </w:tcPr>
          <w:p w14:paraId="42994EA4" w14:textId="37FF7EF5"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$2,647 </w:t>
            </w:r>
          </w:p>
        </w:tc>
        <w:tc>
          <w:tcPr>
            <w:tcW w:w="855" w:type="dxa"/>
          </w:tcPr>
          <w:p w14:paraId="0E6AC572" w14:textId="6E34B069"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$2,211 </w:t>
            </w:r>
          </w:p>
        </w:tc>
        <w:tc>
          <w:tcPr>
            <w:tcW w:w="992" w:type="dxa"/>
          </w:tcPr>
          <w:p w14:paraId="31254E0D" w14:textId="729EA815"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$882 </w:t>
            </w:r>
          </w:p>
        </w:tc>
        <w:tc>
          <w:tcPr>
            <w:tcW w:w="992" w:type="dxa"/>
          </w:tcPr>
          <w:p w14:paraId="7F3025EE" w14:textId="4DE898B6"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$1,366 </w:t>
            </w:r>
          </w:p>
        </w:tc>
        <w:tc>
          <w:tcPr>
            <w:tcW w:w="992" w:type="dxa"/>
          </w:tcPr>
          <w:p w14:paraId="3E3B617C" w14:textId="3B0AAE99"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$2,119 </w:t>
            </w:r>
          </w:p>
        </w:tc>
        <w:tc>
          <w:tcPr>
            <w:tcW w:w="992" w:type="dxa"/>
          </w:tcPr>
          <w:p w14:paraId="07179BA1" w14:textId="53824C4E"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$3,175 </w:t>
            </w:r>
          </w:p>
        </w:tc>
        <w:tc>
          <w:tcPr>
            <w:tcW w:w="992" w:type="dxa"/>
          </w:tcPr>
          <w:p w14:paraId="2FBA3134" w14:textId="121F38C7"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$4,761 </w:t>
            </w:r>
          </w:p>
        </w:tc>
      </w:tr>
      <w:tr w:rsidR="002D21D4" w14:paraId="7B258F91" w14:textId="77777777" w:rsidTr="000737E9">
        <w:trPr>
          <w:trHeight w:val="283"/>
          <w:jc w:val="center"/>
        </w:trPr>
        <w:tc>
          <w:tcPr>
            <w:tcW w:w="2695" w:type="dxa"/>
          </w:tcPr>
          <w:p w14:paraId="691C139B" w14:textId="06DBF6F0" w:rsidR="002D21D4" w:rsidRPr="00361530" w:rsidRDefault="002D21D4" w:rsidP="002D21D4">
            <w:pPr>
              <w:autoSpaceDE w:val="0"/>
              <w:autoSpaceDN w:val="0"/>
              <w:adjustRightInd w:val="0"/>
              <w:rPr>
                <w:rFonts w:ascii="Arial" w:hAnsi="Arial" w:cs="Arial"/>
                <w:bCs/>
                <w:iCs/>
                <w:sz w:val="20"/>
                <w:szCs w:val="20"/>
              </w:rPr>
            </w:pPr>
            <w:r w:rsidRPr="00361530">
              <w:rPr>
                <w:rFonts w:ascii="Arial" w:hAnsi="Arial" w:cs="Arial"/>
                <w:bCs/>
                <w:iCs/>
                <w:sz w:val="20"/>
                <w:szCs w:val="20"/>
              </w:rPr>
              <w:t>Beneficiaries without Acute Inpatient Admissions</w:t>
            </w:r>
          </w:p>
        </w:tc>
        <w:tc>
          <w:tcPr>
            <w:tcW w:w="855" w:type="dxa"/>
          </w:tcPr>
          <w:p w14:paraId="75291FA3" w14:textId="58805CE0"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$866 </w:t>
            </w:r>
          </w:p>
        </w:tc>
        <w:tc>
          <w:tcPr>
            <w:tcW w:w="855" w:type="dxa"/>
          </w:tcPr>
          <w:p w14:paraId="45AF937F" w14:textId="44A79DB8"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$1,161 </w:t>
            </w:r>
          </w:p>
        </w:tc>
        <w:tc>
          <w:tcPr>
            <w:tcW w:w="992" w:type="dxa"/>
          </w:tcPr>
          <w:p w14:paraId="7BBA3C89" w14:textId="43CBBBF3"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$128 </w:t>
            </w:r>
          </w:p>
        </w:tc>
        <w:tc>
          <w:tcPr>
            <w:tcW w:w="992" w:type="dxa"/>
          </w:tcPr>
          <w:p w14:paraId="32B145F6" w14:textId="77AEB990"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$255 </w:t>
            </w:r>
          </w:p>
        </w:tc>
        <w:tc>
          <w:tcPr>
            <w:tcW w:w="992" w:type="dxa"/>
          </w:tcPr>
          <w:p w14:paraId="56BAD18C" w14:textId="16D41A0C"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$516 </w:t>
            </w:r>
          </w:p>
        </w:tc>
        <w:tc>
          <w:tcPr>
            <w:tcW w:w="992" w:type="dxa"/>
          </w:tcPr>
          <w:p w14:paraId="5805B9FB" w14:textId="01C2FC5F"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$1,035 </w:t>
            </w:r>
          </w:p>
        </w:tc>
        <w:tc>
          <w:tcPr>
            <w:tcW w:w="992" w:type="dxa"/>
          </w:tcPr>
          <w:p w14:paraId="6EBCAF04" w14:textId="4F8AB436"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$1,948 </w:t>
            </w:r>
          </w:p>
        </w:tc>
      </w:tr>
      <w:tr w:rsidR="002D21D4" w14:paraId="79FAF114" w14:textId="77777777" w:rsidTr="000737E9">
        <w:trPr>
          <w:trHeight w:val="274"/>
          <w:jc w:val="center"/>
        </w:trPr>
        <w:tc>
          <w:tcPr>
            <w:tcW w:w="2695" w:type="dxa"/>
          </w:tcPr>
          <w:p w14:paraId="6B01A423" w14:textId="24DA052F" w:rsidR="002D21D4" w:rsidRPr="00361530" w:rsidRDefault="002D21D4" w:rsidP="002D21D4">
            <w:pPr>
              <w:autoSpaceDE w:val="0"/>
              <w:autoSpaceDN w:val="0"/>
              <w:adjustRightInd w:val="0"/>
              <w:rPr>
                <w:rFonts w:ascii="Arial" w:hAnsi="Arial" w:cs="Arial"/>
                <w:bCs/>
                <w:iCs/>
                <w:sz w:val="20"/>
                <w:szCs w:val="20"/>
              </w:rPr>
            </w:pPr>
            <w:r w:rsidRPr="00361530">
              <w:rPr>
                <w:rFonts w:ascii="Arial" w:hAnsi="Arial" w:cs="Arial"/>
                <w:bCs/>
                <w:iCs/>
                <w:sz w:val="20"/>
                <w:szCs w:val="20"/>
              </w:rPr>
              <w:t>Beneficiaries with Post-Acute Care (IRF, LTCH, HH, SNF)</w:t>
            </w:r>
          </w:p>
        </w:tc>
        <w:tc>
          <w:tcPr>
            <w:tcW w:w="855" w:type="dxa"/>
          </w:tcPr>
          <w:p w14:paraId="3902B34C" w14:textId="3450FAEB"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$2,427 </w:t>
            </w:r>
          </w:p>
        </w:tc>
        <w:tc>
          <w:tcPr>
            <w:tcW w:w="855" w:type="dxa"/>
          </w:tcPr>
          <w:p w14:paraId="37A549B2" w14:textId="7EE9EF4A"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$2,048 </w:t>
            </w:r>
          </w:p>
        </w:tc>
        <w:tc>
          <w:tcPr>
            <w:tcW w:w="992" w:type="dxa"/>
          </w:tcPr>
          <w:p w14:paraId="5B08F865" w14:textId="2F2F8436"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$650 </w:t>
            </w:r>
          </w:p>
        </w:tc>
        <w:tc>
          <w:tcPr>
            <w:tcW w:w="992" w:type="dxa"/>
          </w:tcPr>
          <w:p w14:paraId="022E2684" w14:textId="272EEE9D"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$1,140 </w:t>
            </w:r>
          </w:p>
        </w:tc>
        <w:tc>
          <w:tcPr>
            <w:tcW w:w="992" w:type="dxa"/>
          </w:tcPr>
          <w:p w14:paraId="44C129EC" w14:textId="55E14754"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$1,969 </w:t>
            </w:r>
          </w:p>
        </w:tc>
        <w:tc>
          <w:tcPr>
            <w:tcW w:w="992" w:type="dxa"/>
          </w:tcPr>
          <w:p w14:paraId="41722AA9" w14:textId="7107B1F4"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$3,055 </w:t>
            </w:r>
          </w:p>
        </w:tc>
        <w:tc>
          <w:tcPr>
            <w:tcW w:w="992" w:type="dxa"/>
          </w:tcPr>
          <w:p w14:paraId="53DB6CC3" w14:textId="52260626"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$4,552 </w:t>
            </w:r>
          </w:p>
        </w:tc>
      </w:tr>
      <w:tr w:rsidR="002D21D4" w14:paraId="409E9DA9" w14:textId="77777777" w:rsidTr="000737E9">
        <w:trPr>
          <w:trHeight w:val="283"/>
          <w:jc w:val="center"/>
        </w:trPr>
        <w:tc>
          <w:tcPr>
            <w:tcW w:w="2695" w:type="dxa"/>
          </w:tcPr>
          <w:p w14:paraId="2AFF7F82" w14:textId="7857E42A" w:rsidR="002D21D4" w:rsidRPr="00361530" w:rsidRDefault="002D21D4" w:rsidP="002D21D4">
            <w:pPr>
              <w:autoSpaceDE w:val="0"/>
              <w:autoSpaceDN w:val="0"/>
              <w:adjustRightInd w:val="0"/>
              <w:rPr>
                <w:rFonts w:ascii="Arial" w:hAnsi="Arial" w:cs="Arial"/>
                <w:bCs/>
                <w:iCs/>
                <w:sz w:val="20"/>
                <w:szCs w:val="20"/>
              </w:rPr>
            </w:pPr>
            <w:r w:rsidRPr="00361530">
              <w:rPr>
                <w:rFonts w:ascii="Arial" w:hAnsi="Arial" w:cs="Arial"/>
                <w:bCs/>
                <w:iCs/>
                <w:sz w:val="20"/>
                <w:szCs w:val="20"/>
              </w:rPr>
              <w:t>Beneficiaries without Post-Acute Care (IRF, LTCH, HH, SNF)</w:t>
            </w:r>
          </w:p>
        </w:tc>
        <w:tc>
          <w:tcPr>
            <w:tcW w:w="855" w:type="dxa"/>
          </w:tcPr>
          <w:p w14:paraId="26CB5FCA" w14:textId="3D4B666F"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$996 </w:t>
            </w:r>
          </w:p>
        </w:tc>
        <w:tc>
          <w:tcPr>
            <w:tcW w:w="855" w:type="dxa"/>
          </w:tcPr>
          <w:p w14:paraId="63269FBF" w14:textId="38ACAAB3"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$1,383 </w:t>
            </w:r>
          </w:p>
        </w:tc>
        <w:tc>
          <w:tcPr>
            <w:tcW w:w="992" w:type="dxa"/>
          </w:tcPr>
          <w:p w14:paraId="5BCB5AA5" w14:textId="29D73BF8"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$134 </w:t>
            </w:r>
          </w:p>
        </w:tc>
        <w:tc>
          <w:tcPr>
            <w:tcW w:w="992" w:type="dxa"/>
          </w:tcPr>
          <w:p w14:paraId="23615A3D" w14:textId="2E45ED67"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$269 </w:t>
            </w:r>
          </w:p>
        </w:tc>
        <w:tc>
          <w:tcPr>
            <w:tcW w:w="992" w:type="dxa"/>
          </w:tcPr>
          <w:p w14:paraId="6DD15FDC" w14:textId="6D9500D9"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$564 </w:t>
            </w:r>
          </w:p>
        </w:tc>
        <w:tc>
          <w:tcPr>
            <w:tcW w:w="992" w:type="dxa"/>
          </w:tcPr>
          <w:p w14:paraId="14576ACB" w14:textId="43280BEC"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$1,201 </w:t>
            </w:r>
          </w:p>
        </w:tc>
        <w:tc>
          <w:tcPr>
            <w:tcW w:w="992" w:type="dxa"/>
          </w:tcPr>
          <w:p w14:paraId="78A8A890" w14:textId="2277A18D" w:rsidR="002D21D4" w:rsidRPr="00361530" w:rsidRDefault="002D21D4" w:rsidP="002D21D4">
            <w:pPr>
              <w:autoSpaceDE w:val="0"/>
              <w:autoSpaceDN w:val="0"/>
              <w:adjustRightInd w:val="0"/>
              <w:jc w:val="right"/>
              <w:rPr>
                <w:rFonts w:ascii="Arial" w:hAnsi="Arial" w:cs="Arial"/>
                <w:b/>
                <w:bCs/>
                <w:iCs/>
                <w:sz w:val="20"/>
                <w:szCs w:val="20"/>
                <w:highlight w:val="yellow"/>
              </w:rPr>
            </w:pPr>
            <w:r w:rsidRPr="00361530">
              <w:rPr>
                <w:rFonts w:ascii="Arial" w:hAnsi="Arial" w:cs="Arial"/>
                <w:sz w:val="20"/>
                <w:szCs w:val="20"/>
              </w:rPr>
              <w:t xml:space="preserve">$2,283 </w:t>
            </w:r>
          </w:p>
        </w:tc>
      </w:tr>
    </w:tbl>
    <w:p w14:paraId="44D13156" w14:textId="77777777" w:rsidR="00637DC6" w:rsidRPr="00BC37E8" w:rsidRDefault="00637DC6" w:rsidP="00637DC6">
      <w:pPr>
        <w:autoSpaceDE w:val="0"/>
        <w:autoSpaceDN w:val="0"/>
        <w:adjustRightInd w:val="0"/>
        <w:spacing w:after="0" w:line="240" w:lineRule="auto"/>
        <w:rPr>
          <w:rFonts w:ascii="Times New Roman" w:hAnsi="Times New Roman" w:cs="Times New Roman"/>
          <w:bCs/>
        </w:rPr>
      </w:pPr>
    </w:p>
    <w:p w14:paraId="0D57DEA0" w14:textId="5DC464C4" w:rsidR="00637DC6" w:rsidRPr="00BC37E8" w:rsidRDefault="005F79D1" w:rsidP="00637DC6">
      <w:pPr>
        <w:autoSpaceDE w:val="0"/>
        <w:autoSpaceDN w:val="0"/>
        <w:adjustRightInd w:val="0"/>
        <w:spacing w:after="0" w:line="240" w:lineRule="auto"/>
        <w:rPr>
          <w:rFonts w:ascii="Times New Roman" w:hAnsi="Times New Roman" w:cs="Times New Roman"/>
          <w:bCs/>
          <w:color w:val="0070C0"/>
        </w:rPr>
      </w:pPr>
      <w:r w:rsidRPr="00BC37E8">
        <w:rPr>
          <w:rFonts w:ascii="Times New Roman" w:hAnsi="Times New Roman" w:cs="Times New Roman"/>
          <w:b/>
          <w:bCs/>
          <w:color w:val="0070C0"/>
        </w:rPr>
        <w:t xml:space="preserve">Table </w:t>
      </w:r>
      <w:r w:rsidR="00093E8F">
        <w:rPr>
          <w:rFonts w:ascii="Times New Roman" w:hAnsi="Times New Roman" w:cs="Times New Roman"/>
          <w:b/>
          <w:bCs/>
          <w:color w:val="0070C0"/>
        </w:rPr>
        <w:t>5</w:t>
      </w:r>
      <w:r w:rsidRPr="00BC37E8">
        <w:rPr>
          <w:rFonts w:ascii="Times New Roman" w:hAnsi="Times New Roman" w:cs="Times New Roman"/>
          <w:b/>
          <w:bCs/>
          <w:color w:val="0070C0"/>
        </w:rPr>
        <w:t xml:space="preserve"> </w:t>
      </w:r>
      <w:r w:rsidRPr="00BC37E8">
        <w:rPr>
          <w:rFonts w:ascii="Times New Roman" w:hAnsi="Times New Roman" w:cs="Times New Roman"/>
          <w:bCs/>
          <w:color w:val="0070C0"/>
        </w:rPr>
        <w:t xml:space="preserve">includes results from the clinical theme analysis. </w:t>
      </w:r>
      <w:r w:rsidR="00F62466" w:rsidRPr="00BC37E8">
        <w:rPr>
          <w:rFonts w:ascii="Times New Roman" w:hAnsi="Times New Roman" w:cs="Times New Roman"/>
          <w:bCs/>
          <w:color w:val="0070C0"/>
        </w:rPr>
        <w:t xml:space="preserve">The service categories analysis </w:t>
      </w:r>
      <w:r w:rsidRPr="00BC37E8">
        <w:rPr>
          <w:rFonts w:ascii="Times New Roman" w:hAnsi="Times New Roman" w:cs="Times New Roman"/>
          <w:bCs/>
          <w:color w:val="0070C0"/>
        </w:rPr>
        <w:t>shows</w:t>
      </w:r>
      <w:r w:rsidR="00F62466" w:rsidRPr="00BC37E8">
        <w:rPr>
          <w:rFonts w:ascii="Times New Roman" w:hAnsi="Times New Roman" w:cs="Times New Roman"/>
          <w:bCs/>
          <w:color w:val="0070C0"/>
        </w:rPr>
        <w:t xml:space="preserve"> the correlation between </w:t>
      </w:r>
      <w:r w:rsidR="001E4ED3" w:rsidRPr="00BC37E8">
        <w:rPr>
          <w:rFonts w:ascii="Times New Roman" w:hAnsi="Times New Roman" w:cs="Times New Roman"/>
          <w:bCs/>
          <w:color w:val="0070C0"/>
        </w:rPr>
        <w:t xml:space="preserve">cost observed in a </w:t>
      </w:r>
      <w:r w:rsidRPr="00BC37E8">
        <w:rPr>
          <w:rFonts w:ascii="Times New Roman" w:hAnsi="Times New Roman" w:cs="Times New Roman"/>
          <w:bCs/>
          <w:color w:val="0070C0"/>
        </w:rPr>
        <w:t>clinical theme</w:t>
      </w:r>
      <w:r w:rsidR="00F62466" w:rsidRPr="00BC37E8">
        <w:rPr>
          <w:rFonts w:ascii="Times New Roman" w:hAnsi="Times New Roman" w:cs="Times New Roman"/>
          <w:bCs/>
          <w:color w:val="0070C0"/>
        </w:rPr>
        <w:t xml:space="preserve"> and risk</w:t>
      </w:r>
      <w:r w:rsidR="00854D4B" w:rsidRPr="00BC37E8">
        <w:rPr>
          <w:rFonts w:ascii="Times New Roman" w:hAnsi="Times New Roman" w:cs="Times New Roman"/>
          <w:bCs/>
          <w:color w:val="0070C0"/>
        </w:rPr>
        <w:t>- and</w:t>
      </w:r>
      <w:r w:rsidR="00E35F77" w:rsidRPr="00BC37E8">
        <w:rPr>
          <w:rFonts w:ascii="Times New Roman" w:hAnsi="Times New Roman" w:cs="Times New Roman"/>
          <w:bCs/>
          <w:color w:val="0070C0"/>
        </w:rPr>
        <w:t xml:space="preserve"> specialty-</w:t>
      </w:r>
      <w:r w:rsidR="00F62466" w:rsidRPr="00BC37E8">
        <w:rPr>
          <w:rFonts w:ascii="Times New Roman" w:hAnsi="Times New Roman" w:cs="Times New Roman"/>
          <w:bCs/>
          <w:color w:val="0070C0"/>
        </w:rPr>
        <w:t>adjusted cost at the TIN and TIN-NPI levels. At both the TIN and TIN-NPI levels, there is a strong correlation between the SNF service category and risk-adjusted cost (correlation: 0.5</w:t>
      </w:r>
      <w:r w:rsidRPr="00BC37E8">
        <w:rPr>
          <w:rFonts w:ascii="Times New Roman" w:hAnsi="Times New Roman" w:cs="Times New Roman"/>
          <w:bCs/>
          <w:color w:val="0070C0"/>
        </w:rPr>
        <w:t>4</w:t>
      </w:r>
      <w:r w:rsidR="00F62466" w:rsidRPr="00BC37E8">
        <w:rPr>
          <w:rFonts w:ascii="Times New Roman" w:hAnsi="Times New Roman" w:cs="Times New Roman"/>
          <w:bCs/>
          <w:color w:val="0070C0"/>
        </w:rPr>
        <w:t>). At both the TIN and TIN-NPI levels there is a strong correlation between Outpatient E&amp;M Services, Procedures, and Therapy and risk-adjusted cost (correlation: 0.4</w:t>
      </w:r>
      <w:r w:rsidRPr="00BC37E8">
        <w:rPr>
          <w:rFonts w:ascii="Times New Roman" w:hAnsi="Times New Roman" w:cs="Times New Roman"/>
          <w:bCs/>
          <w:color w:val="0070C0"/>
        </w:rPr>
        <w:t>5</w:t>
      </w:r>
      <w:r w:rsidR="00F62466" w:rsidRPr="00BC37E8">
        <w:rPr>
          <w:rFonts w:ascii="Times New Roman" w:hAnsi="Times New Roman" w:cs="Times New Roman"/>
          <w:bCs/>
          <w:color w:val="0070C0"/>
        </w:rPr>
        <w:t>). At both the TIN and TIN-NPI levels, there is a moderate</w:t>
      </w:r>
      <w:r w:rsidR="005D224F">
        <w:rPr>
          <w:rFonts w:ascii="Times New Roman" w:hAnsi="Times New Roman" w:cs="Times New Roman"/>
          <w:bCs/>
          <w:color w:val="0070C0"/>
        </w:rPr>
        <w:t xml:space="preserve"> to large</w:t>
      </w:r>
      <w:r w:rsidR="00F62466" w:rsidRPr="00BC37E8">
        <w:rPr>
          <w:rFonts w:ascii="Times New Roman" w:hAnsi="Times New Roman" w:cs="Times New Roman"/>
          <w:bCs/>
          <w:color w:val="0070C0"/>
        </w:rPr>
        <w:t xml:space="preserve"> correlation between the Acute Inpatient Services category and risk-adjusted cost (correlation: 0.3</w:t>
      </w:r>
      <w:r w:rsidRPr="00BC37E8">
        <w:rPr>
          <w:rFonts w:ascii="Times New Roman" w:hAnsi="Times New Roman" w:cs="Times New Roman"/>
          <w:bCs/>
          <w:color w:val="0070C0"/>
        </w:rPr>
        <w:t>8</w:t>
      </w:r>
      <w:r w:rsidR="00F62466" w:rsidRPr="00BC37E8">
        <w:rPr>
          <w:rFonts w:ascii="Times New Roman" w:hAnsi="Times New Roman" w:cs="Times New Roman"/>
          <w:bCs/>
          <w:color w:val="0070C0"/>
        </w:rPr>
        <w:t>).</w:t>
      </w:r>
      <w:r w:rsidRPr="00BC37E8">
        <w:rPr>
          <w:rFonts w:ascii="Times New Roman" w:hAnsi="Times New Roman" w:cs="Times New Roman"/>
          <w:bCs/>
          <w:color w:val="0070C0"/>
        </w:rPr>
        <w:t xml:space="preserve"> </w:t>
      </w:r>
      <w:r w:rsidR="00F62466" w:rsidRPr="00BC37E8">
        <w:rPr>
          <w:rFonts w:ascii="Times New Roman" w:hAnsi="Times New Roman" w:cs="Times New Roman"/>
          <w:bCs/>
          <w:color w:val="0070C0"/>
        </w:rPr>
        <w:t xml:space="preserve">In contrast, at the TIN and TIN-NPI levels the HH category has </w:t>
      </w:r>
      <w:r w:rsidRPr="00BC37E8">
        <w:rPr>
          <w:rFonts w:ascii="Times New Roman" w:hAnsi="Times New Roman" w:cs="Times New Roman"/>
          <w:bCs/>
          <w:color w:val="0070C0"/>
        </w:rPr>
        <w:t xml:space="preserve">a </w:t>
      </w:r>
      <w:r w:rsidR="00F62466" w:rsidRPr="00BC37E8">
        <w:rPr>
          <w:rFonts w:ascii="Times New Roman" w:hAnsi="Times New Roman" w:cs="Times New Roman"/>
          <w:bCs/>
          <w:color w:val="0070C0"/>
        </w:rPr>
        <w:t>low</w:t>
      </w:r>
      <w:r w:rsidRPr="00BC37E8">
        <w:rPr>
          <w:rFonts w:ascii="Times New Roman" w:hAnsi="Times New Roman" w:cs="Times New Roman"/>
          <w:bCs/>
          <w:color w:val="0070C0"/>
        </w:rPr>
        <w:t>er</w:t>
      </w:r>
      <w:r w:rsidR="00F62466" w:rsidRPr="00BC37E8">
        <w:rPr>
          <w:rFonts w:ascii="Times New Roman" w:hAnsi="Times New Roman" w:cs="Times New Roman"/>
          <w:bCs/>
          <w:color w:val="0070C0"/>
        </w:rPr>
        <w:t xml:space="preserve"> correlation with risk-adjusted cost (correlation: 0.1</w:t>
      </w:r>
      <w:r w:rsidRPr="00BC37E8">
        <w:rPr>
          <w:rFonts w:ascii="Times New Roman" w:hAnsi="Times New Roman" w:cs="Times New Roman"/>
          <w:bCs/>
          <w:color w:val="0070C0"/>
        </w:rPr>
        <w:t>1</w:t>
      </w:r>
      <w:r w:rsidR="00F62466" w:rsidRPr="00BC37E8">
        <w:rPr>
          <w:rFonts w:ascii="Times New Roman" w:hAnsi="Times New Roman" w:cs="Times New Roman"/>
          <w:bCs/>
          <w:color w:val="0070C0"/>
        </w:rPr>
        <w:t xml:space="preserve">). </w:t>
      </w:r>
      <w:r w:rsidR="00F62466" w:rsidRPr="00BC37E8">
        <w:rPr>
          <w:rFonts w:ascii="Times New Roman" w:hAnsi="Times New Roman" w:cs="Times New Roman"/>
          <w:bCs/>
          <w:color w:val="0070C0"/>
        </w:rPr>
        <w:lastRenderedPageBreak/>
        <w:t>Similarly, the</w:t>
      </w:r>
      <w:r w:rsidRPr="00BC37E8">
        <w:rPr>
          <w:rFonts w:ascii="Times New Roman" w:hAnsi="Times New Roman" w:cs="Times New Roman"/>
          <w:bCs/>
          <w:color w:val="0070C0"/>
        </w:rPr>
        <w:t>re is</w:t>
      </w:r>
      <w:r w:rsidR="00F62466" w:rsidRPr="00BC37E8">
        <w:rPr>
          <w:rFonts w:ascii="Times New Roman" w:hAnsi="Times New Roman" w:cs="Times New Roman"/>
          <w:bCs/>
          <w:color w:val="0070C0"/>
        </w:rPr>
        <w:t xml:space="preserve"> low</w:t>
      </w:r>
      <w:r w:rsidRPr="00BC37E8">
        <w:rPr>
          <w:rFonts w:ascii="Times New Roman" w:hAnsi="Times New Roman" w:cs="Times New Roman"/>
          <w:bCs/>
          <w:color w:val="0070C0"/>
        </w:rPr>
        <w:t>er</w:t>
      </w:r>
      <w:r w:rsidR="00F62466" w:rsidRPr="00BC37E8">
        <w:rPr>
          <w:rFonts w:ascii="Times New Roman" w:hAnsi="Times New Roman" w:cs="Times New Roman"/>
          <w:bCs/>
          <w:color w:val="0070C0"/>
        </w:rPr>
        <w:t xml:space="preserve"> correlation between the Non-Hospital Admission Emergency Services category and risk-adjusted cost (correlation: 0.1</w:t>
      </w:r>
      <w:r w:rsidRPr="00BC37E8">
        <w:rPr>
          <w:rFonts w:ascii="Times New Roman" w:hAnsi="Times New Roman" w:cs="Times New Roman"/>
          <w:bCs/>
          <w:color w:val="0070C0"/>
        </w:rPr>
        <w:t>5</w:t>
      </w:r>
      <w:r w:rsidR="00F62466" w:rsidRPr="00BC37E8">
        <w:rPr>
          <w:rFonts w:ascii="Times New Roman" w:hAnsi="Times New Roman" w:cs="Times New Roman"/>
          <w:bCs/>
          <w:color w:val="0070C0"/>
        </w:rPr>
        <w:t>).</w:t>
      </w:r>
      <w:r w:rsidR="005D224F" w:rsidRPr="005D224F">
        <w:rPr>
          <w:rStyle w:val="FootnoteReference"/>
          <w:rFonts w:ascii="Times New Roman" w:hAnsi="Times New Roman"/>
          <w:bCs/>
          <w:color w:val="0070C0"/>
        </w:rPr>
        <w:t xml:space="preserve"> </w:t>
      </w:r>
      <w:r w:rsidR="005D224F">
        <w:rPr>
          <w:rStyle w:val="FootnoteReference"/>
          <w:rFonts w:ascii="Times New Roman" w:hAnsi="Times New Roman"/>
          <w:bCs/>
          <w:color w:val="0070C0"/>
        </w:rPr>
        <w:footnoteReference w:id="7"/>
      </w:r>
    </w:p>
    <w:p w14:paraId="6FDACE47" w14:textId="77777777" w:rsidR="00F62466" w:rsidRPr="00BC37E8" w:rsidRDefault="00F62466" w:rsidP="00637DC6">
      <w:pPr>
        <w:autoSpaceDE w:val="0"/>
        <w:autoSpaceDN w:val="0"/>
        <w:adjustRightInd w:val="0"/>
        <w:spacing w:after="0" w:line="240" w:lineRule="auto"/>
        <w:rPr>
          <w:rFonts w:ascii="Times New Roman" w:hAnsi="Times New Roman" w:cs="Times New Roman"/>
          <w:bCs/>
          <w:color w:val="0070C0"/>
        </w:rPr>
      </w:pPr>
    </w:p>
    <w:p w14:paraId="68CE1564" w14:textId="525A9F7A" w:rsidR="00637DC6" w:rsidRPr="00361530" w:rsidRDefault="007A573C" w:rsidP="00E35F77">
      <w:pPr>
        <w:autoSpaceDE w:val="0"/>
        <w:autoSpaceDN w:val="0"/>
        <w:adjustRightInd w:val="0"/>
        <w:spacing w:after="0" w:line="240" w:lineRule="auto"/>
        <w:jc w:val="center"/>
        <w:rPr>
          <w:rFonts w:ascii="Times New Roman" w:hAnsi="Times New Roman" w:cs="Times New Roman"/>
          <w:b/>
          <w:bCs/>
          <w:iCs/>
        </w:rPr>
      </w:pPr>
      <w:r w:rsidRPr="00361530">
        <w:rPr>
          <w:rFonts w:ascii="Times New Roman" w:hAnsi="Times New Roman" w:cs="Times New Roman"/>
          <w:b/>
          <w:bCs/>
          <w:iCs/>
        </w:rPr>
        <w:t xml:space="preserve">Table </w:t>
      </w:r>
      <w:r w:rsidR="00093E8F">
        <w:rPr>
          <w:rFonts w:ascii="Times New Roman" w:hAnsi="Times New Roman" w:cs="Times New Roman"/>
          <w:b/>
          <w:bCs/>
          <w:iCs/>
        </w:rPr>
        <w:t>5</w:t>
      </w:r>
      <w:r w:rsidRPr="00361530">
        <w:rPr>
          <w:rFonts w:ascii="Times New Roman" w:hAnsi="Times New Roman" w:cs="Times New Roman"/>
          <w:b/>
          <w:bCs/>
          <w:iCs/>
        </w:rPr>
        <w:t xml:space="preserve">. </w:t>
      </w:r>
      <w:r w:rsidR="00637DC6" w:rsidRPr="00361530">
        <w:rPr>
          <w:rFonts w:ascii="Times New Roman" w:hAnsi="Times New Roman" w:cs="Times New Roman"/>
          <w:b/>
          <w:bCs/>
          <w:iCs/>
        </w:rPr>
        <w:t xml:space="preserve">Pearson Correlation Statistics between </w:t>
      </w:r>
      <w:r w:rsidR="005F79D1" w:rsidRPr="00361530">
        <w:rPr>
          <w:rFonts w:ascii="Times New Roman" w:hAnsi="Times New Roman" w:cs="Times New Roman"/>
          <w:b/>
          <w:bCs/>
          <w:iCs/>
        </w:rPr>
        <w:t>Costs</w:t>
      </w:r>
      <w:r w:rsidR="00637DC6" w:rsidRPr="00361530">
        <w:rPr>
          <w:rFonts w:ascii="Times New Roman" w:hAnsi="Times New Roman" w:cs="Times New Roman"/>
          <w:b/>
          <w:bCs/>
          <w:iCs/>
        </w:rPr>
        <w:t xml:space="preserve"> of </w:t>
      </w:r>
      <w:r w:rsidR="005F79D1" w:rsidRPr="00361530">
        <w:rPr>
          <w:rFonts w:ascii="Times New Roman" w:hAnsi="Times New Roman" w:cs="Times New Roman"/>
          <w:b/>
          <w:bCs/>
          <w:iCs/>
        </w:rPr>
        <w:t>Clinical Themes</w:t>
      </w:r>
      <w:r w:rsidR="00637DC6" w:rsidRPr="00361530">
        <w:rPr>
          <w:rFonts w:ascii="Times New Roman" w:hAnsi="Times New Roman" w:cs="Times New Roman"/>
          <w:b/>
          <w:bCs/>
          <w:iCs/>
        </w:rPr>
        <w:t xml:space="preserve"> with Risk-Adjusted Cost</w:t>
      </w:r>
    </w:p>
    <w:tbl>
      <w:tblPr>
        <w:tblW w:w="8264" w:type="dxa"/>
        <w:jc w:val="center"/>
        <w:tblLayout w:type="fixed"/>
        <w:tblLook w:val="04A0" w:firstRow="1" w:lastRow="0" w:firstColumn="1" w:lastColumn="0" w:noHBand="0" w:noVBand="1"/>
      </w:tblPr>
      <w:tblGrid>
        <w:gridCol w:w="5823"/>
        <w:gridCol w:w="1220"/>
        <w:gridCol w:w="1221"/>
      </w:tblGrid>
      <w:tr w:rsidR="0080440B" w:rsidRPr="00637DC6" w14:paraId="366E1F67" w14:textId="77777777" w:rsidTr="0080440B">
        <w:trPr>
          <w:trHeight w:val="245"/>
          <w:jc w:val="center"/>
        </w:trPr>
        <w:tc>
          <w:tcPr>
            <w:tcW w:w="5823" w:type="dxa"/>
            <w:vMerge w:val="restart"/>
            <w:tcBorders>
              <w:top w:val="single" w:sz="4" w:space="0" w:color="auto"/>
              <w:left w:val="single" w:sz="4" w:space="0" w:color="auto"/>
              <w:right w:val="single" w:sz="4" w:space="0" w:color="auto"/>
            </w:tcBorders>
            <w:shd w:val="clear" w:color="000000" w:fill="203764"/>
            <w:vAlign w:val="center"/>
            <w:hideMark/>
          </w:tcPr>
          <w:p w14:paraId="6E357B32" w14:textId="64495760" w:rsidR="0080440B" w:rsidRPr="005F79D1" w:rsidRDefault="005F79D1" w:rsidP="00637DC6">
            <w:pPr>
              <w:spacing w:after="0" w:line="240" w:lineRule="auto"/>
              <w:jc w:val="center"/>
              <w:rPr>
                <w:rFonts w:ascii="Arial" w:eastAsia="Times New Roman" w:hAnsi="Arial" w:cs="Arial"/>
                <w:b/>
                <w:bCs/>
                <w:color w:val="FFFFFF"/>
                <w:sz w:val="20"/>
                <w:szCs w:val="20"/>
              </w:rPr>
            </w:pPr>
            <w:r w:rsidRPr="005F79D1">
              <w:rPr>
                <w:rFonts w:ascii="Arial" w:eastAsia="Times New Roman" w:hAnsi="Arial" w:cs="Arial"/>
                <w:b/>
                <w:bCs/>
                <w:color w:val="FFFFFF"/>
                <w:sz w:val="20"/>
                <w:szCs w:val="20"/>
              </w:rPr>
              <w:t>Clinical Theme</w:t>
            </w:r>
          </w:p>
        </w:tc>
        <w:tc>
          <w:tcPr>
            <w:tcW w:w="2441" w:type="dxa"/>
            <w:gridSpan w:val="2"/>
            <w:tcBorders>
              <w:top w:val="single" w:sz="4" w:space="0" w:color="auto"/>
              <w:left w:val="single" w:sz="4" w:space="0" w:color="auto"/>
              <w:bottom w:val="single" w:sz="4" w:space="0" w:color="auto"/>
              <w:right w:val="single" w:sz="4" w:space="0" w:color="auto"/>
            </w:tcBorders>
            <w:shd w:val="clear" w:color="000000" w:fill="203764"/>
            <w:vAlign w:val="center"/>
            <w:hideMark/>
          </w:tcPr>
          <w:p w14:paraId="443B6A69" w14:textId="2F265CAB" w:rsidR="0080440B" w:rsidRPr="005F79D1" w:rsidRDefault="0080440B" w:rsidP="00E35F77">
            <w:pPr>
              <w:spacing w:after="0" w:line="240" w:lineRule="auto"/>
              <w:jc w:val="center"/>
              <w:rPr>
                <w:rFonts w:ascii="Arial" w:eastAsia="Times New Roman" w:hAnsi="Arial" w:cs="Arial"/>
                <w:b/>
                <w:bCs/>
                <w:color w:val="FFFFFF"/>
                <w:sz w:val="20"/>
                <w:szCs w:val="20"/>
              </w:rPr>
            </w:pPr>
            <w:r w:rsidRPr="005F79D1">
              <w:rPr>
                <w:rFonts w:ascii="Arial" w:eastAsia="Times New Roman" w:hAnsi="Arial" w:cs="Arial"/>
                <w:b/>
                <w:bCs/>
                <w:color w:val="FFFFFF"/>
                <w:sz w:val="20"/>
                <w:szCs w:val="20"/>
              </w:rPr>
              <w:t>Pearson Correlation</w:t>
            </w:r>
          </w:p>
        </w:tc>
      </w:tr>
      <w:tr w:rsidR="0080440B" w:rsidRPr="00637DC6" w14:paraId="620F2205" w14:textId="77777777" w:rsidTr="005F79D1">
        <w:trPr>
          <w:trHeight w:val="238"/>
          <w:jc w:val="center"/>
        </w:trPr>
        <w:tc>
          <w:tcPr>
            <w:tcW w:w="5823" w:type="dxa"/>
            <w:vMerge/>
            <w:tcBorders>
              <w:left w:val="single" w:sz="4" w:space="0" w:color="auto"/>
              <w:bottom w:val="single" w:sz="4" w:space="0" w:color="auto"/>
              <w:right w:val="single" w:sz="4" w:space="0" w:color="auto"/>
            </w:tcBorders>
            <w:shd w:val="clear" w:color="000000" w:fill="A6A6A6"/>
            <w:vAlign w:val="center"/>
          </w:tcPr>
          <w:p w14:paraId="5AE5A860" w14:textId="77777777" w:rsidR="0080440B" w:rsidRPr="005F79D1" w:rsidRDefault="0080440B" w:rsidP="00E35F77">
            <w:pPr>
              <w:spacing w:after="0" w:line="240" w:lineRule="auto"/>
              <w:jc w:val="center"/>
              <w:rPr>
                <w:rFonts w:ascii="Arial" w:eastAsia="Times New Roman" w:hAnsi="Arial" w:cs="Arial"/>
                <w:b/>
                <w:bCs/>
                <w:color w:val="FFFFFF"/>
                <w:sz w:val="20"/>
                <w:szCs w:val="20"/>
              </w:rPr>
            </w:pPr>
          </w:p>
        </w:tc>
        <w:tc>
          <w:tcPr>
            <w:tcW w:w="1220" w:type="dxa"/>
            <w:tcBorders>
              <w:top w:val="single" w:sz="4" w:space="0" w:color="auto"/>
              <w:left w:val="nil"/>
              <w:bottom w:val="single" w:sz="4" w:space="0" w:color="auto"/>
              <w:right w:val="single" w:sz="4" w:space="0" w:color="auto"/>
            </w:tcBorders>
            <w:shd w:val="clear" w:color="auto" w:fill="17365D" w:themeFill="text2" w:themeFillShade="BF"/>
          </w:tcPr>
          <w:p w14:paraId="37794F0E" w14:textId="7F159ED6" w:rsidR="0080440B" w:rsidRPr="005F79D1" w:rsidRDefault="0080440B" w:rsidP="00E35F77">
            <w:pPr>
              <w:spacing w:after="0" w:line="240" w:lineRule="auto"/>
              <w:jc w:val="center"/>
              <w:rPr>
                <w:rFonts w:ascii="Arial" w:eastAsia="Times New Roman" w:hAnsi="Arial" w:cs="Arial"/>
                <w:b/>
                <w:bCs/>
                <w:color w:val="FFFFFF"/>
                <w:sz w:val="20"/>
                <w:szCs w:val="20"/>
              </w:rPr>
            </w:pPr>
            <w:r w:rsidRPr="005F79D1">
              <w:rPr>
                <w:rFonts w:ascii="Arial" w:eastAsia="Times New Roman" w:hAnsi="Arial" w:cs="Arial"/>
                <w:b/>
                <w:bCs/>
                <w:color w:val="FFFFFF"/>
                <w:sz w:val="20"/>
                <w:szCs w:val="20"/>
              </w:rPr>
              <w:t>TIN</w:t>
            </w:r>
          </w:p>
        </w:tc>
        <w:tc>
          <w:tcPr>
            <w:tcW w:w="1221" w:type="dxa"/>
            <w:tcBorders>
              <w:top w:val="single" w:sz="4" w:space="0" w:color="auto"/>
              <w:left w:val="nil"/>
              <w:bottom w:val="single" w:sz="4" w:space="0" w:color="auto"/>
              <w:right w:val="single" w:sz="4" w:space="0" w:color="auto"/>
            </w:tcBorders>
            <w:shd w:val="clear" w:color="auto" w:fill="17365D" w:themeFill="text2" w:themeFillShade="BF"/>
            <w:noWrap/>
            <w:vAlign w:val="center"/>
          </w:tcPr>
          <w:p w14:paraId="3544B078" w14:textId="1A143BE8" w:rsidR="0080440B" w:rsidRPr="005F79D1" w:rsidRDefault="0080440B" w:rsidP="00E35F77">
            <w:pPr>
              <w:spacing w:after="0" w:line="240" w:lineRule="auto"/>
              <w:jc w:val="center"/>
              <w:rPr>
                <w:rFonts w:ascii="Arial" w:eastAsia="Times New Roman" w:hAnsi="Arial" w:cs="Arial"/>
                <w:b/>
                <w:bCs/>
                <w:sz w:val="20"/>
                <w:szCs w:val="20"/>
              </w:rPr>
            </w:pPr>
            <w:r w:rsidRPr="005F79D1">
              <w:rPr>
                <w:rFonts w:ascii="Arial" w:eastAsia="Times New Roman" w:hAnsi="Arial" w:cs="Arial"/>
                <w:b/>
                <w:bCs/>
                <w:color w:val="FFFFFF"/>
                <w:sz w:val="20"/>
                <w:szCs w:val="20"/>
              </w:rPr>
              <w:t>TIN-NPI</w:t>
            </w:r>
          </w:p>
        </w:tc>
      </w:tr>
      <w:tr w:rsidR="005F79D1" w:rsidRPr="00637DC6" w14:paraId="01935981" w14:textId="77777777" w:rsidTr="005F79D1">
        <w:trPr>
          <w:trHeight w:val="238"/>
          <w:jc w:val="center"/>
        </w:trPr>
        <w:tc>
          <w:tcPr>
            <w:tcW w:w="5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3712F" w14:textId="3104455F" w:rsidR="005F79D1" w:rsidRPr="005F79D1" w:rsidRDefault="005F79D1" w:rsidP="005F79D1">
            <w:pPr>
              <w:spacing w:after="0" w:line="240" w:lineRule="auto"/>
              <w:rPr>
                <w:rFonts w:ascii="Arial" w:eastAsia="Times New Roman" w:hAnsi="Arial" w:cs="Arial"/>
                <w:color w:val="000000"/>
                <w:sz w:val="20"/>
                <w:szCs w:val="20"/>
              </w:rPr>
            </w:pPr>
            <w:r w:rsidRPr="005F79D1">
              <w:rPr>
                <w:rFonts w:ascii="Arial" w:eastAsia="Times New Roman" w:hAnsi="Arial" w:cs="Arial"/>
                <w:color w:val="000000"/>
                <w:sz w:val="20"/>
                <w:szCs w:val="20"/>
              </w:rPr>
              <w:t xml:space="preserve">Acute Inpatient Services </w:t>
            </w:r>
          </w:p>
        </w:tc>
        <w:tc>
          <w:tcPr>
            <w:tcW w:w="1220" w:type="dxa"/>
            <w:tcBorders>
              <w:top w:val="single" w:sz="4" w:space="0" w:color="auto"/>
              <w:left w:val="nil"/>
              <w:bottom w:val="single" w:sz="4" w:space="0" w:color="auto"/>
              <w:right w:val="single" w:sz="4" w:space="0" w:color="auto"/>
            </w:tcBorders>
            <w:vAlign w:val="bottom"/>
          </w:tcPr>
          <w:p w14:paraId="164EDC77" w14:textId="0A695D5E"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0.38</w:t>
            </w:r>
          </w:p>
        </w:tc>
        <w:tc>
          <w:tcPr>
            <w:tcW w:w="1221" w:type="dxa"/>
            <w:tcBorders>
              <w:top w:val="single" w:sz="4" w:space="0" w:color="auto"/>
              <w:left w:val="nil"/>
              <w:bottom w:val="single" w:sz="4" w:space="0" w:color="auto"/>
              <w:right w:val="single" w:sz="4" w:space="0" w:color="auto"/>
            </w:tcBorders>
            <w:shd w:val="clear" w:color="auto" w:fill="auto"/>
            <w:noWrap/>
            <w:vAlign w:val="bottom"/>
          </w:tcPr>
          <w:p w14:paraId="5647A8A3" w14:textId="4635C003"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0.38</w:t>
            </w:r>
          </w:p>
        </w:tc>
      </w:tr>
      <w:tr w:rsidR="005F79D1" w:rsidRPr="00637DC6" w14:paraId="58B1D448" w14:textId="77777777" w:rsidTr="005F79D1">
        <w:trPr>
          <w:trHeight w:val="238"/>
          <w:jc w:val="center"/>
        </w:trPr>
        <w:tc>
          <w:tcPr>
            <w:tcW w:w="5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CBAFF" w14:textId="77777777" w:rsidR="005F79D1" w:rsidRPr="005F79D1" w:rsidRDefault="005F79D1" w:rsidP="005F79D1">
            <w:pPr>
              <w:spacing w:after="0" w:line="240" w:lineRule="auto"/>
              <w:rPr>
                <w:rFonts w:ascii="Arial" w:eastAsia="Times New Roman" w:hAnsi="Arial" w:cs="Arial"/>
                <w:color w:val="000000"/>
                <w:sz w:val="20"/>
                <w:szCs w:val="20"/>
              </w:rPr>
            </w:pPr>
            <w:r w:rsidRPr="005F79D1">
              <w:rPr>
                <w:rFonts w:ascii="Arial" w:eastAsia="Times New Roman" w:hAnsi="Arial" w:cs="Arial"/>
                <w:color w:val="000000"/>
                <w:sz w:val="20"/>
                <w:szCs w:val="20"/>
              </w:rPr>
              <w:t xml:space="preserve">Emergency Services Not Included in Hospital Admission </w:t>
            </w:r>
          </w:p>
        </w:tc>
        <w:tc>
          <w:tcPr>
            <w:tcW w:w="1220" w:type="dxa"/>
            <w:tcBorders>
              <w:top w:val="single" w:sz="4" w:space="0" w:color="auto"/>
              <w:left w:val="nil"/>
              <w:bottom w:val="single" w:sz="4" w:space="0" w:color="auto"/>
              <w:right w:val="single" w:sz="4" w:space="0" w:color="auto"/>
            </w:tcBorders>
            <w:vAlign w:val="bottom"/>
          </w:tcPr>
          <w:p w14:paraId="49D831AE" w14:textId="79FB58B4"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0.15</w:t>
            </w:r>
          </w:p>
        </w:tc>
        <w:tc>
          <w:tcPr>
            <w:tcW w:w="1221" w:type="dxa"/>
            <w:tcBorders>
              <w:top w:val="single" w:sz="4" w:space="0" w:color="auto"/>
              <w:left w:val="nil"/>
              <w:bottom w:val="single" w:sz="4" w:space="0" w:color="auto"/>
              <w:right w:val="single" w:sz="4" w:space="0" w:color="auto"/>
            </w:tcBorders>
            <w:shd w:val="clear" w:color="auto" w:fill="auto"/>
            <w:noWrap/>
            <w:vAlign w:val="bottom"/>
          </w:tcPr>
          <w:p w14:paraId="167A4732" w14:textId="65458D85"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0.15</w:t>
            </w:r>
          </w:p>
        </w:tc>
      </w:tr>
      <w:tr w:rsidR="005F79D1" w:rsidRPr="00637DC6" w14:paraId="06AFC59A" w14:textId="77777777" w:rsidTr="005F79D1">
        <w:trPr>
          <w:trHeight w:val="238"/>
          <w:jc w:val="center"/>
        </w:trPr>
        <w:tc>
          <w:tcPr>
            <w:tcW w:w="5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9A54C" w14:textId="77777777" w:rsidR="005F79D1" w:rsidRPr="005F79D1" w:rsidRDefault="005F79D1" w:rsidP="005F79D1">
            <w:pPr>
              <w:spacing w:after="0" w:line="240" w:lineRule="auto"/>
              <w:rPr>
                <w:rFonts w:ascii="Arial" w:eastAsia="Times New Roman" w:hAnsi="Arial" w:cs="Arial"/>
                <w:color w:val="000000"/>
                <w:sz w:val="20"/>
                <w:szCs w:val="20"/>
              </w:rPr>
            </w:pPr>
            <w:r w:rsidRPr="005F79D1">
              <w:rPr>
                <w:rFonts w:ascii="Arial" w:eastAsia="Times New Roman" w:hAnsi="Arial" w:cs="Arial"/>
                <w:color w:val="000000"/>
                <w:sz w:val="20"/>
                <w:szCs w:val="20"/>
              </w:rPr>
              <w:t xml:space="preserve">Outpatient E&amp;M Services, Procedures, and Therapy </w:t>
            </w:r>
          </w:p>
        </w:tc>
        <w:tc>
          <w:tcPr>
            <w:tcW w:w="1220" w:type="dxa"/>
            <w:tcBorders>
              <w:top w:val="single" w:sz="4" w:space="0" w:color="auto"/>
              <w:left w:val="nil"/>
              <w:bottom w:val="single" w:sz="4" w:space="0" w:color="auto"/>
              <w:right w:val="single" w:sz="4" w:space="0" w:color="auto"/>
            </w:tcBorders>
            <w:vAlign w:val="bottom"/>
          </w:tcPr>
          <w:p w14:paraId="64F61A46" w14:textId="6540379B"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0.45</w:t>
            </w:r>
          </w:p>
        </w:tc>
        <w:tc>
          <w:tcPr>
            <w:tcW w:w="1221" w:type="dxa"/>
            <w:tcBorders>
              <w:top w:val="single" w:sz="4" w:space="0" w:color="auto"/>
              <w:left w:val="nil"/>
              <w:bottom w:val="single" w:sz="4" w:space="0" w:color="auto"/>
              <w:right w:val="single" w:sz="4" w:space="0" w:color="auto"/>
            </w:tcBorders>
            <w:shd w:val="clear" w:color="auto" w:fill="auto"/>
            <w:noWrap/>
            <w:vAlign w:val="bottom"/>
          </w:tcPr>
          <w:p w14:paraId="48EAD306" w14:textId="4373D33E"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0.45</w:t>
            </w:r>
          </w:p>
        </w:tc>
      </w:tr>
      <w:tr w:rsidR="005F79D1" w:rsidRPr="00637DC6" w14:paraId="4D21DA71" w14:textId="77777777" w:rsidTr="005F79D1">
        <w:trPr>
          <w:trHeight w:val="238"/>
          <w:jc w:val="center"/>
        </w:trPr>
        <w:tc>
          <w:tcPr>
            <w:tcW w:w="5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C5786" w14:textId="77777777" w:rsidR="005F79D1" w:rsidRPr="005F79D1" w:rsidRDefault="005F79D1" w:rsidP="005F79D1">
            <w:pPr>
              <w:spacing w:after="0" w:line="240" w:lineRule="auto"/>
              <w:rPr>
                <w:rFonts w:ascii="Arial" w:eastAsia="Times New Roman" w:hAnsi="Arial" w:cs="Arial"/>
                <w:color w:val="000000"/>
                <w:sz w:val="20"/>
                <w:szCs w:val="20"/>
              </w:rPr>
            </w:pPr>
            <w:r w:rsidRPr="005F79D1">
              <w:rPr>
                <w:rFonts w:ascii="Arial" w:eastAsia="Times New Roman" w:hAnsi="Arial" w:cs="Arial"/>
                <w:color w:val="000000"/>
                <w:sz w:val="20"/>
                <w:szCs w:val="20"/>
              </w:rPr>
              <w:t xml:space="preserve">Post-Acute Care: Home Health </w:t>
            </w:r>
          </w:p>
        </w:tc>
        <w:tc>
          <w:tcPr>
            <w:tcW w:w="1220" w:type="dxa"/>
            <w:tcBorders>
              <w:top w:val="single" w:sz="4" w:space="0" w:color="auto"/>
              <w:left w:val="nil"/>
              <w:bottom w:val="single" w:sz="4" w:space="0" w:color="auto"/>
              <w:right w:val="single" w:sz="4" w:space="0" w:color="auto"/>
            </w:tcBorders>
            <w:vAlign w:val="bottom"/>
          </w:tcPr>
          <w:p w14:paraId="471E9FC5" w14:textId="22F5EC49"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0.11</w:t>
            </w:r>
          </w:p>
        </w:tc>
        <w:tc>
          <w:tcPr>
            <w:tcW w:w="1221" w:type="dxa"/>
            <w:tcBorders>
              <w:top w:val="single" w:sz="4" w:space="0" w:color="auto"/>
              <w:left w:val="nil"/>
              <w:bottom w:val="single" w:sz="4" w:space="0" w:color="auto"/>
              <w:right w:val="single" w:sz="4" w:space="0" w:color="auto"/>
            </w:tcBorders>
            <w:shd w:val="clear" w:color="auto" w:fill="auto"/>
            <w:noWrap/>
            <w:vAlign w:val="bottom"/>
          </w:tcPr>
          <w:p w14:paraId="1BC4BEFC" w14:textId="0CA0BC0D"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0.11</w:t>
            </w:r>
          </w:p>
        </w:tc>
      </w:tr>
      <w:tr w:rsidR="005F79D1" w:rsidRPr="00637DC6" w14:paraId="3B6C0BB5" w14:textId="77777777" w:rsidTr="005F79D1">
        <w:trPr>
          <w:trHeight w:val="238"/>
          <w:jc w:val="center"/>
        </w:trPr>
        <w:tc>
          <w:tcPr>
            <w:tcW w:w="5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5FE1D" w14:textId="77777777" w:rsidR="005F79D1" w:rsidRPr="005F79D1" w:rsidRDefault="005F79D1" w:rsidP="005F79D1">
            <w:pPr>
              <w:spacing w:after="0" w:line="240" w:lineRule="auto"/>
              <w:rPr>
                <w:rFonts w:ascii="Arial" w:eastAsia="Times New Roman" w:hAnsi="Arial" w:cs="Arial"/>
                <w:color w:val="000000"/>
                <w:sz w:val="20"/>
                <w:szCs w:val="20"/>
              </w:rPr>
            </w:pPr>
            <w:r w:rsidRPr="005F79D1">
              <w:rPr>
                <w:rFonts w:ascii="Arial" w:eastAsia="Times New Roman" w:hAnsi="Arial" w:cs="Arial"/>
                <w:color w:val="000000"/>
                <w:sz w:val="20"/>
                <w:szCs w:val="20"/>
              </w:rPr>
              <w:t xml:space="preserve">Post-Acute Care: IRF/LTCH </w:t>
            </w:r>
          </w:p>
        </w:tc>
        <w:tc>
          <w:tcPr>
            <w:tcW w:w="1220" w:type="dxa"/>
            <w:tcBorders>
              <w:top w:val="single" w:sz="4" w:space="0" w:color="auto"/>
              <w:left w:val="nil"/>
              <w:bottom w:val="single" w:sz="4" w:space="0" w:color="auto"/>
              <w:right w:val="single" w:sz="4" w:space="0" w:color="auto"/>
            </w:tcBorders>
            <w:vAlign w:val="bottom"/>
          </w:tcPr>
          <w:p w14:paraId="5941E7D8" w14:textId="76D64B81"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0.18</w:t>
            </w:r>
          </w:p>
        </w:tc>
        <w:tc>
          <w:tcPr>
            <w:tcW w:w="1221" w:type="dxa"/>
            <w:tcBorders>
              <w:top w:val="single" w:sz="4" w:space="0" w:color="auto"/>
              <w:left w:val="nil"/>
              <w:bottom w:val="single" w:sz="4" w:space="0" w:color="auto"/>
              <w:right w:val="single" w:sz="4" w:space="0" w:color="auto"/>
            </w:tcBorders>
            <w:shd w:val="clear" w:color="auto" w:fill="auto"/>
            <w:noWrap/>
            <w:vAlign w:val="bottom"/>
          </w:tcPr>
          <w:p w14:paraId="1B70A731" w14:textId="39E6EF1D"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0.18</w:t>
            </w:r>
          </w:p>
        </w:tc>
      </w:tr>
      <w:tr w:rsidR="005F79D1" w:rsidRPr="00637DC6" w14:paraId="66788E72" w14:textId="77777777" w:rsidTr="005F79D1">
        <w:trPr>
          <w:trHeight w:val="258"/>
          <w:jc w:val="center"/>
        </w:trPr>
        <w:tc>
          <w:tcPr>
            <w:tcW w:w="5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9E70F" w14:textId="77777777" w:rsidR="005F79D1" w:rsidRPr="005F79D1" w:rsidRDefault="005F79D1" w:rsidP="005F79D1">
            <w:pPr>
              <w:spacing w:after="0" w:line="240" w:lineRule="auto"/>
              <w:rPr>
                <w:rFonts w:ascii="Arial" w:eastAsia="Times New Roman" w:hAnsi="Arial" w:cs="Arial"/>
                <w:color w:val="000000"/>
                <w:sz w:val="20"/>
                <w:szCs w:val="20"/>
              </w:rPr>
            </w:pPr>
            <w:r w:rsidRPr="005F79D1">
              <w:rPr>
                <w:rFonts w:ascii="Arial" w:eastAsia="Times New Roman" w:hAnsi="Arial" w:cs="Arial"/>
                <w:color w:val="000000"/>
                <w:sz w:val="20"/>
                <w:szCs w:val="20"/>
              </w:rPr>
              <w:t xml:space="preserve">Post-Acute Care: SNF </w:t>
            </w:r>
          </w:p>
        </w:tc>
        <w:tc>
          <w:tcPr>
            <w:tcW w:w="1220" w:type="dxa"/>
            <w:tcBorders>
              <w:top w:val="single" w:sz="4" w:space="0" w:color="auto"/>
              <w:left w:val="nil"/>
              <w:bottom w:val="single" w:sz="4" w:space="0" w:color="auto"/>
              <w:right w:val="single" w:sz="4" w:space="0" w:color="auto"/>
            </w:tcBorders>
            <w:vAlign w:val="bottom"/>
          </w:tcPr>
          <w:p w14:paraId="4A412FC7" w14:textId="4445DD24"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0.54</w:t>
            </w:r>
          </w:p>
        </w:tc>
        <w:tc>
          <w:tcPr>
            <w:tcW w:w="1221" w:type="dxa"/>
            <w:tcBorders>
              <w:top w:val="single" w:sz="4" w:space="0" w:color="auto"/>
              <w:left w:val="nil"/>
              <w:bottom w:val="single" w:sz="4" w:space="0" w:color="auto"/>
              <w:right w:val="single" w:sz="4" w:space="0" w:color="auto"/>
            </w:tcBorders>
            <w:shd w:val="clear" w:color="auto" w:fill="auto"/>
            <w:noWrap/>
            <w:vAlign w:val="bottom"/>
          </w:tcPr>
          <w:p w14:paraId="323C29CE" w14:textId="38139387" w:rsidR="005F79D1" w:rsidRPr="005F79D1" w:rsidRDefault="005F79D1" w:rsidP="005F79D1">
            <w:pPr>
              <w:spacing w:after="0" w:line="240" w:lineRule="auto"/>
              <w:jc w:val="center"/>
              <w:rPr>
                <w:rFonts w:ascii="Arial" w:eastAsia="Times New Roman" w:hAnsi="Arial" w:cs="Arial"/>
                <w:b/>
                <w:color w:val="000000"/>
                <w:sz w:val="20"/>
                <w:szCs w:val="20"/>
                <w:highlight w:val="yellow"/>
              </w:rPr>
            </w:pPr>
            <w:r w:rsidRPr="005F79D1">
              <w:rPr>
                <w:rFonts w:ascii="Arial" w:hAnsi="Arial" w:cs="Arial"/>
                <w:color w:val="000000"/>
                <w:sz w:val="20"/>
                <w:szCs w:val="20"/>
              </w:rPr>
              <w:t>0.54</w:t>
            </w:r>
          </w:p>
        </w:tc>
      </w:tr>
    </w:tbl>
    <w:p w14:paraId="5B302EDF" w14:textId="7069BD01" w:rsidR="00637DC6" w:rsidRPr="00BC37E8" w:rsidRDefault="00637DC6" w:rsidP="00637DC6">
      <w:pPr>
        <w:autoSpaceDE w:val="0"/>
        <w:autoSpaceDN w:val="0"/>
        <w:adjustRightInd w:val="0"/>
        <w:spacing w:after="0" w:line="240" w:lineRule="auto"/>
        <w:rPr>
          <w:rFonts w:ascii="Times New Roman" w:hAnsi="Times New Roman" w:cs="Times New Roman"/>
          <w:bCs/>
          <w:color w:val="0070C0"/>
        </w:rPr>
      </w:pPr>
    </w:p>
    <w:p w14:paraId="33EF0CB9" w14:textId="447617EF" w:rsidR="005D224F" w:rsidRPr="004B5AC8" w:rsidRDefault="005D224F" w:rsidP="00502B45">
      <w:pPr>
        <w:spacing w:line="240" w:lineRule="auto"/>
        <w:rPr>
          <w:rFonts w:ascii="Times New Roman" w:hAnsi="Times New Roman" w:cs="Times New Roman"/>
          <w:b/>
          <w:bCs/>
          <w:color w:val="0070C0"/>
          <w:u w:val="single"/>
        </w:rPr>
      </w:pPr>
      <w:r>
        <w:rPr>
          <w:rFonts w:ascii="Times New Roman" w:hAnsi="Times New Roman" w:cs="Times New Roman"/>
          <w:b/>
          <w:bCs/>
          <w:color w:val="0070C0"/>
          <w:u w:val="single"/>
        </w:rPr>
        <w:t>Attribution Validity</w:t>
      </w:r>
    </w:p>
    <w:p w14:paraId="631DA1E4" w14:textId="0319F3E1" w:rsidR="00E12BAB" w:rsidRPr="00BC37E8" w:rsidRDefault="00E12BAB" w:rsidP="00502B45">
      <w:pPr>
        <w:spacing w:line="240" w:lineRule="auto"/>
        <w:rPr>
          <w:rFonts w:ascii="Times New Roman" w:hAnsi="Times New Roman" w:cs="Times New Roman"/>
          <w:bCs/>
          <w:color w:val="0070C0"/>
        </w:rPr>
      </w:pPr>
      <w:r w:rsidRPr="00BC37E8">
        <w:rPr>
          <w:rFonts w:ascii="Times New Roman" w:hAnsi="Times New Roman" w:cs="Times New Roman"/>
          <w:bCs/>
          <w:color w:val="0070C0"/>
        </w:rPr>
        <w:t>The fi</w:t>
      </w:r>
      <w:r w:rsidR="00604B7A" w:rsidRPr="00BC37E8">
        <w:rPr>
          <w:rFonts w:ascii="Times New Roman" w:hAnsi="Times New Roman" w:cs="Times New Roman"/>
          <w:bCs/>
          <w:color w:val="0070C0"/>
        </w:rPr>
        <w:t>rst analysis on</w:t>
      </w:r>
      <w:r w:rsidRPr="00BC37E8">
        <w:rPr>
          <w:rFonts w:ascii="Times New Roman" w:hAnsi="Times New Roman" w:cs="Times New Roman"/>
          <w:bCs/>
          <w:color w:val="0070C0"/>
        </w:rPr>
        <w:t xml:space="preserve"> attribution validity</w:t>
      </w:r>
      <w:r w:rsidR="00036344">
        <w:rPr>
          <w:rFonts w:ascii="Times New Roman" w:hAnsi="Times New Roman" w:cs="Times New Roman"/>
          <w:bCs/>
          <w:color w:val="0070C0"/>
        </w:rPr>
        <w:t xml:space="preserve"> (</w:t>
      </w:r>
      <w:r w:rsidR="00036344" w:rsidRPr="00036344">
        <w:rPr>
          <w:rFonts w:ascii="Times New Roman" w:hAnsi="Times New Roman" w:cs="Times New Roman"/>
          <w:b/>
          <w:bCs/>
          <w:color w:val="0070C0"/>
        </w:rPr>
        <w:t xml:space="preserve">Table </w:t>
      </w:r>
      <w:r w:rsidR="00093E8F">
        <w:rPr>
          <w:rFonts w:ascii="Times New Roman" w:hAnsi="Times New Roman" w:cs="Times New Roman"/>
          <w:b/>
          <w:bCs/>
          <w:color w:val="0070C0"/>
        </w:rPr>
        <w:t>6</w:t>
      </w:r>
      <w:r w:rsidR="00036344">
        <w:rPr>
          <w:rFonts w:ascii="Times New Roman" w:hAnsi="Times New Roman" w:cs="Times New Roman"/>
          <w:bCs/>
          <w:color w:val="0070C0"/>
        </w:rPr>
        <w:t>)</w:t>
      </w:r>
      <w:r w:rsidRPr="00BC37E8">
        <w:rPr>
          <w:rFonts w:ascii="Times New Roman" w:hAnsi="Times New Roman" w:cs="Times New Roman"/>
          <w:bCs/>
          <w:color w:val="0070C0"/>
        </w:rPr>
        <w:t xml:space="preserve"> shows the distribution of </w:t>
      </w:r>
      <w:r w:rsidR="009B3043" w:rsidRPr="00BC37E8">
        <w:rPr>
          <w:rFonts w:ascii="Times New Roman" w:hAnsi="Times New Roman" w:cs="Times New Roman"/>
          <w:bCs/>
          <w:color w:val="0070C0"/>
        </w:rPr>
        <w:t xml:space="preserve">the </w:t>
      </w:r>
      <w:r w:rsidRPr="00BC37E8">
        <w:rPr>
          <w:rFonts w:ascii="Times New Roman" w:hAnsi="Times New Roman" w:cs="Times New Roman"/>
          <w:bCs/>
          <w:color w:val="0070C0"/>
        </w:rPr>
        <w:t xml:space="preserve">share of </w:t>
      </w:r>
      <w:r w:rsidR="009B3043" w:rsidRPr="00BC37E8">
        <w:rPr>
          <w:rFonts w:ascii="Times New Roman" w:hAnsi="Times New Roman" w:cs="Times New Roman"/>
          <w:bCs/>
          <w:color w:val="0070C0"/>
        </w:rPr>
        <w:t>beneficiary’s</w:t>
      </w:r>
      <w:r w:rsidRPr="00BC37E8">
        <w:rPr>
          <w:rFonts w:ascii="Times New Roman" w:hAnsi="Times New Roman" w:cs="Times New Roman"/>
          <w:bCs/>
          <w:color w:val="0070C0"/>
        </w:rPr>
        <w:t xml:space="preserve"> </w:t>
      </w:r>
      <w:r w:rsidR="009B3043" w:rsidRPr="00BC37E8">
        <w:rPr>
          <w:rFonts w:ascii="Times New Roman" w:hAnsi="Times New Roman" w:cs="Times New Roman"/>
          <w:bCs/>
          <w:color w:val="0070C0"/>
        </w:rPr>
        <w:t xml:space="preserve">primary care related </w:t>
      </w:r>
      <w:r w:rsidRPr="00BC37E8">
        <w:rPr>
          <w:rFonts w:ascii="Times New Roman" w:hAnsi="Times New Roman" w:cs="Times New Roman"/>
          <w:bCs/>
          <w:color w:val="0070C0"/>
        </w:rPr>
        <w:t>E&amp;M</w:t>
      </w:r>
      <w:r w:rsidR="009B3043" w:rsidRPr="00BC37E8">
        <w:rPr>
          <w:rFonts w:ascii="Times New Roman" w:hAnsi="Times New Roman" w:cs="Times New Roman"/>
          <w:bCs/>
          <w:color w:val="0070C0"/>
        </w:rPr>
        <w:t xml:space="preserve"> claim</w:t>
      </w:r>
      <w:r w:rsidRPr="00BC37E8">
        <w:rPr>
          <w:rFonts w:ascii="Times New Roman" w:hAnsi="Times New Roman" w:cs="Times New Roman"/>
          <w:bCs/>
          <w:color w:val="0070C0"/>
        </w:rPr>
        <w:t xml:space="preserve">s billed by </w:t>
      </w:r>
      <w:r w:rsidR="009B3043" w:rsidRPr="00BC37E8">
        <w:rPr>
          <w:rFonts w:ascii="Times New Roman" w:hAnsi="Times New Roman" w:cs="Times New Roman"/>
          <w:bCs/>
          <w:color w:val="0070C0"/>
        </w:rPr>
        <w:t xml:space="preserve">the attributed </w:t>
      </w:r>
      <w:r w:rsidRPr="00BC37E8">
        <w:rPr>
          <w:rFonts w:ascii="Times New Roman" w:hAnsi="Times New Roman" w:cs="Times New Roman"/>
          <w:bCs/>
          <w:color w:val="0070C0"/>
        </w:rPr>
        <w:t>TIN or TIN-NPI.  The mean share of beneficiary’s E&amp;M</w:t>
      </w:r>
      <w:r w:rsidR="009B3043" w:rsidRPr="00BC37E8">
        <w:rPr>
          <w:rFonts w:ascii="Times New Roman" w:hAnsi="Times New Roman" w:cs="Times New Roman"/>
          <w:bCs/>
          <w:color w:val="0070C0"/>
        </w:rPr>
        <w:t xml:space="preserve"> claim</w:t>
      </w:r>
      <w:r w:rsidRPr="00BC37E8">
        <w:rPr>
          <w:rFonts w:ascii="Times New Roman" w:hAnsi="Times New Roman" w:cs="Times New Roman"/>
          <w:bCs/>
          <w:color w:val="0070C0"/>
        </w:rPr>
        <w:t>s</w:t>
      </w:r>
      <w:r w:rsidR="009B3043" w:rsidRPr="00BC37E8">
        <w:rPr>
          <w:rFonts w:ascii="Times New Roman" w:hAnsi="Times New Roman" w:cs="Times New Roman"/>
          <w:bCs/>
          <w:color w:val="0070C0"/>
        </w:rPr>
        <w:t xml:space="preserve"> billed by attributed TINs or TIN-NPI</w:t>
      </w:r>
      <w:r w:rsidRPr="00BC37E8">
        <w:rPr>
          <w:rFonts w:ascii="Times New Roman" w:hAnsi="Times New Roman" w:cs="Times New Roman"/>
          <w:bCs/>
          <w:color w:val="0070C0"/>
        </w:rPr>
        <w:t xml:space="preserve"> is 52.8</w:t>
      </w:r>
      <w:r w:rsidR="005406C4" w:rsidRPr="00BC37E8">
        <w:rPr>
          <w:rFonts w:ascii="Times New Roman" w:hAnsi="Times New Roman" w:cs="Times New Roman"/>
          <w:bCs/>
          <w:color w:val="0070C0"/>
        </w:rPr>
        <w:t xml:space="preserve"> percent</w:t>
      </w:r>
      <w:r w:rsidRPr="00BC37E8">
        <w:rPr>
          <w:rFonts w:ascii="Times New Roman" w:hAnsi="Times New Roman" w:cs="Times New Roman"/>
          <w:bCs/>
          <w:color w:val="0070C0"/>
        </w:rPr>
        <w:t xml:space="preserve"> and 45</w:t>
      </w:r>
      <w:r w:rsidR="008B099E">
        <w:rPr>
          <w:rFonts w:ascii="Times New Roman" w:hAnsi="Times New Roman" w:cs="Times New Roman"/>
          <w:bCs/>
          <w:color w:val="0070C0"/>
        </w:rPr>
        <w:t>.0</w:t>
      </w:r>
      <w:r w:rsidR="009B3043" w:rsidRPr="00BC37E8">
        <w:rPr>
          <w:rFonts w:ascii="Times New Roman" w:hAnsi="Times New Roman" w:cs="Times New Roman"/>
          <w:bCs/>
          <w:color w:val="0070C0"/>
        </w:rPr>
        <w:t xml:space="preserve"> percent, respectively</w:t>
      </w:r>
      <w:r w:rsidRPr="00BC37E8">
        <w:rPr>
          <w:rFonts w:ascii="Times New Roman" w:hAnsi="Times New Roman" w:cs="Times New Roman"/>
          <w:bCs/>
          <w:color w:val="0070C0"/>
        </w:rPr>
        <w:t xml:space="preserve">. </w:t>
      </w:r>
    </w:p>
    <w:p w14:paraId="02D8A3D7" w14:textId="44A4F6D4" w:rsidR="00E12BAB" w:rsidRPr="00361530" w:rsidRDefault="00E12BAB" w:rsidP="00502B45">
      <w:pPr>
        <w:spacing w:after="0"/>
        <w:jc w:val="center"/>
        <w:rPr>
          <w:rFonts w:ascii="Times New Roman" w:hAnsi="Times New Roman" w:cs="Times New Roman"/>
          <w:b/>
        </w:rPr>
      </w:pPr>
      <w:r w:rsidRPr="00361530">
        <w:rPr>
          <w:rFonts w:ascii="Times New Roman" w:hAnsi="Times New Roman" w:cs="Times New Roman"/>
          <w:b/>
        </w:rPr>
        <w:t xml:space="preserve">Table </w:t>
      </w:r>
      <w:r w:rsidR="00093E8F">
        <w:rPr>
          <w:rFonts w:ascii="Times New Roman" w:hAnsi="Times New Roman" w:cs="Times New Roman"/>
          <w:b/>
        </w:rPr>
        <w:t>6</w:t>
      </w:r>
      <w:r w:rsidRPr="00361530">
        <w:rPr>
          <w:rFonts w:ascii="Times New Roman" w:hAnsi="Times New Roman" w:cs="Times New Roman"/>
          <w:b/>
        </w:rPr>
        <w:t>. Share of Primary Care E&amp;M Billed by Attributed TIN and TIN-NPI</w:t>
      </w:r>
    </w:p>
    <w:tbl>
      <w:tblPr>
        <w:tblW w:w="8436" w:type="dxa"/>
        <w:jc w:val="center"/>
        <w:tblCellMar>
          <w:left w:w="0" w:type="dxa"/>
          <w:right w:w="0" w:type="dxa"/>
        </w:tblCellMar>
        <w:tblLook w:val="0420" w:firstRow="1" w:lastRow="0" w:firstColumn="0" w:lastColumn="0" w:noHBand="0" w:noVBand="1"/>
      </w:tblPr>
      <w:tblGrid>
        <w:gridCol w:w="1100"/>
        <w:gridCol w:w="2316"/>
        <w:gridCol w:w="1633"/>
        <w:gridCol w:w="1647"/>
        <w:gridCol w:w="1740"/>
      </w:tblGrid>
      <w:tr w:rsidR="00E12BAB" w:rsidRPr="00361530" w14:paraId="4D954F67" w14:textId="77777777" w:rsidTr="009B3043">
        <w:trPr>
          <w:trHeight w:val="250"/>
          <w:jc w:val="center"/>
        </w:trPr>
        <w:tc>
          <w:tcPr>
            <w:tcW w:w="620" w:type="dxa"/>
            <w:vMerge w:val="restart"/>
            <w:tcBorders>
              <w:top w:val="single" w:sz="8" w:space="0" w:color="000000"/>
              <w:left w:val="single" w:sz="8" w:space="0" w:color="000000"/>
              <w:bottom w:val="single" w:sz="8" w:space="0" w:color="000000"/>
              <w:right w:val="single" w:sz="8" w:space="0" w:color="000000"/>
            </w:tcBorders>
            <w:shd w:val="clear" w:color="auto" w:fill="005585"/>
            <w:tcMar>
              <w:top w:w="72" w:type="dxa"/>
              <w:left w:w="144" w:type="dxa"/>
              <w:bottom w:w="72" w:type="dxa"/>
              <w:right w:w="144" w:type="dxa"/>
            </w:tcMar>
            <w:vAlign w:val="center"/>
            <w:hideMark/>
          </w:tcPr>
          <w:p w14:paraId="4C1213D2" w14:textId="77777777" w:rsidR="00E12BAB" w:rsidRPr="00361530" w:rsidRDefault="00E12BAB" w:rsidP="009B3043">
            <w:pPr>
              <w:spacing w:after="0"/>
              <w:jc w:val="center"/>
              <w:rPr>
                <w:rFonts w:ascii="Arial" w:hAnsi="Arial" w:cs="Arial"/>
                <w:sz w:val="20"/>
                <w:szCs w:val="20"/>
              </w:rPr>
            </w:pPr>
            <w:r w:rsidRPr="00361530">
              <w:rPr>
                <w:rFonts w:ascii="Arial" w:hAnsi="Arial" w:cs="Arial"/>
                <w:b/>
                <w:bCs/>
                <w:color w:val="FFFFFF" w:themeColor="background1"/>
                <w:sz w:val="20"/>
                <w:szCs w:val="20"/>
              </w:rPr>
              <w:t>Provider Type</w:t>
            </w:r>
          </w:p>
        </w:tc>
        <w:tc>
          <w:tcPr>
            <w:tcW w:w="7816" w:type="dxa"/>
            <w:gridSpan w:val="4"/>
            <w:tcBorders>
              <w:top w:val="single" w:sz="8" w:space="0" w:color="000000"/>
              <w:left w:val="single" w:sz="8" w:space="0" w:color="000000"/>
              <w:bottom w:val="single" w:sz="8" w:space="0" w:color="000000"/>
              <w:right w:val="single" w:sz="8" w:space="0" w:color="000000"/>
            </w:tcBorders>
            <w:shd w:val="clear" w:color="auto" w:fill="003959"/>
            <w:tcMar>
              <w:top w:w="15" w:type="dxa"/>
              <w:left w:w="15" w:type="dxa"/>
              <w:bottom w:w="0" w:type="dxa"/>
              <w:right w:w="15" w:type="dxa"/>
            </w:tcMar>
            <w:vAlign w:val="center"/>
            <w:hideMark/>
          </w:tcPr>
          <w:p w14:paraId="6C8F3947" w14:textId="15690282" w:rsidR="00E12BAB" w:rsidRPr="00361530" w:rsidRDefault="00E12BAB" w:rsidP="00502B45">
            <w:pPr>
              <w:spacing w:after="0"/>
              <w:jc w:val="center"/>
              <w:rPr>
                <w:rFonts w:ascii="Arial" w:hAnsi="Arial" w:cs="Arial"/>
                <w:sz w:val="20"/>
                <w:szCs w:val="20"/>
              </w:rPr>
            </w:pPr>
            <w:r w:rsidRPr="00361530">
              <w:rPr>
                <w:rFonts w:ascii="Arial" w:hAnsi="Arial" w:cs="Arial"/>
                <w:b/>
                <w:bCs/>
                <w:sz w:val="20"/>
                <w:szCs w:val="20"/>
              </w:rPr>
              <w:t xml:space="preserve">Distribution of Share of Attributed Beneficiary's </w:t>
            </w:r>
            <w:r w:rsidR="009B3043" w:rsidRPr="00361530">
              <w:rPr>
                <w:rFonts w:ascii="Arial" w:hAnsi="Arial" w:cs="Arial"/>
                <w:b/>
                <w:bCs/>
                <w:sz w:val="20"/>
                <w:szCs w:val="20"/>
              </w:rPr>
              <w:t xml:space="preserve">Primary Care Related </w:t>
            </w:r>
            <w:r w:rsidRPr="00361530">
              <w:rPr>
                <w:rFonts w:ascii="Arial" w:hAnsi="Arial" w:cs="Arial"/>
                <w:b/>
                <w:bCs/>
                <w:sz w:val="20"/>
                <w:szCs w:val="20"/>
              </w:rPr>
              <w:t>E&amp;Ms</w:t>
            </w:r>
            <w:r w:rsidR="009B3043" w:rsidRPr="00361530">
              <w:rPr>
                <w:rFonts w:ascii="Arial" w:hAnsi="Arial" w:cs="Arial"/>
                <w:b/>
                <w:bCs/>
                <w:sz w:val="20"/>
                <w:szCs w:val="20"/>
              </w:rPr>
              <w:t xml:space="preserve"> Billed by Attributed TIN or TIN-NPI</w:t>
            </w:r>
          </w:p>
        </w:tc>
      </w:tr>
      <w:tr w:rsidR="00E12BAB" w:rsidRPr="00361530" w14:paraId="4CD1B8B0" w14:textId="77777777" w:rsidTr="009B3043">
        <w:trPr>
          <w:trHeight w:val="250"/>
          <w:jc w:val="center"/>
        </w:trPr>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741410EF" w14:textId="77777777" w:rsidR="00E12BAB" w:rsidRPr="00361530" w:rsidRDefault="00E12BAB" w:rsidP="00502B45">
            <w:pPr>
              <w:spacing w:after="0"/>
              <w:rPr>
                <w:rFonts w:ascii="Arial" w:hAnsi="Arial" w:cs="Arial"/>
                <w:sz w:val="20"/>
                <w:szCs w:val="20"/>
              </w:rPr>
            </w:pPr>
          </w:p>
        </w:tc>
        <w:tc>
          <w:tcPr>
            <w:tcW w:w="2520" w:type="dxa"/>
            <w:tcBorders>
              <w:top w:val="single" w:sz="8" w:space="0" w:color="000000"/>
              <w:left w:val="single" w:sz="8" w:space="0" w:color="000000"/>
              <w:bottom w:val="single" w:sz="8" w:space="0" w:color="000000"/>
              <w:right w:val="single" w:sz="8" w:space="0" w:color="000000"/>
            </w:tcBorders>
            <w:shd w:val="clear" w:color="auto" w:fill="CBD5E4"/>
            <w:tcMar>
              <w:top w:w="15" w:type="dxa"/>
              <w:left w:w="15" w:type="dxa"/>
              <w:bottom w:w="0" w:type="dxa"/>
              <w:right w:w="15" w:type="dxa"/>
            </w:tcMar>
            <w:vAlign w:val="center"/>
            <w:hideMark/>
          </w:tcPr>
          <w:p w14:paraId="40DA9DF4" w14:textId="289383E5" w:rsidR="00E12BAB" w:rsidRPr="00361530" w:rsidRDefault="00E12BAB" w:rsidP="00502B45">
            <w:pPr>
              <w:spacing w:after="0"/>
              <w:jc w:val="center"/>
              <w:rPr>
                <w:rFonts w:ascii="Arial" w:hAnsi="Arial" w:cs="Arial"/>
                <w:sz w:val="20"/>
                <w:szCs w:val="20"/>
              </w:rPr>
            </w:pPr>
            <w:r w:rsidRPr="00361530">
              <w:rPr>
                <w:rFonts w:ascii="Arial" w:hAnsi="Arial" w:cs="Arial"/>
                <w:b/>
                <w:bCs/>
                <w:sz w:val="20"/>
                <w:szCs w:val="20"/>
              </w:rPr>
              <w:t>Mean</w:t>
            </w:r>
          </w:p>
        </w:tc>
        <w:tc>
          <w:tcPr>
            <w:tcW w:w="1710" w:type="dxa"/>
            <w:tcBorders>
              <w:top w:val="single" w:sz="8" w:space="0" w:color="000000"/>
              <w:left w:val="single" w:sz="8" w:space="0" w:color="000000"/>
              <w:bottom w:val="single" w:sz="8" w:space="0" w:color="000000"/>
              <w:right w:val="single" w:sz="8" w:space="0" w:color="000000"/>
            </w:tcBorders>
            <w:shd w:val="clear" w:color="auto" w:fill="CBD5E4"/>
            <w:tcMar>
              <w:top w:w="15" w:type="dxa"/>
              <w:left w:w="15" w:type="dxa"/>
              <w:bottom w:w="0" w:type="dxa"/>
              <w:right w:w="15" w:type="dxa"/>
            </w:tcMar>
            <w:vAlign w:val="center"/>
            <w:hideMark/>
          </w:tcPr>
          <w:p w14:paraId="1DEA80AB" w14:textId="3E37AEC6" w:rsidR="00E12BAB" w:rsidRPr="00361530" w:rsidRDefault="00E12BAB" w:rsidP="00502B45">
            <w:pPr>
              <w:spacing w:after="0"/>
              <w:jc w:val="center"/>
              <w:rPr>
                <w:rFonts w:ascii="Arial" w:hAnsi="Arial" w:cs="Arial"/>
                <w:sz w:val="20"/>
                <w:szCs w:val="20"/>
              </w:rPr>
            </w:pPr>
            <w:r w:rsidRPr="00361530">
              <w:rPr>
                <w:rFonts w:ascii="Arial" w:hAnsi="Arial" w:cs="Arial"/>
                <w:b/>
                <w:bCs/>
                <w:sz w:val="20"/>
                <w:szCs w:val="20"/>
              </w:rPr>
              <w:t>25</w:t>
            </w:r>
            <w:r w:rsidRPr="00361530">
              <w:rPr>
                <w:rFonts w:ascii="Arial" w:hAnsi="Arial" w:cs="Arial"/>
                <w:b/>
                <w:bCs/>
                <w:sz w:val="20"/>
                <w:szCs w:val="20"/>
                <w:vertAlign w:val="superscript"/>
              </w:rPr>
              <w:t>th</w:t>
            </w:r>
            <w:r w:rsidRPr="00361530">
              <w:rPr>
                <w:rFonts w:ascii="Arial" w:hAnsi="Arial" w:cs="Arial"/>
                <w:b/>
                <w:bCs/>
                <w:sz w:val="20"/>
                <w:szCs w:val="20"/>
              </w:rPr>
              <w:t xml:space="preserve"> Percentile</w:t>
            </w:r>
          </w:p>
        </w:tc>
        <w:tc>
          <w:tcPr>
            <w:tcW w:w="1757" w:type="dxa"/>
            <w:tcBorders>
              <w:top w:val="single" w:sz="8" w:space="0" w:color="000000"/>
              <w:left w:val="single" w:sz="8" w:space="0" w:color="000000"/>
              <w:bottom w:val="single" w:sz="8" w:space="0" w:color="000000"/>
              <w:right w:val="single" w:sz="8" w:space="0" w:color="000000"/>
            </w:tcBorders>
            <w:shd w:val="clear" w:color="auto" w:fill="CBD5E4"/>
            <w:tcMar>
              <w:top w:w="15" w:type="dxa"/>
              <w:left w:w="15" w:type="dxa"/>
              <w:bottom w:w="0" w:type="dxa"/>
              <w:right w:w="15" w:type="dxa"/>
            </w:tcMar>
            <w:vAlign w:val="center"/>
            <w:hideMark/>
          </w:tcPr>
          <w:p w14:paraId="4856F098" w14:textId="77777777" w:rsidR="00E12BAB" w:rsidRPr="00361530" w:rsidRDefault="00E12BAB" w:rsidP="00502B45">
            <w:pPr>
              <w:spacing w:after="0"/>
              <w:jc w:val="center"/>
              <w:rPr>
                <w:rFonts w:ascii="Arial" w:hAnsi="Arial" w:cs="Arial"/>
                <w:sz w:val="20"/>
                <w:szCs w:val="20"/>
              </w:rPr>
            </w:pPr>
            <w:r w:rsidRPr="00361530">
              <w:rPr>
                <w:rFonts w:ascii="Arial" w:hAnsi="Arial" w:cs="Arial"/>
                <w:b/>
                <w:bCs/>
                <w:sz w:val="20"/>
                <w:szCs w:val="20"/>
              </w:rPr>
              <w:t>Median</w:t>
            </w:r>
          </w:p>
        </w:tc>
        <w:tc>
          <w:tcPr>
            <w:tcW w:w="1829" w:type="dxa"/>
            <w:tcBorders>
              <w:top w:val="single" w:sz="8" w:space="0" w:color="000000"/>
              <w:left w:val="single" w:sz="8" w:space="0" w:color="000000"/>
              <w:bottom w:val="single" w:sz="8" w:space="0" w:color="000000"/>
              <w:right w:val="single" w:sz="8" w:space="0" w:color="000000"/>
            </w:tcBorders>
            <w:shd w:val="clear" w:color="auto" w:fill="CBD5E4"/>
            <w:tcMar>
              <w:top w:w="15" w:type="dxa"/>
              <w:left w:w="15" w:type="dxa"/>
              <w:bottom w:w="0" w:type="dxa"/>
              <w:right w:w="15" w:type="dxa"/>
            </w:tcMar>
            <w:vAlign w:val="center"/>
            <w:hideMark/>
          </w:tcPr>
          <w:p w14:paraId="4A58D434" w14:textId="7938BFD0" w:rsidR="00E12BAB" w:rsidRPr="00361530" w:rsidRDefault="00E12BAB" w:rsidP="00502B45">
            <w:pPr>
              <w:spacing w:after="0"/>
              <w:jc w:val="center"/>
              <w:rPr>
                <w:rFonts w:ascii="Arial" w:hAnsi="Arial" w:cs="Arial"/>
                <w:sz w:val="20"/>
                <w:szCs w:val="20"/>
              </w:rPr>
            </w:pPr>
            <w:r w:rsidRPr="00361530">
              <w:rPr>
                <w:rFonts w:ascii="Arial" w:hAnsi="Arial" w:cs="Arial"/>
                <w:b/>
                <w:bCs/>
                <w:sz w:val="20"/>
                <w:szCs w:val="20"/>
              </w:rPr>
              <w:t>75</w:t>
            </w:r>
            <w:r w:rsidRPr="00361530">
              <w:rPr>
                <w:rFonts w:ascii="Arial" w:hAnsi="Arial" w:cs="Arial"/>
                <w:b/>
                <w:bCs/>
                <w:sz w:val="20"/>
                <w:szCs w:val="20"/>
                <w:vertAlign w:val="superscript"/>
              </w:rPr>
              <w:t>th</w:t>
            </w:r>
            <w:r w:rsidRPr="00361530">
              <w:rPr>
                <w:rFonts w:ascii="Arial" w:hAnsi="Arial" w:cs="Arial"/>
                <w:b/>
                <w:bCs/>
                <w:sz w:val="20"/>
                <w:szCs w:val="20"/>
              </w:rPr>
              <w:t xml:space="preserve"> Percentile</w:t>
            </w:r>
          </w:p>
        </w:tc>
      </w:tr>
      <w:tr w:rsidR="00E12BAB" w:rsidRPr="00361530" w14:paraId="1ACF5369" w14:textId="77777777" w:rsidTr="009B3043">
        <w:trPr>
          <w:trHeight w:val="250"/>
          <w:jc w:val="center"/>
        </w:trPr>
        <w:tc>
          <w:tcPr>
            <w:tcW w:w="6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A72410" w14:textId="77777777" w:rsidR="00E12BAB" w:rsidRPr="00361530" w:rsidRDefault="00E12BAB" w:rsidP="00502B45">
            <w:pPr>
              <w:spacing w:after="0"/>
              <w:rPr>
                <w:rFonts w:ascii="Arial" w:hAnsi="Arial" w:cs="Arial"/>
                <w:sz w:val="20"/>
                <w:szCs w:val="20"/>
              </w:rPr>
            </w:pPr>
            <w:r w:rsidRPr="00361530">
              <w:rPr>
                <w:rFonts w:ascii="Arial" w:hAnsi="Arial" w:cs="Arial"/>
                <w:b/>
                <w:bCs/>
                <w:sz w:val="20"/>
                <w:szCs w:val="20"/>
              </w:rPr>
              <w:t>TIN</w:t>
            </w:r>
          </w:p>
        </w:tc>
        <w:tc>
          <w:tcPr>
            <w:tcW w:w="25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1F3169"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52.8%</w:t>
            </w:r>
          </w:p>
        </w:tc>
        <w:tc>
          <w:tcPr>
            <w:tcW w:w="17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B75A71"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34.8%</w:t>
            </w:r>
          </w:p>
        </w:tc>
        <w:tc>
          <w:tcPr>
            <w:tcW w:w="175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157DF7"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55.8%</w:t>
            </w:r>
          </w:p>
        </w:tc>
        <w:tc>
          <w:tcPr>
            <w:tcW w:w="18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8E2932"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70.0%</w:t>
            </w:r>
          </w:p>
        </w:tc>
      </w:tr>
      <w:tr w:rsidR="00E12BAB" w:rsidRPr="00361530" w14:paraId="6A67FB44" w14:textId="77777777" w:rsidTr="009B3043">
        <w:trPr>
          <w:trHeight w:val="250"/>
          <w:jc w:val="center"/>
        </w:trPr>
        <w:tc>
          <w:tcPr>
            <w:tcW w:w="6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BF9A5E" w14:textId="77777777" w:rsidR="00E12BAB" w:rsidRPr="00361530" w:rsidRDefault="00E12BAB" w:rsidP="00502B45">
            <w:pPr>
              <w:spacing w:after="0"/>
              <w:rPr>
                <w:rFonts w:ascii="Arial" w:hAnsi="Arial" w:cs="Arial"/>
                <w:sz w:val="20"/>
                <w:szCs w:val="20"/>
              </w:rPr>
            </w:pPr>
            <w:r w:rsidRPr="00361530">
              <w:rPr>
                <w:rFonts w:ascii="Arial" w:hAnsi="Arial" w:cs="Arial"/>
                <w:b/>
                <w:bCs/>
                <w:sz w:val="20"/>
                <w:szCs w:val="20"/>
              </w:rPr>
              <w:t>TIN-NPI</w:t>
            </w:r>
          </w:p>
        </w:tc>
        <w:tc>
          <w:tcPr>
            <w:tcW w:w="25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791DCF8"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45.0%</w:t>
            </w:r>
          </w:p>
        </w:tc>
        <w:tc>
          <w:tcPr>
            <w:tcW w:w="17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6E13E"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28.9%</w:t>
            </w:r>
          </w:p>
        </w:tc>
        <w:tc>
          <w:tcPr>
            <w:tcW w:w="175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8C0ED8"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42.8%</w:t>
            </w:r>
          </w:p>
        </w:tc>
        <w:tc>
          <w:tcPr>
            <w:tcW w:w="18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22501C" w14:textId="77777777" w:rsidR="00E12BAB" w:rsidRPr="00361530" w:rsidRDefault="00E12BAB" w:rsidP="00502B45">
            <w:pPr>
              <w:spacing w:after="0"/>
              <w:jc w:val="center"/>
              <w:rPr>
                <w:rFonts w:ascii="Arial" w:hAnsi="Arial" w:cs="Arial"/>
                <w:sz w:val="20"/>
                <w:szCs w:val="20"/>
              </w:rPr>
            </w:pPr>
            <w:r w:rsidRPr="00361530">
              <w:rPr>
                <w:rFonts w:ascii="Arial" w:hAnsi="Arial" w:cs="Arial"/>
                <w:color w:val="000000" w:themeColor="text1"/>
                <w:kern w:val="24"/>
                <w:sz w:val="20"/>
                <w:szCs w:val="20"/>
              </w:rPr>
              <w:t>61.6%</w:t>
            </w:r>
          </w:p>
        </w:tc>
      </w:tr>
    </w:tbl>
    <w:p w14:paraId="594C370C" w14:textId="079DEFF9" w:rsidR="00E12BAB" w:rsidRPr="00BC37E8" w:rsidRDefault="00BC37E8" w:rsidP="00502B45">
      <w:pPr>
        <w:spacing w:line="240" w:lineRule="auto"/>
        <w:rPr>
          <w:rFonts w:ascii="Times New Roman" w:hAnsi="Times New Roman" w:cs="Times New Roman"/>
          <w:bCs/>
          <w:color w:val="0070C0"/>
        </w:rPr>
      </w:pPr>
      <w:r>
        <w:rPr>
          <w:rFonts w:ascii="Times New Roman" w:hAnsi="Times New Roman" w:cs="Times New Roman"/>
          <w:bCs/>
          <w:color w:val="0070C0"/>
        </w:rPr>
        <w:br/>
      </w:r>
      <w:r w:rsidR="00604B7A" w:rsidRPr="00BC37E8">
        <w:rPr>
          <w:rFonts w:ascii="Times New Roman" w:hAnsi="Times New Roman" w:cs="Times New Roman"/>
          <w:bCs/>
          <w:color w:val="0070C0"/>
        </w:rPr>
        <w:t>The second analysis on</w:t>
      </w:r>
      <w:r w:rsidR="00E12BAB" w:rsidRPr="00BC37E8">
        <w:rPr>
          <w:rFonts w:ascii="Times New Roman" w:hAnsi="Times New Roman" w:cs="Times New Roman"/>
          <w:bCs/>
          <w:color w:val="0070C0"/>
        </w:rPr>
        <w:t xml:space="preserve"> attribution validity</w:t>
      </w:r>
      <w:r w:rsidR="00361530">
        <w:rPr>
          <w:rFonts w:ascii="Times New Roman" w:hAnsi="Times New Roman" w:cs="Times New Roman"/>
          <w:bCs/>
          <w:color w:val="0070C0"/>
        </w:rPr>
        <w:t xml:space="preserve"> (</w:t>
      </w:r>
      <w:r w:rsidR="00361530" w:rsidRPr="00361530">
        <w:rPr>
          <w:rFonts w:ascii="Times New Roman" w:hAnsi="Times New Roman" w:cs="Times New Roman"/>
          <w:b/>
          <w:bCs/>
          <w:color w:val="0070C0"/>
        </w:rPr>
        <w:t xml:space="preserve">Table </w:t>
      </w:r>
      <w:r w:rsidR="00093E8F">
        <w:rPr>
          <w:rFonts w:ascii="Times New Roman" w:hAnsi="Times New Roman" w:cs="Times New Roman"/>
          <w:b/>
          <w:bCs/>
          <w:color w:val="0070C0"/>
        </w:rPr>
        <w:t>7</w:t>
      </w:r>
      <w:r w:rsidR="00361530">
        <w:rPr>
          <w:rFonts w:ascii="Times New Roman" w:hAnsi="Times New Roman" w:cs="Times New Roman"/>
          <w:bCs/>
          <w:color w:val="0070C0"/>
        </w:rPr>
        <w:t>)</w:t>
      </w:r>
      <w:r w:rsidR="00604B7A" w:rsidRPr="00BC37E8">
        <w:rPr>
          <w:rFonts w:ascii="Times New Roman" w:hAnsi="Times New Roman" w:cs="Times New Roman"/>
          <w:bCs/>
          <w:color w:val="0070C0"/>
        </w:rPr>
        <w:t xml:space="preserve"> shows the share of TINs attributed the measure via NPs and/or PAs alone. O</w:t>
      </w:r>
      <w:r w:rsidR="00E12BAB" w:rsidRPr="00BC37E8">
        <w:rPr>
          <w:rFonts w:ascii="Times New Roman" w:hAnsi="Times New Roman" w:cs="Times New Roman"/>
          <w:bCs/>
          <w:color w:val="0070C0"/>
        </w:rPr>
        <w:t>nly 13.3</w:t>
      </w:r>
      <w:r w:rsidR="005406C4" w:rsidRPr="00BC37E8">
        <w:rPr>
          <w:rFonts w:ascii="Times New Roman" w:hAnsi="Times New Roman" w:cs="Times New Roman"/>
          <w:bCs/>
          <w:color w:val="0070C0"/>
        </w:rPr>
        <w:t xml:space="preserve"> percent</w:t>
      </w:r>
      <w:r w:rsidR="00E12BAB" w:rsidRPr="00BC37E8">
        <w:rPr>
          <w:rFonts w:ascii="Times New Roman" w:hAnsi="Times New Roman" w:cs="Times New Roman"/>
          <w:bCs/>
          <w:color w:val="0070C0"/>
        </w:rPr>
        <w:t xml:space="preserve"> of all TINs were attributed based on services con</w:t>
      </w:r>
      <w:r w:rsidR="00604B7A" w:rsidRPr="00BC37E8">
        <w:rPr>
          <w:rFonts w:ascii="Times New Roman" w:hAnsi="Times New Roman" w:cs="Times New Roman"/>
          <w:bCs/>
          <w:color w:val="0070C0"/>
        </w:rPr>
        <w:t xml:space="preserve">ducted by NPs and/or PAs </w:t>
      </w:r>
      <w:r w:rsidR="009B3043" w:rsidRPr="00BC37E8">
        <w:rPr>
          <w:rFonts w:ascii="Times New Roman" w:hAnsi="Times New Roman" w:cs="Times New Roman"/>
          <w:bCs/>
          <w:color w:val="0070C0"/>
        </w:rPr>
        <w:t>exclusively</w:t>
      </w:r>
      <w:r w:rsidR="00604B7A" w:rsidRPr="00BC37E8">
        <w:rPr>
          <w:rFonts w:ascii="Times New Roman" w:hAnsi="Times New Roman" w:cs="Times New Roman"/>
          <w:bCs/>
          <w:color w:val="0070C0"/>
        </w:rPr>
        <w:t>;</w:t>
      </w:r>
      <w:r w:rsidR="005406C4" w:rsidRPr="00BC37E8">
        <w:rPr>
          <w:rFonts w:ascii="Times New Roman" w:hAnsi="Times New Roman" w:cs="Times New Roman"/>
          <w:bCs/>
          <w:color w:val="0070C0"/>
        </w:rPr>
        <w:t xml:space="preserve"> where 7.8 percent of this total come from TINs comprised of a majority of NP and/or PAs. For TINs with specialties </w:t>
      </w:r>
      <w:r w:rsidR="00FE3DAF" w:rsidRPr="00BC37E8">
        <w:rPr>
          <w:rFonts w:ascii="Times New Roman" w:hAnsi="Times New Roman" w:cs="Times New Roman"/>
          <w:bCs/>
          <w:color w:val="0070C0"/>
        </w:rPr>
        <w:t xml:space="preserve">not primary consisting </w:t>
      </w:r>
      <w:r w:rsidR="005406C4" w:rsidRPr="00BC37E8">
        <w:rPr>
          <w:rFonts w:ascii="Times New Roman" w:hAnsi="Times New Roman" w:cs="Times New Roman"/>
          <w:bCs/>
          <w:color w:val="0070C0"/>
        </w:rPr>
        <w:t>of NP</w:t>
      </w:r>
      <w:r w:rsidR="00FE3DAF" w:rsidRPr="00BC37E8">
        <w:rPr>
          <w:rFonts w:ascii="Times New Roman" w:hAnsi="Times New Roman" w:cs="Times New Roman"/>
          <w:bCs/>
          <w:color w:val="0070C0"/>
        </w:rPr>
        <w:t xml:space="preserve"> or </w:t>
      </w:r>
      <w:r w:rsidR="005406C4" w:rsidRPr="00BC37E8">
        <w:rPr>
          <w:rFonts w:ascii="Times New Roman" w:hAnsi="Times New Roman" w:cs="Times New Roman"/>
          <w:bCs/>
          <w:color w:val="0070C0"/>
        </w:rPr>
        <w:t xml:space="preserve">PA, only </w:t>
      </w:r>
      <w:r w:rsidR="00FE3DAF" w:rsidRPr="00BC37E8">
        <w:rPr>
          <w:rFonts w:ascii="Times New Roman" w:hAnsi="Times New Roman" w:cs="Times New Roman"/>
          <w:bCs/>
          <w:color w:val="0070C0"/>
        </w:rPr>
        <w:t>5.5 percent of all TINs are attributed via this method</w:t>
      </w:r>
      <w:r w:rsidR="00604B7A" w:rsidRPr="00BC37E8">
        <w:rPr>
          <w:rFonts w:ascii="Times New Roman" w:hAnsi="Times New Roman" w:cs="Times New Roman"/>
          <w:bCs/>
          <w:color w:val="0070C0"/>
        </w:rPr>
        <w:t xml:space="preserve">. </w:t>
      </w:r>
    </w:p>
    <w:p w14:paraId="5BE8BDF8" w14:textId="510BC579" w:rsidR="00E12BAB" w:rsidRPr="00361530" w:rsidRDefault="00E12BAB" w:rsidP="00502B45">
      <w:pPr>
        <w:spacing w:after="0"/>
        <w:jc w:val="center"/>
        <w:rPr>
          <w:rFonts w:ascii="Times New Roman" w:hAnsi="Times New Roman" w:cs="Times New Roman"/>
          <w:b/>
        </w:rPr>
      </w:pPr>
      <w:r w:rsidRPr="00361530">
        <w:rPr>
          <w:rFonts w:ascii="Times New Roman" w:hAnsi="Times New Roman" w:cs="Times New Roman"/>
          <w:b/>
        </w:rPr>
        <w:t xml:space="preserve">Table </w:t>
      </w:r>
      <w:r w:rsidR="00093E8F">
        <w:rPr>
          <w:rFonts w:ascii="Times New Roman" w:hAnsi="Times New Roman" w:cs="Times New Roman"/>
          <w:b/>
        </w:rPr>
        <w:t>7</w:t>
      </w:r>
      <w:r w:rsidRPr="00361530">
        <w:rPr>
          <w:rFonts w:ascii="Times New Roman" w:hAnsi="Times New Roman" w:cs="Times New Roman"/>
          <w:b/>
        </w:rPr>
        <w:t xml:space="preserve">. Frequency of Most Common HCFA Specialties in TINs Attributed TPCC Measure </w:t>
      </w:r>
      <w:r w:rsidR="00854D4B" w:rsidRPr="00361530">
        <w:rPr>
          <w:rFonts w:ascii="Times New Roman" w:hAnsi="Times New Roman" w:cs="Times New Roman"/>
          <w:b/>
        </w:rPr>
        <w:t>via</w:t>
      </w:r>
      <w:r w:rsidRPr="00361530">
        <w:rPr>
          <w:rFonts w:ascii="Times New Roman" w:hAnsi="Times New Roman" w:cs="Times New Roman"/>
          <w:b/>
        </w:rPr>
        <w:t xml:space="preserve"> Nurse Practitioners and Physician Assistants Alone</w:t>
      </w:r>
    </w:p>
    <w:tbl>
      <w:tblPr>
        <w:tblW w:w="6865" w:type="dxa"/>
        <w:jc w:val="center"/>
        <w:tblCellMar>
          <w:left w:w="0" w:type="dxa"/>
          <w:right w:w="0" w:type="dxa"/>
        </w:tblCellMar>
        <w:tblLook w:val="0420" w:firstRow="1" w:lastRow="0" w:firstColumn="0" w:lastColumn="0" w:noHBand="0" w:noVBand="1"/>
      </w:tblPr>
      <w:tblGrid>
        <w:gridCol w:w="4580"/>
        <w:gridCol w:w="2285"/>
      </w:tblGrid>
      <w:tr w:rsidR="00E12BAB" w:rsidRPr="00361530" w14:paraId="6729014A" w14:textId="77777777" w:rsidTr="00F67541">
        <w:trPr>
          <w:trHeight w:val="188"/>
          <w:tblHeader/>
          <w:jc w:val="center"/>
        </w:trPr>
        <w:tc>
          <w:tcPr>
            <w:tcW w:w="4580" w:type="dxa"/>
            <w:tcBorders>
              <w:top w:val="single" w:sz="18" w:space="0" w:color="000000"/>
              <w:left w:val="single" w:sz="8" w:space="0" w:color="000000"/>
              <w:bottom w:val="single" w:sz="4" w:space="0" w:color="auto"/>
              <w:right w:val="single" w:sz="8" w:space="0" w:color="000000"/>
            </w:tcBorders>
            <w:shd w:val="clear" w:color="auto" w:fill="002060"/>
            <w:tcMar>
              <w:top w:w="72" w:type="dxa"/>
              <w:left w:w="144" w:type="dxa"/>
              <w:bottom w:w="72" w:type="dxa"/>
              <w:right w:w="144" w:type="dxa"/>
            </w:tcMar>
            <w:vAlign w:val="center"/>
            <w:hideMark/>
          </w:tcPr>
          <w:p w14:paraId="13298776" w14:textId="77777777" w:rsidR="00E12BAB" w:rsidRPr="00361530" w:rsidRDefault="00E12BAB" w:rsidP="00D67A5A">
            <w:pPr>
              <w:spacing w:after="0"/>
              <w:jc w:val="center"/>
              <w:rPr>
                <w:rFonts w:ascii="Arial" w:hAnsi="Arial" w:cs="Arial"/>
                <w:color w:val="FFFFFF" w:themeColor="background1"/>
                <w:sz w:val="20"/>
                <w:szCs w:val="20"/>
              </w:rPr>
            </w:pPr>
            <w:r w:rsidRPr="00361530">
              <w:rPr>
                <w:rFonts w:ascii="Arial" w:hAnsi="Arial" w:cs="Arial"/>
                <w:b/>
                <w:bCs/>
                <w:color w:val="FFFFFF" w:themeColor="background1"/>
                <w:sz w:val="20"/>
                <w:szCs w:val="20"/>
              </w:rPr>
              <w:t>Specialty</w:t>
            </w:r>
          </w:p>
        </w:tc>
        <w:tc>
          <w:tcPr>
            <w:tcW w:w="2285" w:type="dxa"/>
            <w:tcBorders>
              <w:top w:val="single" w:sz="18" w:space="0" w:color="000000"/>
              <w:left w:val="single" w:sz="8" w:space="0" w:color="000000"/>
              <w:bottom w:val="single" w:sz="4" w:space="0" w:color="auto"/>
              <w:right w:val="single" w:sz="8" w:space="0" w:color="000000"/>
            </w:tcBorders>
            <w:shd w:val="clear" w:color="auto" w:fill="002060"/>
            <w:tcMar>
              <w:top w:w="72" w:type="dxa"/>
              <w:left w:w="144" w:type="dxa"/>
              <w:bottom w:w="72" w:type="dxa"/>
              <w:right w:w="144" w:type="dxa"/>
            </w:tcMar>
            <w:vAlign w:val="center"/>
            <w:hideMark/>
          </w:tcPr>
          <w:p w14:paraId="3B3E7C08" w14:textId="492630F7" w:rsidR="00E12BAB" w:rsidRPr="00361530" w:rsidRDefault="00E12BAB" w:rsidP="00D67A5A">
            <w:pPr>
              <w:spacing w:after="0"/>
              <w:jc w:val="center"/>
              <w:rPr>
                <w:rFonts w:ascii="Arial" w:hAnsi="Arial" w:cs="Arial"/>
                <w:color w:val="FFFFFF" w:themeColor="background1"/>
                <w:sz w:val="20"/>
                <w:szCs w:val="20"/>
              </w:rPr>
            </w:pPr>
            <w:r w:rsidRPr="00361530">
              <w:rPr>
                <w:rFonts w:ascii="Arial" w:hAnsi="Arial" w:cs="Arial"/>
                <w:b/>
                <w:bCs/>
                <w:color w:val="FFFFFF" w:themeColor="background1"/>
                <w:sz w:val="20"/>
                <w:szCs w:val="20"/>
              </w:rPr>
              <w:t xml:space="preserve">% of </w:t>
            </w:r>
            <w:r w:rsidR="00D67A5A" w:rsidRPr="00361530">
              <w:rPr>
                <w:rFonts w:ascii="Arial" w:hAnsi="Arial" w:cs="Arial"/>
                <w:b/>
                <w:bCs/>
                <w:color w:val="FFFFFF" w:themeColor="background1"/>
                <w:sz w:val="20"/>
                <w:szCs w:val="20"/>
              </w:rPr>
              <w:t xml:space="preserve">All Attributed </w:t>
            </w:r>
            <w:r w:rsidRPr="00361530">
              <w:rPr>
                <w:rFonts w:ascii="Arial" w:hAnsi="Arial" w:cs="Arial"/>
                <w:b/>
                <w:bCs/>
                <w:color w:val="FFFFFF" w:themeColor="background1"/>
                <w:sz w:val="20"/>
                <w:szCs w:val="20"/>
              </w:rPr>
              <w:t>TINs</w:t>
            </w:r>
          </w:p>
        </w:tc>
      </w:tr>
      <w:tr w:rsidR="00E12BAB" w:rsidRPr="00361530" w14:paraId="35CDB28E" w14:textId="77777777" w:rsidTr="00F67541">
        <w:trPr>
          <w:trHeight w:val="191"/>
          <w:jc w:val="center"/>
        </w:trPr>
        <w:tc>
          <w:tcPr>
            <w:tcW w:w="4580" w:type="dxa"/>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8F0923" w14:textId="119E6AB8" w:rsidR="00E12BAB" w:rsidRPr="00361530" w:rsidRDefault="00D67A5A" w:rsidP="00502B45">
            <w:pPr>
              <w:spacing w:after="0"/>
              <w:rPr>
                <w:rFonts w:ascii="Arial" w:hAnsi="Arial" w:cs="Arial"/>
                <w:b/>
                <w:sz w:val="20"/>
                <w:szCs w:val="20"/>
              </w:rPr>
            </w:pPr>
            <w:r w:rsidRPr="00361530">
              <w:rPr>
                <w:rFonts w:ascii="Arial" w:hAnsi="Arial" w:cs="Arial"/>
                <w:b/>
                <w:bCs/>
                <w:color w:val="000000" w:themeColor="text1"/>
                <w:kern w:val="24"/>
                <w:sz w:val="20"/>
                <w:szCs w:val="20"/>
              </w:rPr>
              <w:t>All TIN</w:t>
            </w:r>
            <w:r w:rsidR="008B099E">
              <w:rPr>
                <w:rFonts w:ascii="Arial" w:hAnsi="Arial" w:cs="Arial"/>
                <w:b/>
                <w:bCs/>
                <w:color w:val="000000" w:themeColor="text1"/>
                <w:kern w:val="24"/>
                <w:sz w:val="20"/>
                <w:szCs w:val="20"/>
              </w:rPr>
              <w:t>s</w:t>
            </w:r>
            <w:r w:rsidRPr="00361530">
              <w:rPr>
                <w:rFonts w:ascii="Arial" w:hAnsi="Arial" w:cs="Arial"/>
                <w:b/>
                <w:bCs/>
                <w:color w:val="000000" w:themeColor="text1"/>
                <w:kern w:val="24"/>
                <w:sz w:val="20"/>
                <w:szCs w:val="20"/>
              </w:rPr>
              <w:t xml:space="preserve"> Attributed via NP/PA Alone</w:t>
            </w:r>
          </w:p>
        </w:tc>
        <w:tc>
          <w:tcPr>
            <w:tcW w:w="2285" w:type="dxa"/>
            <w:tcBorders>
              <w:top w:val="single" w:sz="4" w:space="0" w:color="auto"/>
              <w:left w:val="single" w:sz="8" w:space="0" w:color="000000"/>
              <w:bottom w:val="single" w:sz="8" w:space="0" w:color="000000"/>
              <w:right w:val="single" w:sz="8" w:space="0" w:color="000000"/>
            </w:tcBorders>
            <w:tcMar>
              <w:top w:w="15" w:type="dxa"/>
              <w:left w:w="15" w:type="dxa"/>
              <w:bottom w:w="0" w:type="dxa"/>
              <w:right w:w="180" w:type="dxa"/>
            </w:tcMar>
            <w:vAlign w:val="center"/>
            <w:hideMark/>
          </w:tcPr>
          <w:p w14:paraId="585E541D" w14:textId="77777777" w:rsidR="00E12BAB" w:rsidRPr="00361530" w:rsidRDefault="00E12BAB" w:rsidP="00502B45">
            <w:pPr>
              <w:spacing w:after="0"/>
              <w:rPr>
                <w:rFonts w:ascii="Arial" w:hAnsi="Arial" w:cs="Arial"/>
                <w:b/>
                <w:sz w:val="20"/>
                <w:szCs w:val="20"/>
              </w:rPr>
            </w:pPr>
            <w:r w:rsidRPr="00361530">
              <w:rPr>
                <w:rFonts w:ascii="Arial" w:hAnsi="Arial" w:cs="Arial"/>
                <w:b/>
                <w:color w:val="000000" w:themeColor="text1"/>
                <w:kern w:val="24"/>
                <w:sz w:val="20"/>
                <w:szCs w:val="20"/>
              </w:rPr>
              <w:t>13.3%</w:t>
            </w:r>
          </w:p>
        </w:tc>
      </w:tr>
      <w:tr w:rsidR="00E12BAB" w:rsidRPr="00361530" w14:paraId="4298D122" w14:textId="77777777" w:rsidTr="00F67541">
        <w:trPr>
          <w:trHeight w:val="191"/>
          <w:jc w:val="center"/>
        </w:trPr>
        <w:tc>
          <w:tcPr>
            <w:tcW w:w="4580" w:type="dxa"/>
            <w:tcBorders>
              <w:top w:val="single" w:sz="8" w:space="0" w:color="000000"/>
              <w:left w:val="single" w:sz="8" w:space="0" w:color="000000"/>
              <w:right w:val="single" w:sz="8" w:space="0" w:color="000000"/>
            </w:tcBorders>
            <w:tcMar>
              <w:top w:w="15" w:type="dxa"/>
              <w:left w:w="15" w:type="dxa"/>
              <w:bottom w:w="0" w:type="dxa"/>
              <w:right w:w="15" w:type="dxa"/>
            </w:tcMar>
            <w:vAlign w:val="center"/>
            <w:hideMark/>
          </w:tcPr>
          <w:p w14:paraId="2F47B925" w14:textId="6FAB79E1"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Nurse Practitioner</w:t>
            </w:r>
          </w:p>
        </w:tc>
        <w:tc>
          <w:tcPr>
            <w:tcW w:w="2285" w:type="dxa"/>
            <w:tcBorders>
              <w:top w:val="single" w:sz="8" w:space="0" w:color="000000"/>
              <w:left w:val="single" w:sz="8" w:space="0" w:color="000000"/>
              <w:right w:val="single" w:sz="8" w:space="0" w:color="000000"/>
            </w:tcBorders>
            <w:tcMar>
              <w:top w:w="15" w:type="dxa"/>
              <w:left w:w="15" w:type="dxa"/>
              <w:bottom w:w="0" w:type="dxa"/>
              <w:right w:w="180" w:type="dxa"/>
            </w:tcMar>
            <w:vAlign w:val="center"/>
            <w:hideMark/>
          </w:tcPr>
          <w:p w14:paraId="6D9685D3"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6.7%</w:t>
            </w:r>
          </w:p>
        </w:tc>
      </w:tr>
      <w:tr w:rsidR="00E12BAB" w:rsidRPr="00361530" w14:paraId="3A1BF9A2"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7B9BEB53" w14:textId="4100A047"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Physician Assistant</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279FD786"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1.1%</w:t>
            </w:r>
          </w:p>
        </w:tc>
      </w:tr>
      <w:tr w:rsidR="00E12BAB" w:rsidRPr="00361530" w14:paraId="3995E836"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5E44A067" w14:textId="316FE6B8"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Orthopedic Surgery</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09CA867C"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1.1%</w:t>
            </w:r>
          </w:p>
        </w:tc>
      </w:tr>
      <w:tr w:rsidR="00E12BAB" w:rsidRPr="00361530" w14:paraId="2135E57E"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46FA3D0D" w14:textId="1E8039BA"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Psychiatry</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090508F9"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1.0%</w:t>
            </w:r>
          </w:p>
        </w:tc>
      </w:tr>
      <w:tr w:rsidR="00E12BAB" w:rsidRPr="00361530" w14:paraId="2AE79DD5"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2BB1CC9F" w14:textId="1E89D43D"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Otolaryngology</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5F03ABED"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0.4%</w:t>
            </w:r>
          </w:p>
        </w:tc>
      </w:tr>
      <w:tr w:rsidR="00E12BAB" w:rsidRPr="00361530" w14:paraId="67FBB54D"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129EBC17" w14:textId="6B802EF5"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Urology</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6EA26B4F"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0.4%</w:t>
            </w:r>
          </w:p>
        </w:tc>
      </w:tr>
      <w:tr w:rsidR="00E12BAB" w:rsidRPr="00361530" w14:paraId="197D2962"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3E6731B3" w14:textId="04C1A429"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lastRenderedPageBreak/>
              <w:t xml:space="preserve">     </w:t>
            </w:r>
            <w:r w:rsidR="00E12BAB" w:rsidRPr="00361530">
              <w:rPr>
                <w:rFonts w:ascii="Arial" w:hAnsi="Arial" w:cs="Arial"/>
                <w:bCs/>
                <w:color w:val="000000" w:themeColor="text1"/>
                <w:kern w:val="24"/>
                <w:sz w:val="20"/>
                <w:szCs w:val="20"/>
              </w:rPr>
              <w:t>Neurology</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17EA7AFE"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0.3%</w:t>
            </w:r>
          </w:p>
        </w:tc>
      </w:tr>
      <w:tr w:rsidR="00E12BAB" w:rsidRPr="00361530" w14:paraId="5BF6BD8C"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71A95689" w14:textId="48B21608"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Physical Medicine and Rehabilitation</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0869BFFB"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0.3%</w:t>
            </w:r>
          </w:p>
        </w:tc>
      </w:tr>
      <w:tr w:rsidR="00E12BAB" w:rsidRPr="00361530" w14:paraId="11FF20AB"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23D29AFF" w14:textId="367C193B"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General Surgery</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6190FB22"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0.2%</w:t>
            </w:r>
          </w:p>
        </w:tc>
      </w:tr>
      <w:tr w:rsidR="00E12BAB" w:rsidRPr="00361530" w14:paraId="1263F824" w14:textId="77777777" w:rsidTr="00F67541">
        <w:trPr>
          <w:trHeight w:val="191"/>
          <w:jc w:val="center"/>
        </w:trPr>
        <w:tc>
          <w:tcPr>
            <w:tcW w:w="4580" w:type="dxa"/>
            <w:tcBorders>
              <w:left w:val="single" w:sz="8" w:space="0" w:color="000000"/>
              <w:right w:val="single" w:sz="8" w:space="0" w:color="000000"/>
            </w:tcBorders>
            <w:tcMar>
              <w:top w:w="15" w:type="dxa"/>
              <w:left w:w="15" w:type="dxa"/>
              <w:bottom w:w="0" w:type="dxa"/>
              <w:right w:w="15" w:type="dxa"/>
            </w:tcMar>
            <w:vAlign w:val="center"/>
            <w:hideMark/>
          </w:tcPr>
          <w:p w14:paraId="03950762" w14:textId="31146E72" w:rsidR="00E12BAB" w:rsidRPr="00361530" w:rsidRDefault="00D67A5A" w:rsidP="00D67A5A">
            <w:pPr>
              <w:spacing w:after="0"/>
              <w:rPr>
                <w:rFonts w:ascii="Arial" w:hAnsi="Arial" w:cs="Arial"/>
                <w:sz w:val="20"/>
                <w:szCs w:val="20"/>
              </w:rPr>
            </w:pPr>
            <w:r w:rsidRPr="00361530">
              <w:rPr>
                <w:rFonts w:ascii="Arial" w:hAnsi="Arial" w:cs="Arial"/>
                <w:bCs/>
                <w:color w:val="000000" w:themeColor="text1"/>
                <w:kern w:val="24"/>
                <w:sz w:val="20"/>
                <w:szCs w:val="20"/>
              </w:rPr>
              <w:t xml:space="preserve">     </w:t>
            </w:r>
            <w:r w:rsidR="00E12BAB" w:rsidRPr="00361530">
              <w:rPr>
                <w:rFonts w:ascii="Arial" w:hAnsi="Arial" w:cs="Arial"/>
                <w:bCs/>
                <w:color w:val="000000" w:themeColor="text1"/>
                <w:kern w:val="24"/>
                <w:sz w:val="20"/>
                <w:szCs w:val="20"/>
              </w:rPr>
              <w:t>Interventional Pain Management</w:t>
            </w:r>
          </w:p>
        </w:tc>
        <w:tc>
          <w:tcPr>
            <w:tcW w:w="2285" w:type="dxa"/>
            <w:tcBorders>
              <w:left w:val="single" w:sz="8" w:space="0" w:color="000000"/>
              <w:right w:val="single" w:sz="8" w:space="0" w:color="000000"/>
            </w:tcBorders>
            <w:tcMar>
              <w:top w:w="15" w:type="dxa"/>
              <w:left w:w="15" w:type="dxa"/>
              <w:bottom w:w="0" w:type="dxa"/>
              <w:right w:w="180" w:type="dxa"/>
            </w:tcMar>
            <w:vAlign w:val="center"/>
            <w:hideMark/>
          </w:tcPr>
          <w:p w14:paraId="0748E41E" w14:textId="77777777" w:rsidR="00E12BAB" w:rsidRPr="00361530" w:rsidRDefault="00E12BAB" w:rsidP="00502B45">
            <w:pPr>
              <w:spacing w:after="0"/>
              <w:rPr>
                <w:rFonts w:ascii="Arial" w:hAnsi="Arial" w:cs="Arial"/>
                <w:sz w:val="20"/>
                <w:szCs w:val="20"/>
              </w:rPr>
            </w:pPr>
            <w:r w:rsidRPr="00361530">
              <w:rPr>
                <w:rFonts w:ascii="Arial" w:hAnsi="Arial" w:cs="Arial"/>
                <w:color w:val="000000" w:themeColor="text1"/>
                <w:kern w:val="24"/>
                <w:sz w:val="20"/>
                <w:szCs w:val="20"/>
              </w:rPr>
              <w:t xml:space="preserve">     0.2%</w:t>
            </w:r>
          </w:p>
        </w:tc>
      </w:tr>
      <w:tr w:rsidR="005B5DBF" w:rsidRPr="00361530" w14:paraId="1F08F6A1" w14:textId="77777777" w:rsidTr="00F67541">
        <w:trPr>
          <w:trHeight w:val="191"/>
          <w:jc w:val="center"/>
        </w:trPr>
        <w:tc>
          <w:tcPr>
            <w:tcW w:w="4580" w:type="dxa"/>
            <w:tcBorders>
              <w:left w:val="single" w:sz="8" w:space="0" w:color="000000"/>
              <w:bottom w:val="single" w:sz="8" w:space="0" w:color="000000"/>
              <w:right w:val="single" w:sz="8" w:space="0" w:color="000000"/>
            </w:tcBorders>
            <w:tcMar>
              <w:top w:w="15" w:type="dxa"/>
              <w:left w:w="15" w:type="dxa"/>
              <w:bottom w:w="0" w:type="dxa"/>
              <w:right w:w="15" w:type="dxa"/>
            </w:tcMar>
            <w:vAlign w:val="center"/>
          </w:tcPr>
          <w:p w14:paraId="08DED0E5" w14:textId="0FBB57D0" w:rsidR="005B5DBF" w:rsidRPr="00361530" w:rsidRDefault="00D67A5A" w:rsidP="00D67A5A">
            <w:pPr>
              <w:spacing w:after="0"/>
              <w:rPr>
                <w:rFonts w:ascii="Arial" w:hAnsi="Arial" w:cs="Arial"/>
                <w:bCs/>
                <w:color w:val="000000" w:themeColor="text1"/>
                <w:kern w:val="24"/>
                <w:sz w:val="20"/>
                <w:szCs w:val="20"/>
              </w:rPr>
            </w:pPr>
            <w:r w:rsidRPr="00361530">
              <w:rPr>
                <w:rFonts w:ascii="Arial" w:hAnsi="Arial" w:cs="Arial"/>
                <w:bCs/>
                <w:color w:val="000000" w:themeColor="text1"/>
                <w:kern w:val="24"/>
                <w:sz w:val="20"/>
                <w:szCs w:val="20"/>
              </w:rPr>
              <w:t xml:space="preserve">     </w:t>
            </w:r>
            <w:r w:rsidR="005B5DBF" w:rsidRPr="00361530">
              <w:rPr>
                <w:rFonts w:ascii="Arial" w:hAnsi="Arial" w:cs="Arial"/>
                <w:bCs/>
                <w:color w:val="000000" w:themeColor="text1"/>
                <w:kern w:val="24"/>
                <w:sz w:val="20"/>
                <w:szCs w:val="20"/>
              </w:rPr>
              <w:t>All Other Specialties</w:t>
            </w:r>
          </w:p>
        </w:tc>
        <w:tc>
          <w:tcPr>
            <w:tcW w:w="2285" w:type="dxa"/>
            <w:tcBorders>
              <w:left w:val="single" w:sz="8" w:space="0" w:color="000000"/>
              <w:bottom w:val="single" w:sz="8" w:space="0" w:color="000000"/>
              <w:right w:val="single" w:sz="8" w:space="0" w:color="000000"/>
            </w:tcBorders>
            <w:tcMar>
              <w:top w:w="15" w:type="dxa"/>
              <w:left w:w="15" w:type="dxa"/>
              <w:bottom w:w="0" w:type="dxa"/>
              <w:right w:w="180" w:type="dxa"/>
            </w:tcMar>
            <w:vAlign w:val="center"/>
          </w:tcPr>
          <w:p w14:paraId="6700A6B9" w14:textId="518B996C" w:rsidR="005B5DBF" w:rsidRPr="00361530" w:rsidRDefault="005B5DBF" w:rsidP="005B5DBF">
            <w:pPr>
              <w:spacing w:after="0"/>
              <w:rPr>
                <w:rFonts w:ascii="Arial" w:hAnsi="Arial" w:cs="Arial"/>
                <w:color w:val="000000" w:themeColor="text1"/>
                <w:kern w:val="24"/>
                <w:sz w:val="20"/>
                <w:szCs w:val="20"/>
              </w:rPr>
            </w:pPr>
            <w:r w:rsidRPr="00361530">
              <w:rPr>
                <w:rFonts w:ascii="Arial" w:hAnsi="Arial" w:cs="Arial"/>
                <w:color w:val="000000" w:themeColor="text1"/>
                <w:kern w:val="24"/>
                <w:sz w:val="20"/>
                <w:szCs w:val="20"/>
              </w:rPr>
              <w:t xml:space="preserve">     1.6%</w:t>
            </w:r>
          </w:p>
        </w:tc>
      </w:tr>
    </w:tbl>
    <w:p w14:paraId="6AA3C177" w14:textId="77777777" w:rsidR="00637DC6" w:rsidRPr="00637DC6" w:rsidRDefault="00637DC6" w:rsidP="00637DC6">
      <w:pPr>
        <w:autoSpaceDE w:val="0"/>
        <w:autoSpaceDN w:val="0"/>
        <w:adjustRightInd w:val="0"/>
        <w:spacing w:after="0" w:line="240" w:lineRule="auto"/>
        <w:rPr>
          <w:rFonts w:cstheme="minorHAnsi"/>
          <w:bCs/>
          <w:color w:val="0070C0"/>
        </w:rPr>
      </w:pPr>
    </w:p>
    <w:p w14:paraId="409D58CD" w14:textId="737BB680" w:rsidR="008F3580" w:rsidRPr="009D0416" w:rsidRDefault="009C7513" w:rsidP="009D0416">
      <w:pPr>
        <w:autoSpaceDE w:val="0"/>
        <w:autoSpaceDN w:val="0"/>
        <w:adjustRightInd w:val="0"/>
        <w:spacing w:after="0" w:line="240" w:lineRule="auto"/>
        <w:rPr>
          <w:rFonts w:ascii="Times New Roman" w:hAnsi="Times New Roman" w:cs="Times New Roman"/>
          <w:bCs/>
          <w:color w:val="0070C0"/>
        </w:rPr>
      </w:pPr>
      <w:r w:rsidRPr="007B0444">
        <w:rPr>
          <w:rFonts w:cstheme="minorHAnsi"/>
          <w:b/>
          <w:bCs/>
        </w:rPr>
        <w:t>2b1</w:t>
      </w:r>
      <w:r w:rsidR="00092566" w:rsidRPr="007B0444">
        <w:rPr>
          <w:rFonts w:cstheme="minorHAnsi"/>
          <w:b/>
          <w:bCs/>
        </w:rPr>
        <w:t>.</w:t>
      </w:r>
      <w:r w:rsidR="007757CE" w:rsidRPr="007B0444">
        <w:rPr>
          <w:rFonts w:cstheme="minorHAnsi"/>
          <w:b/>
          <w:bCs/>
        </w:rPr>
        <w:t xml:space="preserve">4. </w:t>
      </w:r>
      <w:r w:rsidR="000B2DF7" w:rsidRPr="007B0444">
        <w:rPr>
          <w:rFonts w:cstheme="minorHAnsi"/>
          <w:b/>
          <w:bCs/>
        </w:rPr>
        <w:t xml:space="preserve">What is your interpretation of the results </w:t>
      </w:r>
      <w:r w:rsidR="007422FD" w:rsidRPr="007B0444">
        <w:rPr>
          <w:rFonts w:cstheme="minorHAnsi"/>
          <w:b/>
          <w:bCs/>
        </w:rPr>
        <w:t>in terms of demonstrating validity</w:t>
      </w:r>
      <w:r w:rsidR="007422FD" w:rsidRPr="007B0444">
        <w:rPr>
          <w:rFonts w:cstheme="minorHAnsi"/>
          <w:bCs/>
        </w:rPr>
        <w:t xml:space="preserve">? </w:t>
      </w:r>
      <w:r w:rsidR="000B2DF7" w:rsidRPr="007B0444">
        <w:rPr>
          <w:rFonts w:cstheme="minorHAnsi"/>
          <w:bCs/>
        </w:rPr>
        <w:t>(i</w:t>
      </w:r>
      <w:r w:rsidR="000B2DF7" w:rsidRPr="007B0444">
        <w:rPr>
          <w:rFonts w:cstheme="minorHAnsi"/>
          <w:bCs/>
          <w:i/>
        </w:rPr>
        <w:t>.e., what do the results mean and what are the norms for the test conducted</w:t>
      </w:r>
      <w:r w:rsidR="00A25024" w:rsidRPr="007B0444">
        <w:rPr>
          <w:rFonts w:cstheme="minorHAnsi"/>
          <w:bCs/>
          <w:i/>
        </w:rPr>
        <w:t>?</w:t>
      </w:r>
      <w:r w:rsidR="000B2DF7" w:rsidRPr="007B0444">
        <w:rPr>
          <w:rFonts w:cstheme="minorHAnsi"/>
          <w:bCs/>
        </w:rPr>
        <w:t>)</w:t>
      </w:r>
    </w:p>
    <w:p w14:paraId="24A61E52" w14:textId="77777777" w:rsidR="005D224F" w:rsidRPr="00445802" w:rsidRDefault="005D224F" w:rsidP="005D224F">
      <w:pPr>
        <w:autoSpaceDE w:val="0"/>
        <w:autoSpaceDN w:val="0"/>
        <w:adjustRightInd w:val="0"/>
        <w:spacing w:after="0" w:line="240" w:lineRule="auto"/>
        <w:rPr>
          <w:rFonts w:ascii="Times New Roman" w:hAnsi="Times New Roman" w:cs="Times New Roman"/>
          <w:b/>
          <w:bCs/>
          <w:color w:val="0070C0"/>
          <w:u w:val="single"/>
        </w:rPr>
      </w:pPr>
      <w:r w:rsidRPr="00445802">
        <w:rPr>
          <w:rFonts w:ascii="Times New Roman" w:hAnsi="Times New Roman" w:cs="Times New Roman"/>
          <w:b/>
          <w:bCs/>
          <w:color w:val="0070C0"/>
          <w:u w:val="single"/>
        </w:rPr>
        <w:t>Face Validity</w:t>
      </w:r>
    </w:p>
    <w:p w14:paraId="13E5EA89" w14:textId="7C9E7FB2" w:rsidR="005D224F" w:rsidRDefault="005D224F" w:rsidP="005D224F">
      <w:pPr>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 xml:space="preserve">This measure was assessed by a group of experts. Out of 15 respondents to the survey, 12 (80%) agreed that the scores from the measure as specified after comprehensive re-evaluation would provide an accurate reflection of cost effectiveness. </w:t>
      </w:r>
    </w:p>
    <w:p w14:paraId="0BE8BE04" w14:textId="2A3FED35" w:rsidR="005D224F" w:rsidRDefault="005D224F" w:rsidP="00637DC6">
      <w:pPr>
        <w:autoSpaceDE w:val="0"/>
        <w:autoSpaceDN w:val="0"/>
        <w:adjustRightInd w:val="0"/>
        <w:spacing w:after="0" w:line="240" w:lineRule="auto"/>
        <w:rPr>
          <w:rFonts w:ascii="Times New Roman" w:hAnsi="Times New Roman" w:cs="Times New Roman"/>
          <w:bCs/>
          <w:color w:val="0070C0"/>
        </w:rPr>
      </w:pPr>
    </w:p>
    <w:p w14:paraId="717BD7A7" w14:textId="6D56B298" w:rsidR="00C27D69" w:rsidRPr="004B5AC8" w:rsidRDefault="00C27D69" w:rsidP="00637DC6">
      <w:pPr>
        <w:autoSpaceDE w:val="0"/>
        <w:autoSpaceDN w:val="0"/>
        <w:adjustRightInd w:val="0"/>
        <w:spacing w:after="0" w:line="240" w:lineRule="auto"/>
        <w:rPr>
          <w:rFonts w:ascii="Times New Roman" w:hAnsi="Times New Roman" w:cs="Times New Roman"/>
          <w:b/>
          <w:bCs/>
          <w:color w:val="0070C0"/>
          <w:u w:val="single"/>
        </w:rPr>
      </w:pPr>
      <w:r w:rsidRPr="004B5AC8">
        <w:rPr>
          <w:rFonts w:ascii="Times New Roman" w:hAnsi="Times New Roman" w:cs="Times New Roman"/>
          <w:b/>
          <w:bCs/>
          <w:color w:val="0070C0"/>
          <w:u w:val="single"/>
        </w:rPr>
        <w:t>Empirical Validity</w:t>
      </w:r>
    </w:p>
    <w:p w14:paraId="2211F89F" w14:textId="4BA39EA1" w:rsidR="00F62466" w:rsidRPr="009D0416" w:rsidRDefault="00C27D69" w:rsidP="00637DC6">
      <w:pPr>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For the first test, a</w:t>
      </w:r>
      <w:r w:rsidR="00F62466" w:rsidRPr="009D0416">
        <w:rPr>
          <w:rFonts w:ascii="Times New Roman" w:hAnsi="Times New Roman" w:cs="Times New Roman"/>
          <w:bCs/>
          <w:color w:val="0070C0"/>
        </w:rPr>
        <w:t xml:space="preserve">s expected, the average risk- and specialty-adjusted monthly costs for beneficiaries with acute inpatient admissions and post-acute care in the measurement period are higher than for beneficiaries without those services. This indicates that the measure </w:t>
      </w:r>
      <w:r w:rsidR="00691881" w:rsidRPr="009D0416">
        <w:rPr>
          <w:rFonts w:ascii="Times New Roman" w:hAnsi="Times New Roman" w:cs="Times New Roman"/>
          <w:bCs/>
          <w:color w:val="0070C0"/>
        </w:rPr>
        <w:t>can capture higher resource use</w:t>
      </w:r>
      <w:r w:rsidR="00F62466" w:rsidRPr="009D0416">
        <w:rPr>
          <w:rFonts w:ascii="Times New Roman" w:hAnsi="Times New Roman" w:cs="Times New Roman"/>
          <w:bCs/>
          <w:color w:val="0070C0"/>
        </w:rPr>
        <w:t xml:space="preserve"> </w:t>
      </w:r>
      <w:r w:rsidR="00691881" w:rsidRPr="009D0416">
        <w:rPr>
          <w:rFonts w:ascii="Times New Roman" w:hAnsi="Times New Roman" w:cs="Times New Roman"/>
          <w:bCs/>
          <w:color w:val="0070C0"/>
        </w:rPr>
        <w:t xml:space="preserve">by </w:t>
      </w:r>
      <w:r w:rsidR="00F62466" w:rsidRPr="009D0416">
        <w:rPr>
          <w:rFonts w:ascii="Times New Roman" w:hAnsi="Times New Roman" w:cs="Times New Roman"/>
          <w:bCs/>
          <w:color w:val="0070C0"/>
        </w:rPr>
        <w:t xml:space="preserve">clinicians who have higher rates of complications related to these types of services, while not disincentivizing the provision of appropriate care in other areas.  </w:t>
      </w:r>
    </w:p>
    <w:p w14:paraId="2C9D57FF" w14:textId="77777777" w:rsidR="00F62466" w:rsidRPr="009D0416" w:rsidRDefault="00F62466" w:rsidP="00637DC6">
      <w:pPr>
        <w:autoSpaceDE w:val="0"/>
        <w:autoSpaceDN w:val="0"/>
        <w:adjustRightInd w:val="0"/>
        <w:spacing w:after="0" w:line="240" w:lineRule="auto"/>
        <w:rPr>
          <w:rFonts w:ascii="Times New Roman" w:hAnsi="Times New Roman" w:cs="Times New Roman"/>
          <w:bCs/>
          <w:color w:val="0070C0"/>
        </w:rPr>
      </w:pPr>
    </w:p>
    <w:p w14:paraId="294A208C" w14:textId="4374EBD8" w:rsidR="00637DC6" w:rsidRPr="009D0416" w:rsidRDefault="00C27D69" w:rsidP="00637DC6">
      <w:pPr>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 xml:space="preserve">The second test, the clinical themes analysis, </w:t>
      </w:r>
      <w:r w:rsidR="00F62466" w:rsidRPr="009D0416">
        <w:rPr>
          <w:rFonts w:ascii="Times New Roman" w:hAnsi="Times New Roman" w:cs="Times New Roman"/>
          <w:bCs/>
          <w:color w:val="0070C0"/>
        </w:rPr>
        <w:t>demonstrate</w:t>
      </w:r>
      <w:r>
        <w:rPr>
          <w:rFonts w:ascii="Times New Roman" w:hAnsi="Times New Roman" w:cs="Times New Roman"/>
          <w:bCs/>
          <w:color w:val="0070C0"/>
        </w:rPr>
        <w:t>s</w:t>
      </w:r>
      <w:r w:rsidR="00F62466" w:rsidRPr="009D0416">
        <w:rPr>
          <w:rFonts w:ascii="Times New Roman" w:hAnsi="Times New Roman" w:cs="Times New Roman"/>
          <w:bCs/>
          <w:color w:val="0070C0"/>
        </w:rPr>
        <w:t xml:space="preserve"> that the TPCC measure is able to accurately capture higher resource use across various types of services. Importantly, we see that the correlation with risk-</w:t>
      </w:r>
      <w:r w:rsidR="001E4ED3" w:rsidRPr="009D0416">
        <w:rPr>
          <w:rFonts w:ascii="Times New Roman" w:hAnsi="Times New Roman" w:cs="Times New Roman"/>
          <w:bCs/>
          <w:color w:val="0070C0"/>
        </w:rPr>
        <w:t xml:space="preserve"> and specialty-</w:t>
      </w:r>
      <w:r w:rsidR="00F62466" w:rsidRPr="009D0416">
        <w:rPr>
          <w:rFonts w:ascii="Times New Roman" w:hAnsi="Times New Roman" w:cs="Times New Roman"/>
          <w:bCs/>
          <w:color w:val="0070C0"/>
        </w:rPr>
        <w:t>adjusted cost is strong not only for high-cost categories such as Acute Inpati</w:t>
      </w:r>
      <w:r w:rsidR="00D825EE" w:rsidRPr="009D0416">
        <w:rPr>
          <w:rFonts w:ascii="Times New Roman" w:hAnsi="Times New Roman" w:cs="Times New Roman"/>
          <w:bCs/>
          <w:color w:val="0070C0"/>
        </w:rPr>
        <w:t>ent Services (average monthly cost for TIN testing $</w:t>
      </w:r>
      <w:r w:rsidR="00F62466" w:rsidRPr="009D0416">
        <w:rPr>
          <w:rFonts w:ascii="Times New Roman" w:hAnsi="Times New Roman" w:cs="Times New Roman"/>
          <w:bCs/>
          <w:color w:val="0070C0"/>
        </w:rPr>
        <w:t>9,</w:t>
      </w:r>
      <w:r w:rsidR="001E4ED3" w:rsidRPr="009D0416">
        <w:rPr>
          <w:rFonts w:ascii="Times New Roman" w:hAnsi="Times New Roman" w:cs="Times New Roman"/>
          <w:bCs/>
          <w:color w:val="0070C0"/>
        </w:rPr>
        <w:t>670</w:t>
      </w:r>
      <w:r w:rsidR="00D825EE" w:rsidRPr="009D0416">
        <w:rPr>
          <w:rFonts w:ascii="Times New Roman" w:hAnsi="Times New Roman" w:cs="Times New Roman"/>
          <w:bCs/>
          <w:color w:val="0070C0"/>
        </w:rPr>
        <w:t xml:space="preserve"> and $9,664 for TIN-NPI testing</w:t>
      </w:r>
      <w:r w:rsidR="00F62466" w:rsidRPr="009D0416">
        <w:rPr>
          <w:rFonts w:ascii="Times New Roman" w:hAnsi="Times New Roman" w:cs="Times New Roman"/>
          <w:bCs/>
          <w:color w:val="0070C0"/>
        </w:rPr>
        <w:t xml:space="preserve">), but also for lower cost categories such as </w:t>
      </w:r>
      <w:r w:rsidR="00D825EE" w:rsidRPr="009D0416">
        <w:rPr>
          <w:rFonts w:ascii="Times New Roman" w:hAnsi="Times New Roman" w:cs="Times New Roman"/>
          <w:bCs/>
          <w:color w:val="0070C0"/>
        </w:rPr>
        <w:t>outpatient E&amp;M services, procedures, and therapy</w:t>
      </w:r>
      <w:r w:rsidR="00F62466" w:rsidRPr="009D0416">
        <w:rPr>
          <w:rFonts w:ascii="Times New Roman" w:hAnsi="Times New Roman" w:cs="Times New Roman"/>
          <w:bCs/>
          <w:color w:val="0070C0"/>
        </w:rPr>
        <w:t xml:space="preserve"> (</w:t>
      </w:r>
      <w:r w:rsidR="00D825EE" w:rsidRPr="009D0416">
        <w:rPr>
          <w:rFonts w:ascii="Times New Roman" w:hAnsi="Times New Roman" w:cs="Times New Roman"/>
          <w:bCs/>
          <w:color w:val="0070C0"/>
        </w:rPr>
        <w:t>average monthly cost for TIN testing $712 and $713 for TIN-NPI testing</w:t>
      </w:r>
      <w:r w:rsidR="00F62466" w:rsidRPr="009D0416">
        <w:rPr>
          <w:rFonts w:ascii="Times New Roman" w:hAnsi="Times New Roman" w:cs="Times New Roman"/>
          <w:bCs/>
          <w:color w:val="0070C0"/>
        </w:rPr>
        <w:t xml:space="preserve">). This indicates that the </w:t>
      </w:r>
      <w:r w:rsidR="00D825EE" w:rsidRPr="009D0416">
        <w:rPr>
          <w:rFonts w:ascii="Times New Roman" w:hAnsi="Times New Roman" w:cs="Times New Roman"/>
          <w:bCs/>
          <w:color w:val="0070C0"/>
        </w:rPr>
        <w:t xml:space="preserve">risk- and specialty-adjusted cost increase is not just a result </w:t>
      </w:r>
      <w:r w:rsidR="00F62466" w:rsidRPr="009D0416">
        <w:rPr>
          <w:rFonts w:ascii="Times New Roman" w:hAnsi="Times New Roman" w:cs="Times New Roman"/>
          <w:bCs/>
          <w:color w:val="0070C0"/>
        </w:rPr>
        <w:t>from a mechanical increase in beneficiary month costs from high-cost categories</w:t>
      </w:r>
      <w:r w:rsidR="00D825EE" w:rsidRPr="009D0416">
        <w:rPr>
          <w:rFonts w:ascii="Times New Roman" w:hAnsi="Times New Roman" w:cs="Times New Roman"/>
          <w:bCs/>
          <w:color w:val="0070C0"/>
        </w:rPr>
        <w:t xml:space="preserve"> but also can respond to over utilization of lower cost clinical theme</w:t>
      </w:r>
      <w:r w:rsidR="00F62466" w:rsidRPr="009D0416">
        <w:rPr>
          <w:rFonts w:ascii="Times New Roman" w:hAnsi="Times New Roman" w:cs="Times New Roman"/>
          <w:bCs/>
          <w:color w:val="0070C0"/>
        </w:rPr>
        <w:t>.</w:t>
      </w:r>
      <w:r>
        <w:rPr>
          <w:rFonts w:ascii="Times New Roman" w:hAnsi="Times New Roman" w:cs="Times New Roman"/>
          <w:bCs/>
          <w:color w:val="0070C0"/>
        </w:rPr>
        <w:t xml:space="preserve"> These results indicate that the measure is able to capture higher cost services, which a cost measure should do to be able to distinguish provider performance.  </w:t>
      </w:r>
    </w:p>
    <w:p w14:paraId="29E4775D" w14:textId="797FFAAE" w:rsidR="00E12BAB" w:rsidRPr="009D0416" w:rsidRDefault="00E12BAB" w:rsidP="00637DC6">
      <w:pPr>
        <w:autoSpaceDE w:val="0"/>
        <w:autoSpaceDN w:val="0"/>
        <w:adjustRightInd w:val="0"/>
        <w:spacing w:after="0" w:line="240" w:lineRule="auto"/>
        <w:rPr>
          <w:rFonts w:ascii="Times New Roman" w:hAnsi="Times New Roman" w:cs="Times New Roman"/>
          <w:bCs/>
          <w:color w:val="0070C0"/>
        </w:rPr>
      </w:pPr>
    </w:p>
    <w:p w14:paraId="3DC0E03E" w14:textId="401F8DB0" w:rsidR="00E12BAB" w:rsidRPr="009D0416" w:rsidRDefault="00E12BAB" w:rsidP="00637DC6">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Finally, testing on attribution validity showed that </w:t>
      </w:r>
      <w:r w:rsidR="008B099E">
        <w:rPr>
          <w:rFonts w:ascii="Times New Roman" w:hAnsi="Times New Roman" w:cs="Times New Roman"/>
          <w:bCs/>
          <w:color w:val="0070C0"/>
        </w:rPr>
        <w:t>the measure is appropriately identifying and attributing beneficiaries to clinicians who have a primary care relationship with them. A</w:t>
      </w:r>
      <w:r w:rsidRPr="009D0416">
        <w:rPr>
          <w:rFonts w:ascii="Times New Roman" w:hAnsi="Times New Roman" w:cs="Times New Roman"/>
          <w:bCs/>
          <w:color w:val="0070C0"/>
        </w:rPr>
        <w:t>ttributed TIN/TIN-NPIs bill a large proportion of beneficiaries’ E&amp;M claims</w:t>
      </w:r>
      <w:r w:rsidR="00D825EE" w:rsidRPr="009D0416">
        <w:rPr>
          <w:rFonts w:ascii="Times New Roman" w:hAnsi="Times New Roman" w:cs="Times New Roman"/>
          <w:bCs/>
          <w:color w:val="0070C0"/>
        </w:rPr>
        <w:t xml:space="preserve"> related primary care as was intended with the re-evaluation effort for the attribution methodology</w:t>
      </w:r>
      <w:r w:rsidRPr="009D0416">
        <w:rPr>
          <w:rFonts w:ascii="Times New Roman" w:hAnsi="Times New Roman" w:cs="Times New Roman"/>
          <w:bCs/>
          <w:color w:val="0070C0"/>
        </w:rPr>
        <w:t xml:space="preserve">. This indicates that there is a strong relationship between attributed TIN/TIN-NPIs and beneficiaries that they treat. The results of the analysis </w:t>
      </w:r>
      <w:r w:rsidR="00FE3DAF" w:rsidRPr="009D0416">
        <w:rPr>
          <w:rFonts w:ascii="Times New Roman" w:hAnsi="Times New Roman" w:cs="Times New Roman"/>
          <w:bCs/>
          <w:color w:val="0070C0"/>
        </w:rPr>
        <w:t xml:space="preserve">for attribution as a result of NP/PA </w:t>
      </w:r>
      <w:r w:rsidRPr="009D0416">
        <w:rPr>
          <w:rFonts w:ascii="Times New Roman" w:hAnsi="Times New Roman" w:cs="Times New Roman"/>
          <w:bCs/>
          <w:color w:val="0070C0"/>
        </w:rPr>
        <w:t xml:space="preserve">show that the TPCC measures </w:t>
      </w:r>
      <w:r w:rsidR="00FE3DAF" w:rsidRPr="009D0416">
        <w:rPr>
          <w:rFonts w:ascii="Times New Roman" w:hAnsi="Times New Roman" w:cs="Times New Roman"/>
          <w:bCs/>
          <w:color w:val="0070C0"/>
        </w:rPr>
        <w:t xml:space="preserve">attributes few </w:t>
      </w:r>
      <w:r w:rsidRPr="009D0416">
        <w:rPr>
          <w:rFonts w:ascii="Times New Roman" w:hAnsi="Times New Roman" w:cs="Times New Roman"/>
          <w:bCs/>
          <w:color w:val="0070C0"/>
        </w:rPr>
        <w:t>TIN</w:t>
      </w:r>
      <w:r w:rsidR="00FE3DAF" w:rsidRPr="009D0416">
        <w:rPr>
          <w:rFonts w:ascii="Times New Roman" w:hAnsi="Times New Roman" w:cs="Times New Roman"/>
          <w:bCs/>
          <w:color w:val="0070C0"/>
        </w:rPr>
        <w:t xml:space="preserve"> unlikely to provider primary care </w:t>
      </w:r>
      <w:r w:rsidRPr="009D0416">
        <w:rPr>
          <w:rFonts w:ascii="Times New Roman" w:hAnsi="Times New Roman" w:cs="Times New Roman"/>
          <w:bCs/>
          <w:color w:val="0070C0"/>
        </w:rPr>
        <w:t>through NPs and PAs alone</w:t>
      </w:r>
      <w:r w:rsidR="00FE3DAF" w:rsidRPr="009D0416">
        <w:rPr>
          <w:rFonts w:ascii="Times New Roman" w:hAnsi="Times New Roman" w:cs="Times New Roman"/>
          <w:bCs/>
          <w:color w:val="0070C0"/>
        </w:rPr>
        <w:t>.</w:t>
      </w:r>
      <w:r w:rsidR="00604B7A" w:rsidRPr="009D0416">
        <w:rPr>
          <w:rFonts w:ascii="Times New Roman" w:hAnsi="Times New Roman" w:cs="Times New Roman"/>
          <w:bCs/>
          <w:color w:val="0070C0"/>
        </w:rPr>
        <w:t xml:space="preserve"> </w:t>
      </w:r>
    </w:p>
    <w:p w14:paraId="0CABCFE0" w14:textId="77777777" w:rsidR="008A403A" w:rsidRPr="007B0444" w:rsidRDefault="00483E94" w:rsidP="00DB3627">
      <w:pPr>
        <w:autoSpaceDE w:val="0"/>
        <w:autoSpaceDN w:val="0"/>
        <w:adjustRightInd w:val="0"/>
        <w:spacing w:after="0" w:line="240" w:lineRule="auto"/>
        <w:rPr>
          <w:rFonts w:cstheme="minorHAnsi"/>
          <w:bCs/>
        </w:rPr>
      </w:pPr>
      <w:r w:rsidRPr="007B0444">
        <w:rPr>
          <w:rFonts w:cstheme="minorHAnsi"/>
          <w:bCs/>
        </w:rPr>
        <w:t>_________________________</w:t>
      </w:r>
    </w:p>
    <w:p w14:paraId="0CABCFE1" w14:textId="5D7F87B5" w:rsidR="00097012" w:rsidRPr="007B0444" w:rsidRDefault="00021170" w:rsidP="00DB3627">
      <w:pPr>
        <w:autoSpaceDE w:val="0"/>
        <w:autoSpaceDN w:val="0"/>
        <w:adjustRightInd w:val="0"/>
        <w:spacing w:after="0" w:line="240" w:lineRule="auto"/>
        <w:rPr>
          <w:rFonts w:cstheme="minorHAnsi"/>
          <w:b/>
          <w:bCs/>
        </w:rPr>
      </w:pPr>
      <w:r w:rsidRPr="007B0444">
        <w:rPr>
          <w:rFonts w:cstheme="minorHAnsi"/>
          <w:b/>
          <w:bCs/>
        </w:rPr>
        <w:t>2</w:t>
      </w:r>
      <w:r w:rsidR="00EA5F47" w:rsidRPr="007B0444">
        <w:rPr>
          <w:rFonts w:cstheme="minorHAnsi"/>
          <w:b/>
          <w:bCs/>
        </w:rPr>
        <w:t>b</w:t>
      </w:r>
      <w:r w:rsidR="009C7513" w:rsidRPr="007B0444">
        <w:rPr>
          <w:rFonts w:cstheme="minorHAnsi"/>
          <w:b/>
          <w:bCs/>
        </w:rPr>
        <w:t>2.</w:t>
      </w:r>
      <w:r w:rsidRPr="007B0444">
        <w:rPr>
          <w:rFonts w:cstheme="minorHAnsi"/>
          <w:b/>
          <w:bCs/>
        </w:rPr>
        <w:t xml:space="preserve"> EXCLUSIONS</w:t>
      </w:r>
      <w:r w:rsidR="005333CC" w:rsidRPr="007B0444">
        <w:rPr>
          <w:rFonts w:cstheme="minorHAnsi"/>
          <w:b/>
          <w:bCs/>
        </w:rPr>
        <w:t xml:space="preserve"> </w:t>
      </w:r>
      <w:r w:rsidR="00356BAD" w:rsidRPr="007B0444">
        <w:rPr>
          <w:rFonts w:cstheme="minorHAnsi"/>
          <w:b/>
          <w:bCs/>
        </w:rPr>
        <w:t>ANALYSIS</w:t>
      </w:r>
    </w:p>
    <w:p w14:paraId="0CABCFE2" w14:textId="3DC2C131" w:rsidR="00B037BA" w:rsidRPr="007B0444" w:rsidRDefault="001E4DD4" w:rsidP="00DB3627">
      <w:pPr>
        <w:autoSpaceDE w:val="0"/>
        <w:autoSpaceDN w:val="0"/>
        <w:adjustRightInd w:val="0"/>
        <w:spacing w:after="0" w:line="240" w:lineRule="auto"/>
        <w:rPr>
          <w:rFonts w:cstheme="minorHAnsi"/>
          <w:b/>
          <w:bCs/>
        </w:rPr>
      </w:pPr>
      <w:r w:rsidRPr="007B0444">
        <w:rPr>
          <w:rFonts w:eastAsia="MS Gothic" w:cstheme="minorHAnsi"/>
          <w:b/>
          <w:bCs/>
        </w:rPr>
        <w:t>NA</w:t>
      </w:r>
      <w:r w:rsidRPr="007B044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7B0444">
            <w:rPr>
              <w:rFonts w:ascii="MS Gothic" w:eastAsia="MS Gothic" w:cstheme="minorHAnsi" w:hint="eastAsia"/>
              <w:bCs/>
              <w:color w:val="0000FF"/>
            </w:rPr>
            <w:t>☐</w:t>
          </w:r>
        </w:sdtContent>
      </w:sdt>
      <w:r w:rsidRPr="007B0444">
        <w:rPr>
          <w:rFonts w:eastAsia="MS Gothic" w:cstheme="minorHAnsi"/>
          <w:b/>
          <w:bCs/>
          <w:color w:val="0000FF"/>
        </w:rPr>
        <w:t xml:space="preserve"> </w:t>
      </w:r>
      <w:r w:rsidR="00484120" w:rsidRPr="007B0444">
        <w:rPr>
          <w:rFonts w:cstheme="minorHAnsi"/>
          <w:b/>
          <w:bCs/>
        </w:rPr>
        <w:t>no exclusions</w:t>
      </w:r>
      <w:r w:rsidRPr="007B0444">
        <w:rPr>
          <w:rFonts w:cstheme="minorHAnsi"/>
          <w:b/>
          <w:bCs/>
        </w:rPr>
        <w:t xml:space="preserve"> </w:t>
      </w:r>
      <w:r w:rsidRPr="007B0444">
        <w:rPr>
          <w:rFonts w:eastAsia="MS Gothic" w:cstheme="minorHAnsi"/>
          <w:b/>
          <w:bCs/>
          <w:color w:val="0000FF"/>
        </w:rPr>
        <w:t>—</w:t>
      </w:r>
      <w:r w:rsidRPr="007B0444">
        <w:rPr>
          <w:rFonts w:cstheme="minorHAnsi"/>
          <w:b/>
          <w:bCs/>
          <w:i/>
        </w:rPr>
        <w:t xml:space="preserve"> </w:t>
      </w:r>
      <w:r w:rsidR="00B037BA" w:rsidRPr="007B0444">
        <w:rPr>
          <w:rFonts w:cstheme="minorHAnsi"/>
          <w:b/>
          <w:bCs/>
          <w:i/>
        </w:rPr>
        <w:t xml:space="preserve">skip </w:t>
      </w:r>
      <w:r w:rsidR="008A4C13" w:rsidRPr="007B0444">
        <w:rPr>
          <w:rFonts w:cstheme="minorHAnsi"/>
          <w:b/>
          <w:bCs/>
          <w:i/>
        </w:rPr>
        <w:t xml:space="preserve">to </w:t>
      </w:r>
      <w:r w:rsidR="00BE592D" w:rsidRPr="007B0444">
        <w:rPr>
          <w:rFonts w:cstheme="minorHAnsi"/>
          <w:b/>
          <w:bCs/>
          <w:i/>
        </w:rPr>
        <w:t xml:space="preserve">section </w:t>
      </w:r>
      <w:hyperlink w:anchor="section2b4" w:history="1">
        <w:r w:rsidR="00483E94" w:rsidRPr="007B0444">
          <w:rPr>
            <w:rStyle w:val="Hyperlink"/>
            <w:rFonts w:cstheme="minorHAnsi"/>
            <w:b/>
            <w:bCs/>
            <w:i/>
          </w:rPr>
          <w:t>2b</w:t>
        </w:r>
        <w:r w:rsidR="00565946" w:rsidRPr="007B0444">
          <w:rPr>
            <w:rStyle w:val="Hyperlink"/>
            <w:rFonts w:cstheme="minorHAnsi"/>
            <w:b/>
            <w:bCs/>
            <w:i/>
          </w:rPr>
          <w:t>3</w:t>
        </w:r>
      </w:hyperlink>
    </w:p>
    <w:p w14:paraId="0CABCFE3" w14:textId="77777777" w:rsidR="00001D73" w:rsidRPr="007B0444" w:rsidRDefault="00001D73" w:rsidP="00DB3627">
      <w:pPr>
        <w:autoSpaceDE w:val="0"/>
        <w:autoSpaceDN w:val="0"/>
        <w:adjustRightInd w:val="0"/>
        <w:spacing w:after="0" w:line="240" w:lineRule="auto"/>
        <w:rPr>
          <w:rFonts w:cstheme="minorHAnsi"/>
          <w:b/>
          <w:bCs/>
        </w:rPr>
      </w:pPr>
    </w:p>
    <w:p w14:paraId="7854B99B" w14:textId="3242FB81" w:rsidR="00E60138" w:rsidRPr="009D0416" w:rsidRDefault="00092566" w:rsidP="00E60138">
      <w:pPr>
        <w:autoSpaceDE w:val="0"/>
        <w:autoSpaceDN w:val="0"/>
        <w:adjustRightInd w:val="0"/>
        <w:spacing w:after="0" w:line="240" w:lineRule="auto"/>
        <w:rPr>
          <w:rFonts w:ascii="Times New Roman" w:hAnsi="Times New Roman" w:cs="Times New Roman"/>
          <w:bCs/>
          <w:color w:val="0070C0"/>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1. Describe the method of</w:t>
      </w:r>
      <w:r w:rsidR="00E672D6" w:rsidRPr="007B0444">
        <w:rPr>
          <w:rFonts w:cstheme="minorHAnsi"/>
          <w:b/>
          <w:bCs/>
        </w:rPr>
        <w:t xml:space="preserve"> </w:t>
      </w:r>
      <w:r w:rsidR="005333CC" w:rsidRPr="007B0444">
        <w:rPr>
          <w:rFonts w:cstheme="minorHAnsi"/>
          <w:b/>
          <w:bCs/>
        </w:rPr>
        <w:t>testing</w:t>
      </w:r>
      <w:r w:rsidR="00833325" w:rsidRPr="007B0444">
        <w:rPr>
          <w:rFonts w:cstheme="minorHAnsi"/>
          <w:b/>
          <w:bCs/>
        </w:rPr>
        <w:t xml:space="preserve"> </w:t>
      </w:r>
      <w:r w:rsidR="004B6CEE" w:rsidRPr="007B0444">
        <w:rPr>
          <w:rFonts w:cstheme="minorHAnsi"/>
          <w:b/>
          <w:bCs/>
        </w:rPr>
        <w:t xml:space="preserve">exclusions </w:t>
      </w:r>
      <w:r w:rsidR="00A25024" w:rsidRPr="007B0444">
        <w:rPr>
          <w:rFonts w:cstheme="minorHAnsi"/>
          <w:b/>
          <w:bCs/>
        </w:rPr>
        <w:t>and what it tests</w:t>
      </w:r>
      <w:r w:rsidR="00833325" w:rsidRPr="007B0444">
        <w:rPr>
          <w:rFonts w:cstheme="minorHAnsi"/>
          <w:bCs/>
        </w:rPr>
        <w:t xml:space="preserve"> (</w:t>
      </w:r>
      <w:r w:rsidR="00A25024" w:rsidRPr="007B0444">
        <w:rPr>
          <w:rFonts w:cstheme="minorHAnsi"/>
          <w:bCs/>
          <w:i/>
        </w:rPr>
        <w:t>describe the steps―do not just name a method; what was tested, e.g., whether exclusions affect overall performance scores</w:t>
      </w:r>
      <w:r w:rsidR="0022691B" w:rsidRPr="007B0444">
        <w:rPr>
          <w:rFonts w:cstheme="minorHAnsi"/>
          <w:bCs/>
          <w:i/>
        </w:rPr>
        <w:t>; what statistical analysis was used</w:t>
      </w:r>
      <w:r w:rsidR="00833325" w:rsidRPr="007B0444">
        <w:rPr>
          <w:rFonts w:cstheme="minorHAnsi"/>
          <w:bCs/>
        </w:rPr>
        <w:t>)</w:t>
      </w:r>
      <w:r w:rsidR="00833325" w:rsidRPr="007B0444">
        <w:rPr>
          <w:rFonts w:cstheme="minorHAnsi"/>
          <w:bCs/>
        </w:rPr>
        <w:br/>
      </w:r>
      <w:r w:rsidR="00E60138" w:rsidRPr="009D0416">
        <w:rPr>
          <w:rFonts w:ascii="Times New Roman" w:hAnsi="Times New Roman" w:cs="Times New Roman"/>
          <w:bCs/>
          <w:color w:val="0070C0"/>
        </w:rPr>
        <w:t>TPCC aims to measure</w:t>
      </w:r>
      <w:r w:rsidR="008B099E">
        <w:rPr>
          <w:rFonts w:ascii="Times New Roman" w:hAnsi="Times New Roman" w:cs="Times New Roman"/>
          <w:bCs/>
          <w:color w:val="0070C0"/>
        </w:rPr>
        <w:t xml:space="preserve"> a broad cohort of</w:t>
      </w:r>
      <w:r w:rsidR="00E60138" w:rsidRPr="009D0416">
        <w:rPr>
          <w:rFonts w:ascii="Times New Roman" w:hAnsi="Times New Roman" w:cs="Times New Roman"/>
          <w:bCs/>
          <w:color w:val="0070C0"/>
        </w:rPr>
        <w:t xml:space="preserve"> Medicare patients</w:t>
      </w:r>
      <w:r w:rsidR="008B099E">
        <w:rPr>
          <w:rFonts w:ascii="Times New Roman" w:hAnsi="Times New Roman" w:cs="Times New Roman"/>
          <w:bCs/>
          <w:color w:val="0070C0"/>
        </w:rPr>
        <w:t xml:space="preserve"> who receive primary care services</w:t>
      </w:r>
      <w:r w:rsidR="00E60138" w:rsidRPr="009D0416">
        <w:rPr>
          <w:rFonts w:ascii="Times New Roman" w:hAnsi="Times New Roman" w:cs="Times New Roman"/>
          <w:bCs/>
          <w:color w:val="0070C0"/>
        </w:rPr>
        <w:t xml:space="preserve">. Exclusions are primarily used to ensure that, as part of data processing, sufficient data are available to accurately </w:t>
      </w:r>
      <w:r w:rsidR="00E60138" w:rsidRPr="009D0416">
        <w:rPr>
          <w:rFonts w:ascii="Times New Roman" w:hAnsi="Times New Roman" w:cs="Times New Roman"/>
          <w:bCs/>
          <w:color w:val="0070C0"/>
        </w:rPr>
        <w:lastRenderedPageBreak/>
        <w:t xml:space="preserve">determine resource use and calculate risk adjustment for each beneficiary. </w:t>
      </w:r>
      <w:r w:rsidR="00C27D69">
        <w:rPr>
          <w:rFonts w:ascii="Times New Roman" w:hAnsi="Times New Roman" w:cs="Times New Roman"/>
          <w:bCs/>
          <w:color w:val="0070C0"/>
        </w:rPr>
        <w:t>The exclusion</w:t>
      </w:r>
      <w:r w:rsidR="008B099E">
        <w:rPr>
          <w:rFonts w:ascii="Times New Roman" w:hAnsi="Times New Roman" w:cs="Times New Roman"/>
          <w:bCs/>
          <w:color w:val="0070C0"/>
        </w:rPr>
        <w:t>s</w:t>
      </w:r>
      <w:r w:rsidR="00C27D69">
        <w:rPr>
          <w:rFonts w:ascii="Times New Roman" w:hAnsi="Times New Roman" w:cs="Times New Roman"/>
          <w:bCs/>
          <w:color w:val="0070C0"/>
        </w:rPr>
        <w:t xml:space="preserve"> focus on removing beneficiaries where fair comparisons cannot be made across providers. </w:t>
      </w:r>
      <w:r w:rsidR="00E60138" w:rsidRPr="009D0416">
        <w:rPr>
          <w:rFonts w:ascii="Times New Roman" w:hAnsi="Times New Roman" w:cs="Times New Roman"/>
          <w:bCs/>
          <w:color w:val="0070C0"/>
        </w:rPr>
        <w:t xml:space="preserve">These exclusions, along with their rationales, are listed below:  </w:t>
      </w:r>
    </w:p>
    <w:p w14:paraId="1F55A682" w14:textId="77777777" w:rsidR="00E60138" w:rsidRPr="009D0416" w:rsidRDefault="00E60138" w:rsidP="00E60138">
      <w:pPr>
        <w:pStyle w:val="ListParagraph"/>
        <w:numPr>
          <w:ilvl w:val="0"/>
          <w:numId w:val="42"/>
        </w:num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The beneficiary was not continuously enrolled in Medicare Parts A and B unless partial enrollment was the result of either new enrollment or death only. </w:t>
      </w:r>
    </w:p>
    <w:p w14:paraId="4A49F94D" w14:textId="77777777" w:rsidR="00E60138" w:rsidRPr="009D0416" w:rsidRDefault="00E60138" w:rsidP="00E60138">
      <w:pPr>
        <w:pStyle w:val="ListParagraph"/>
        <w:numPr>
          <w:ilvl w:val="1"/>
          <w:numId w:val="42"/>
        </w:num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These beneficiaries may have gaps in their Medicare claim records when benefits are covered by other payers. </w:t>
      </w:r>
    </w:p>
    <w:p w14:paraId="28975EAD" w14:textId="77777777" w:rsidR="00E60138" w:rsidRPr="009D0416" w:rsidRDefault="00E60138" w:rsidP="00E60138">
      <w:pPr>
        <w:pStyle w:val="ListParagraph"/>
        <w:numPr>
          <w:ilvl w:val="0"/>
          <w:numId w:val="42"/>
        </w:num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The beneficiary resides outside the United States or its territories during the measurement period  </w:t>
      </w:r>
    </w:p>
    <w:p w14:paraId="53829B8C" w14:textId="4EB74E7E" w:rsidR="00E60138" w:rsidRPr="009D0416" w:rsidRDefault="008B099E" w:rsidP="00E60138">
      <w:pPr>
        <w:pStyle w:val="ListParagraph"/>
        <w:numPr>
          <w:ilvl w:val="1"/>
          <w:numId w:val="42"/>
        </w:numPr>
        <w:autoSpaceDE w:val="0"/>
        <w:autoSpaceDN w:val="0"/>
        <w:adjustRightInd w:val="0"/>
        <w:spacing w:after="0" w:line="240" w:lineRule="auto"/>
        <w:rPr>
          <w:rFonts w:ascii="Times New Roman" w:hAnsi="Times New Roman" w:cs="Times New Roman"/>
          <w:bCs/>
          <w:color w:val="0070C0"/>
        </w:rPr>
      </w:pPr>
      <w:r>
        <w:rPr>
          <w:rFonts w:ascii="Times New Roman" w:hAnsi="Times New Roman" w:cs="Times New Roman"/>
          <w:bCs/>
          <w:color w:val="0070C0"/>
        </w:rPr>
        <w:t>We may not have complete claims data available for beneficiaries outside the US and territories.</w:t>
      </w:r>
      <w:r w:rsidR="00E60138" w:rsidRPr="009D0416">
        <w:rPr>
          <w:rFonts w:ascii="Times New Roman" w:hAnsi="Times New Roman" w:cs="Times New Roman"/>
          <w:bCs/>
          <w:color w:val="0070C0"/>
        </w:rPr>
        <w:t xml:space="preserve"> </w:t>
      </w:r>
    </w:p>
    <w:p w14:paraId="60FAB570" w14:textId="77777777" w:rsidR="00E60138" w:rsidRPr="009D0416" w:rsidRDefault="00E60138" w:rsidP="00E60138">
      <w:pPr>
        <w:pStyle w:val="ListParagraph"/>
        <w:numPr>
          <w:ilvl w:val="0"/>
          <w:numId w:val="42"/>
        </w:num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The beneficiary receives benefits from the Railroad Retirement Board (RRB) </w:t>
      </w:r>
    </w:p>
    <w:p w14:paraId="358E6E6E" w14:textId="10AD3C9B" w:rsidR="00E60138" w:rsidRPr="009D0416" w:rsidRDefault="00E60138" w:rsidP="00E60138">
      <w:pPr>
        <w:pStyle w:val="ListParagraph"/>
        <w:numPr>
          <w:ilvl w:val="1"/>
          <w:numId w:val="42"/>
        </w:num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Beneficiaries covered by the RRB may have healthcare benefits normally covered by Medicare paid by the RRB, which may bias the observed cost for these beneficiaries.  </w:t>
      </w:r>
    </w:p>
    <w:p w14:paraId="342F3BEB" w14:textId="77777777" w:rsidR="00E60138" w:rsidRPr="009D0416" w:rsidRDefault="00E60138" w:rsidP="00E60138">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 </w:t>
      </w:r>
    </w:p>
    <w:p w14:paraId="2C57D3E3" w14:textId="0DDB52DF" w:rsidR="007A573C" w:rsidRPr="009D0416" w:rsidRDefault="00E60138" w:rsidP="00E60138">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Given the rationales for these exclusions, we would expect these excluded beneficiaries’ Medicare costs to have different rates and measurability than the included beneficiaries. For the exclusions, we examined annual Medicare Parts A and B spending from potentially attributable triggering events (i.e., candidate events) for excluded beneficiaries compared to spending for beneficiaries included in measure calculation to assess the differences between the two patient cohorts.</w:t>
      </w:r>
    </w:p>
    <w:p w14:paraId="3206F779" w14:textId="77777777" w:rsidR="00E60138" w:rsidRPr="009D0416" w:rsidRDefault="00E60138" w:rsidP="00E60138">
      <w:pPr>
        <w:autoSpaceDE w:val="0"/>
        <w:autoSpaceDN w:val="0"/>
        <w:adjustRightInd w:val="0"/>
        <w:spacing w:after="0" w:line="240" w:lineRule="auto"/>
        <w:rPr>
          <w:rFonts w:ascii="Times New Roman" w:hAnsi="Times New Roman" w:cs="Times New Roman"/>
          <w:bCs/>
          <w:color w:val="0070C0"/>
        </w:rPr>
      </w:pPr>
    </w:p>
    <w:p w14:paraId="18441227" w14:textId="60D9658F" w:rsidR="00DF5674" w:rsidRPr="009D0416" w:rsidRDefault="007C05FD" w:rsidP="007C05FD">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Please also see Section 2b6 (</w:t>
      </w:r>
      <w:r w:rsidRPr="009D0416">
        <w:rPr>
          <w:rFonts w:ascii="Times New Roman" w:hAnsi="Times New Roman" w:cs="Times New Roman"/>
          <w:bCs/>
          <w:i/>
          <w:color w:val="0070C0"/>
        </w:rPr>
        <w:t>Missing Data Analysis and Minimizing Bias</w:t>
      </w:r>
      <w:r w:rsidRPr="009D0416">
        <w:rPr>
          <w:rFonts w:ascii="Times New Roman" w:hAnsi="Times New Roman" w:cs="Times New Roman"/>
          <w:bCs/>
          <w:color w:val="0070C0"/>
        </w:rPr>
        <w:t>) of this testing form for more information on exclusions implemented as part of data processing</w:t>
      </w:r>
      <w:r w:rsidR="00C27D69">
        <w:rPr>
          <w:rFonts w:ascii="Times New Roman" w:hAnsi="Times New Roman" w:cs="Times New Roman"/>
          <w:bCs/>
          <w:color w:val="0070C0"/>
        </w:rPr>
        <w:t xml:space="preserve"> and completeness requirements</w:t>
      </w:r>
      <w:r w:rsidRPr="009D0416">
        <w:rPr>
          <w:rFonts w:ascii="Times New Roman" w:hAnsi="Times New Roman" w:cs="Times New Roman"/>
          <w:bCs/>
          <w:color w:val="0070C0"/>
        </w:rPr>
        <w:t xml:space="preserve">. </w:t>
      </w:r>
    </w:p>
    <w:p w14:paraId="1CB958C4" w14:textId="77777777" w:rsidR="001E5A26" w:rsidRPr="009D0416" w:rsidRDefault="001E5A26" w:rsidP="00DB3627">
      <w:pPr>
        <w:autoSpaceDE w:val="0"/>
        <w:autoSpaceDN w:val="0"/>
        <w:adjustRightInd w:val="0"/>
        <w:spacing w:after="0" w:line="240" w:lineRule="auto"/>
        <w:rPr>
          <w:rFonts w:ascii="Times New Roman" w:hAnsi="Times New Roman" w:cs="Times New Roman"/>
          <w:bCs/>
        </w:rPr>
      </w:pPr>
    </w:p>
    <w:p w14:paraId="60E43B90" w14:textId="6A20C382" w:rsidR="00AC3295" w:rsidRDefault="00092566" w:rsidP="00092566">
      <w:pPr>
        <w:autoSpaceDE w:val="0"/>
        <w:autoSpaceDN w:val="0"/>
        <w:adjustRightInd w:val="0"/>
        <w:spacing w:after="0" w:line="240" w:lineRule="auto"/>
        <w:rPr>
          <w:rFonts w:cstheme="minorHAnsi"/>
          <w:bCs/>
        </w:rPr>
      </w:pPr>
      <w:r w:rsidRPr="007B0444">
        <w:rPr>
          <w:rFonts w:cstheme="minorHAnsi"/>
          <w:b/>
          <w:bCs/>
        </w:rPr>
        <w:t>2b</w:t>
      </w:r>
      <w:r w:rsidR="009C7513" w:rsidRPr="007B0444">
        <w:rPr>
          <w:rFonts w:cstheme="minorHAnsi"/>
          <w:b/>
          <w:bCs/>
        </w:rPr>
        <w:t>2</w:t>
      </w:r>
      <w:r w:rsidRPr="007B0444">
        <w:rPr>
          <w:rFonts w:cstheme="minorHAnsi"/>
          <w:b/>
          <w:bCs/>
        </w:rPr>
        <w:t>.</w:t>
      </w:r>
      <w:r w:rsidR="00A25024" w:rsidRPr="007B0444">
        <w:rPr>
          <w:rFonts w:cstheme="minorHAnsi"/>
          <w:b/>
          <w:bCs/>
        </w:rPr>
        <w:t xml:space="preserve">2. </w:t>
      </w:r>
      <w:r w:rsidR="00833325" w:rsidRPr="007B0444">
        <w:rPr>
          <w:rFonts w:cstheme="minorHAnsi"/>
          <w:b/>
          <w:bCs/>
        </w:rPr>
        <w:t xml:space="preserve">What were the statistical results </w:t>
      </w:r>
      <w:r w:rsidR="007422FD" w:rsidRPr="007B0444">
        <w:rPr>
          <w:rFonts w:cstheme="minorHAnsi"/>
          <w:b/>
          <w:bCs/>
        </w:rPr>
        <w:t>from testing exclusions</w:t>
      </w:r>
      <w:r w:rsidR="00833325" w:rsidRPr="007B0444">
        <w:rPr>
          <w:rFonts w:cstheme="minorHAnsi"/>
          <w:bCs/>
        </w:rPr>
        <w:t>?</w:t>
      </w:r>
      <w:r w:rsidR="000B2DF7" w:rsidRPr="007B0444">
        <w:rPr>
          <w:rFonts w:cstheme="minorHAnsi"/>
          <w:bCs/>
        </w:rPr>
        <w:t xml:space="preserve"> (</w:t>
      </w:r>
      <w:r w:rsidR="000B2DF7" w:rsidRPr="007B0444">
        <w:rPr>
          <w:rFonts w:cstheme="minorHAnsi"/>
          <w:bCs/>
          <w:i/>
        </w:rPr>
        <w:t xml:space="preserve">include </w:t>
      </w:r>
      <w:r w:rsidR="00356BAD" w:rsidRPr="007B0444">
        <w:rPr>
          <w:rFonts w:cstheme="minorHAnsi"/>
          <w:bCs/>
          <w:i/>
        </w:rPr>
        <w:t xml:space="preserve">overall </w:t>
      </w:r>
      <w:r w:rsidR="000B2DF7" w:rsidRPr="007B0444">
        <w:rPr>
          <w:rFonts w:cstheme="minorHAnsi"/>
          <w:bCs/>
          <w:i/>
        </w:rPr>
        <w:t>number and percentage of individuals excluded</w:t>
      </w:r>
      <w:r w:rsidR="0025762F" w:rsidRPr="007B0444">
        <w:rPr>
          <w:rFonts w:cstheme="minorHAnsi"/>
          <w:bCs/>
          <w:i/>
        </w:rPr>
        <w:t>, frequency distribution of exclusions across measured entities,</w:t>
      </w:r>
      <w:r w:rsidR="000B2DF7" w:rsidRPr="007B0444">
        <w:rPr>
          <w:rFonts w:cstheme="minorHAnsi"/>
          <w:bCs/>
          <w:i/>
        </w:rPr>
        <w:t xml:space="preserve"> and impact on performance measure scores</w:t>
      </w:r>
      <w:r w:rsidR="000B2DF7" w:rsidRPr="007B0444">
        <w:rPr>
          <w:rFonts w:cstheme="minorHAnsi"/>
          <w:bCs/>
        </w:rPr>
        <w:t>)</w:t>
      </w:r>
    </w:p>
    <w:p w14:paraId="5C110CFE" w14:textId="6E3F81D2" w:rsidR="007A573C" w:rsidRPr="009D0416" w:rsidRDefault="00E60138" w:rsidP="007A573C">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
          <w:bCs/>
          <w:color w:val="0070C0"/>
        </w:rPr>
        <w:t xml:space="preserve">Table </w:t>
      </w:r>
      <w:r w:rsidR="00093E8F">
        <w:rPr>
          <w:rFonts w:ascii="Times New Roman" w:hAnsi="Times New Roman" w:cs="Times New Roman"/>
          <w:b/>
          <w:bCs/>
          <w:color w:val="0070C0"/>
        </w:rPr>
        <w:t>8</w:t>
      </w:r>
      <w:r w:rsidRPr="009D0416">
        <w:rPr>
          <w:rFonts w:ascii="Times New Roman" w:hAnsi="Times New Roman" w:cs="Times New Roman"/>
          <w:bCs/>
          <w:color w:val="0070C0"/>
        </w:rPr>
        <w:t xml:space="preserve"> below presents observed </w:t>
      </w:r>
      <w:r w:rsidR="00A6128E" w:rsidRPr="009D0416">
        <w:rPr>
          <w:rFonts w:ascii="Times New Roman" w:hAnsi="Times New Roman" w:cs="Times New Roman"/>
          <w:bCs/>
          <w:color w:val="0070C0"/>
        </w:rPr>
        <w:t xml:space="preserve">annual </w:t>
      </w:r>
      <w:r w:rsidRPr="009D0416">
        <w:rPr>
          <w:rFonts w:ascii="Times New Roman" w:hAnsi="Times New Roman" w:cs="Times New Roman"/>
          <w:bCs/>
          <w:color w:val="0070C0"/>
        </w:rPr>
        <w:t xml:space="preserve">cost statistics </w:t>
      </w:r>
      <w:r w:rsidR="00A6128E" w:rsidRPr="009D0416">
        <w:rPr>
          <w:rFonts w:ascii="Times New Roman" w:hAnsi="Times New Roman" w:cs="Times New Roman"/>
          <w:bCs/>
          <w:color w:val="0070C0"/>
        </w:rPr>
        <w:t>from</w:t>
      </w:r>
      <w:r w:rsidRPr="009D0416">
        <w:rPr>
          <w:rFonts w:ascii="Times New Roman" w:hAnsi="Times New Roman" w:cs="Times New Roman"/>
          <w:bCs/>
          <w:color w:val="0070C0"/>
        </w:rPr>
        <w:t xml:space="preserve"> candidate events for beneficiaries who are excluded from the TPCC measure and from the set of final candidate events for beneficiaries included in the TPCC measure.</w:t>
      </w:r>
      <w:r w:rsidR="005606C8" w:rsidRPr="009D0416">
        <w:rPr>
          <w:rFonts w:ascii="Times New Roman" w:hAnsi="Times New Roman" w:cs="Times New Roman"/>
          <w:bCs/>
          <w:color w:val="0070C0"/>
        </w:rPr>
        <w:t xml:space="preserve"> </w:t>
      </w:r>
      <w:r w:rsidR="00920710" w:rsidRPr="009D0416">
        <w:rPr>
          <w:rFonts w:ascii="Times New Roman" w:hAnsi="Times New Roman" w:cs="Times New Roman"/>
          <w:bCs/>
          <w:color w:val="0070C0"/>
        </w:rPr>
        <w:t>Appendix Table 2b2.2 provides more detailed cost distributions for the excluded populations.</w:t>
      </w:r>
    </w:p>
    <w:p w14:paraId="79025917" w14:textId="77777777" w:rsidR="007A573C" w:rsidRPr="007A573C" w:rsidRDefault="007A573C" w:rsidP="007A573C">
      <w:pPr>
        <w:autoSpaceDE w:val="0"/>
        <w:autoSpaceDN w:val="0"/>
        <w:adjustRightInd w:val="0"/>
        <w:spacing w:after="0" w:line="240" w:lineRule="auto"/>
        <w:rPr>
          <w:rFonts w:cstheme="minorHAnsi"/>
          <w:bCs/>
          <w:color w:val="0070C0"/>
        </w:rPr>
      </w:pPr>
    </w:p>
    <w:p w14:paraId="152C40CC" w14:textId="156440BD" w:rsidR="007A573C" w:rsidRPr="00361530" w:rsidRDefault="007A573C" w:rsidP="0064319B">
      <w:pPr>
        <w:autoSpaceDE w:val="0"/>
        <w:autoSpaceDN w:val="0"/>
        <w:adjustRightInd w:val="0"/>
        <w:spacing w:after="0" w:line="240" w:lineRule="auto"/>
        <w:jc w:val="center"/>
        <w:rPr>
          <w:rFonts w:ascii="Times New Roman" w:hAnsi="Times New Roman" w:cs="Times New Roman"/>
          <w:b/>
          <w:bCs/>
          <w:iCs/>
          <w:color w:val="000000" w:themeColor="text1"/>
        </w:rPr>
      </w:pPr>
      <w:r w:rsidRPr="00361530">
        <w:rPr>
          <w:rFonts w:ascii="Times New Roman" w:hAnsi="Times New Roman" w:cs="Times New Roman"/>
          <w:b/>
          <w:bCs/>
          <w:iCs/>
          <w:color w:val="000000" w:themeColor="text1"/>
        </w:rPr>
        <w:t xml:space="preserve">Table </w:t>
      </w:r>
      <w:r w:rsidR="00093E8F">
        <w:rPr>
          <w:rFonts w:ascii="Times New Roman" w:hAnsi="Times New Roman" w:cs="Times New Roman"/>
          <w:b/>
          <w:bCs/>
          <w:iCs/>
          <w:color w:val="000000" w:themeColor="text1"/>
        </w:rPr>
        <w:t>8</w:t>
      </w:r>
      <w:r w:rsidR="00361530" w:rsidRPr="00361530">
        <w:rPr>
          <w:rFonts w:ascii="Times New Roman" w:hAnsi="Times New Roman" w:cs="Times New Roman"/>
          <w:b/>
          <w:bCs/>
          <w:iCs/>
          <w:color w:val="000000" w:themeColor="text1"/>
        </w:rPr>
        <w:t>.</w:t>
      </w:r>
      <w:r w:rsidRPr="00361530">
        <w:rPr>
          <w:rFonts w:ascii="Times New Roman" w:hAnsi="Times New Roman" w:cs="Times New Roman"/>
          <w:b/>
          <w:bCs/>
          <w:iCs/>
          <w:color w:val="000000" w:themeColor="text1"/>
        </w:rPr>
        <w:t xml:space="preserve"> Cost Statistics for Measure Exclusions</w:t>
      </w:r>
    </w:p>
    <w:tbl>
      <w:tblPr>
        <w:tblStyle w:val="TableGrid"/>
        <w:tblW w:w="7465" w:type="dxa"/>
        <w:jc w:val="center"/>
        <w:tblLayout w:type="fixed"/>
        <w:tblLook w:val="04A0" w:firstRow="1" w:lastRow="0" w:firstColumn="1" w:lastColumn="0" w:noHBand="0" w:noVBand="1"/>
      </w:tblPr>
      <w:tblGrid>
        <w:gridCol w:w="2335"/>
        <w:gridCol w:w="1260"/>
        <w:gridCol w:w="990"/>
        <w:gridCol w:w="990"/>
        <w:gridCol w:w="900"/>
        <w:gridCol w:w="990"/>
      </w:tblGrid>
      <w:tr w:rsidR="00E60138" w:rsidRPr="00361530" w14:paraId="6B327B5D" w14:textId="77777777" w:rsidTr="0064319B">
        <w:trPr>
          <w:jc w:val="center"/>
        </w:trPr>
        <w:tc>
          <w:tcPr>
            <w:tcW w:w="2335" w:type="dxa"/>
            <w:vMerge w:val="restart"/>
            <w:shd w:val="clear" w:color="auto" w:fill="17365D" w:themeFill="text2" w:themeFillShade="BF"/>
            <w:vAlign w:val="center"/>
          </w:tcPr>
          <w:p w14:paraId="5DBE8163"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Exclusion</w:t>
            </w:r>
          </w:p>
        </w:tc>
        <w:tc>
          <w:tcPr>
            <w:tcW w:w="2250" w:type="dxa"/>
            <w:gridSpan w:val="2"/>
            <w:vMerge w:val="restart"/>
            <w:shd w:val="clear" w:color="auto" w:fill="17365D" w:themeFill="text2" w:themeFillShade="BF"/>
            <w:vAlign w:val="center"/>
          </w:tcPr>
          <w:p w14:paraId="7076A467" w14:textId="2540AFA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Beneficiaries</w:t>
            </w:r>
          </w:p>
        </w:tc>
        <w:tc>
          <w:tcPr>
            <w:tcW w:w="2880" w:type="dxa"/>
            <w:gridSpan w:val="3"/>
            <w:shd w:val="clear" w:color="auto" w:fill="17365D" w:themeFill="text2" w:themeFillShade="BF"/>
            <w:vAlign w:val="center"/>
          </w:tcPr>
          <w:p w14:paraId="128E03C6"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Observed Cost</w:t>
            </w:r>
          </w:p>
        </w:tc>
      </w:tr>
      <w:tr w:rsidR="00E60138" w:rsidRPr="00361530" w14:paraId="7E2C42F7" w14:textId="77777777" w:rsidTr="0064319B">
        <w:trPr>
          <w:jc w:val="center"/>
        </w:trPr>
        <w:tc>
          <w:tcPr>
            <w:tcW w:w="2335" w:type="dxa"/>
            <w:vMerge/>
            <w:shd w:val="clear" w:color="auto" w:fill="17365D" w:themeFill="text2" w:themeFillShade="BF"/>
            <w:vAlign w:val="center"/>
          </w:tcPr>
          <w:p w14:paraId="0AB39001"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p>
        </w:tc>
        <w:tc>
          <w:tcPr>
            <w:tcW w:w="2250" w:type="dxa"/>
            <w:gridSpan w:val="2"/>
            <w:vMerge/>
            <w:shd w:val="clear" w:color="auto" w:fill="305496"/>
          </w:tcPr>
          <w:p w14:paraId="25A83B86"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p>
        </w:tc>
        <w:tc>
          <w:tcPr>
            <w:tcW w:w="990" w:type="dxa"/>
            <w:vMerge w:val="restart"/>
            <w:shd w:val="clear" w:color="auto" w:fill="305496"/>
            <w:vAlign w:val="center"/>
          </w:tcPr>
          <w:p w14:paraId="42005042"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Mean</w:t>
            </w:r>
          </w:p>
        </w:tc>
        <w:tc>
          <w:tcPr>
            <w:tcW w:w="1890" w:type="dxa"/>
            <w:gridSpan w:val="2"/>
            <w:shd w:val="clear" w:color="auto" w:fill="305496"/>
            <w:vAlign w:val="center"/>
          </w:tcPr>
          <w:p w14:paraId="2113BFE2"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Percentile</w:t>
            </w:r>
          </w:p>
        </w:tc>
      </w:tr>
      <w:tr w:rsidR="00E60138" w:rsidRPr="00361530" w14:paraId="6E003099" w14:textId="77777777" w:rsidTr="0064319B">
        <w:trPr>
          <w:jc w:val="center"/>
        </w:trPr>
        <w:tc>
          <w:tcPr>
            <w:tcW w:w="2335" w:type="dxa"/>
            <w:vMerge/>
          </w:tcPr>
          <w:p w14:paraId="0311F2D9" w14:textId="77777777" w:rsidR="00E60138" w:rsidRPr="00361530" w:rsidRDefault="00E60138" w:rsidP="004669BD">
            <w:pPr>
              <w:autoSpaceDE w:val="0"/>
              <w:autoSpaceDN w:val="0"/>
              <w:adjustRightInd w:val="0"/>
              <w:jc w:val="center"/>
              <w:rPr>
                <w:rFonts w:ascii="Arial" w:hAnsi="Arial" w:cs="Arial"/>
                <w:bCs/>
                <w:color w:val="FFFFFF" w:themeColor="background1"/>
                <w:sz w:val="20"/>
                <w:szCs w:val="20"/>
              </w:rPr>
            </w:pPr>
          </w:p>
        </w:tc>
        <w:tc>
          <w:tcPr>
            <w:tcW w:w="1260" w:type="dxa"/>
            <w:shd w:val="clear" w:color="auto" w:fill="305496"/>
          </w:tcPr>
          <w:p w14:paraId="629E1EB6"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w:t>
            </w:r>
          </w:p>
        </w:tc>
        <w:tc>
          <w:tcPr>
            <w:tcW w:w="990" w:type="dxa"/>
            <w:shd w:val="clear" w:color="auto" w:fill="305496"/>
          </w:tcPr>
          <w:p w14:paraId="670D0894"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w:t>
            </w:r>
          </w:p>
        </w:tc>
        <w:tc>
          <w:tcPr>
            <w:tcW w:w="990" w:type="dxa"/>
            <w:vMerge/>
            <w:vAlign w:val="center"/>
          </w:tcPr>
          <w:p w14:paraId="7A0F0C26" w14:textId="77777777" w:rsidR="00E60138" w:rsidRPr="00361530" w:rsidRDefault="00E60138" w:rsidP="004669BD">
            <w:pPr>
              <w:autoSpaceDE w:val="0"/>
              <w:autoSpaceDN w:val="0"/>
              <w:adjustRightInd w:val="0"/>
              <w:jc w:val="center"/>
              <w:rPr>
                <w:rFonts w:ascii="Arial" w:hAnsi="Arial" w:cs="Arial"/>
                <w:bCs/>
                <w:color w:val="FFFFFF" w:themeColor="background1"/>
                <w:sz w:val="20"/>
                <w:szCs w:val="20"/>
              </w:rPr>
            </w:pPr>
          </w:p>
        </w:tc>
        <w:tc>
          <w:tcPr>
            <w:tcW w:w="900" w:type="dxa"/>
            <w:shd w:val="clear" w:color="auto" w:fill="00264C"/>
            <w:vAlign w:val="center"/>
          </w:tcPr>
          <w:p w14:paraId="2E520DB5"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10</w:t>
            </w:r>
            <w:r w:rsidRPr="00361530">
              <w:rPr>
                <w:rFonts w:ascii="Arial" w:hAnsi="Arial" w:cs="Arial"/>
                <w:b/>
                <w:bCs/>
                <w:color w:val="FFFFFF" w:themeColor="background1"/>
                <w:sz w:val="20"/>
                <w:szCs w:val="20"/>
                <w:vertAlign w:val="superscript"/>
              </w:rPr>
              <w:t>th</w:t>
            </w:r>
          </w:p>
        </w:tc>
        <w:tc>
          <w:tcPr>
            <w:tcW w:w="990" w:type="dxa"/>
            <w:shd w:val="clear" w:color="auto" w:fill="00264C"/>
            <w:vAlign w:val="center"/>
          </w:tcPr>
          <w:p w14:paraId="1CE4B4FE" w14:textId="77777777" w:rsidR="00E60138" w:rsidRPr="00361530" w:rsidRDefault="00E60138" w:rsidP="004669BD">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90</w:t>
            </w:r>
            <w:r w:rsidRPr="00361530">
              <w:rPr>
                <w:rFonts w:ascii="Arial" w:hAnsi="Arial" w:cs="Arial"/>
                <w:b/>
                <w:bCs/>
                <w:color w:val="FFFFFF" w:themeColor="background1"/>
                <w:sz w:val="20"/>
                <w:szCs w:val="20"/>
                <w:vertAlign w:val="superscript"/>
              </w:rPr>
              <w:t>th</w:t>
            </w:r>
          </w:p>
        </w:tc>
      </w:tr>
      <w:tr w:rsidR="00D70827" w:rsidRPr="00361530" w14:paraId="0FE2A59C" w14:textId="77777777" w:rsidTr="0064319B">
        <w:trPr>
          <w:jc w:val="center"/>
        </w:trPr>
        <w:tc>
          <w:tcPr>
            <w:tcW w:w="2335" w:type="dxa"/>
          </w:tcPr>
          <w:p w14:paraId="185548BB" w14:textId="27EB41F0" w:rsidR="00D70827" w:rsidRPr="00361530" w:rsidRDefault="00D70827" w:rsidP="00D70827">
            <w:pPr>
              <w:autoSpaceDE w:val="0"/>
              <w:autoSpaceDN w:val="0"/>
              <w:adjustRightInd w:val="0"/>
              <w:rPr>
                <w:rFonts w:ascii="Arial" w:hAnsi="Arial" w:cs="Arial"/>
                <w:bCs/>
                <w:color w:val="000000" w:themeColor="text1"/>
                <w:sz w:val="20"/>
                <w:szCs w:val="20"/>
              </w:rPr>
            </w:pPr>
            <w:r w:rsidRPr="00361530">
              <w:rPr>
                <w:rFonts w:ascii="Arial" w:hAnsi="Arial" w:cs="Arial"/>
                <w:bCs/>
                <w:color w:val="000000" w:themeColor="text1"/>
                <w:sz w:val="20"/>
                <w:szCs w:val="20"/>
              </w:rPr>
              <w:t>Not Continuous Enrollment In Medicare Part A and B or Any Enrollment in Part C</w:t>
            </w:r>
          </w:p>
        </w:tc>
        <w:tc>
          <w:tcPr>
            <w:tcW w:w="1260" w:type="dxa"/>
            <w:vAlign w:val="center"/>
          </w:tcPr>
          <w:p w14:paraId="1AD3FE2F" w14:textId="587D5E62"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5,053,189</w:t>
            </w:r>
          </w:p>
        </w:tc>
        <w:tc>
          <w:tcPr>
            <w:tcW w:w="990" w:type="dxa"/>
            <w:vAlign w:val="center"/>
          </w:tcPr>
          <w:p w14:paraId="51CB1928" w14:textId="381233A7"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14.33%</w:t>
            </w:r>
          </w:p>
        </w:tc>
        <w:tc>
          <w:tcPr>
            <w:tcW w:w="990" w:type="dxa"/>
            <w:vAlign w:val="center"/>
          </w:tcPr>
          <w:p w14:paraId="7790E354" w14:textId="1653A319"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$19,030</w:t>
            </w:r>
          </w:p>
        </w:tc>
        <w:tc>
          <w:tcPr>
            <w:tcW w:w="900" w:type="dxa"/>
            <w:vAlign w:val="center"/>
          </w:tcPr>
          <w:p w14:paraId="0C6DF884" w14:textId="648BCBA3"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$461</w:t>
            </w:r>
          </w:p>
        </w:tc>
        <w:tc>
          <w:tcPr>
            <w:tcW w:w="990" w:type="dxa"/>
            <w:vAlign w:val="center"/>
          </w:tcPr>
          <w:p w14:paraId="71E3A21D" w14:textId="7DF07A59"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$52,463</w:t>
            </w:r>
          </w:p>
        </w:tc>
      </w:tr>
      <w:tr w:rsidR="00D70827" w:rsidRPr="00361530" w14:paraId="5E1A95AB" w14:textId="77777777" w:rsidTr="0064319B">
        <w:trPr>
          <w:jc w:val="center"/>
        </w:trPr>
        <w:tc>
          <w:tcPr>
            <w:tcW w:w="2335" w:type="dxa"/>
          </w:tcPr>
          <w:p w14:paraId="04F813EA" w14:textId="733602A3" w:rsidR="00D70827" w:rsidRPr="00361530" w:rsidRDefault="00D70827" w:rsidP="00D70827">
            <w:pPr>
              <w:autoSpaceDE w:val="0"/>
              <w:autoSpaceDN w:val="0"/>
              <w:adjustRightInd w:val="0"/>
              <w:rPr>
                <w:rFonts w:ascii="Arial" w:hAnsi="Arial" w:cs="Arial"/>
                <w:bCs/>
                <w:color w:val="000000" w:themeColor="text1"/>
                <w:sz w:val="20"/>
                <w:szCs w:val="20"/>
              </w:rPr>
            </w:pPr>
            <w:r w:rsidRPr="00361530">
              <w:rPr>
                <w:rFonts w:ascii="Arial" w:hAnsi="Arial" w:cs="Arial"/>
                <w:bCs/>
                <w:color w:val="000000" w:themeColor="text1"/>
                <w:sz w:val="20"/>
                <w:szCs w:val="20"/>
              </w:rPr>
              <w:t>Beneficiary Resides Outside of U.S. or Territories</w:t>
            </w:r>
          </w:p>
        </w:tc>
        <w:tc>
          <w:tcPr>
            <w:tcW w:w="1260" w:type="dxa"/>
            <w:vAlign w:val="center"/>
          </w:tcPr>
          <w:p w14:paraId="3C209B00" w14:textId="44462D6A"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14,879</w:t>
            </w:r>
          </w:p>
        </w:tc>
        <w:tc>
          <w:tcPr>
            <w:tcW w:w="990" w:type="dxa"/>
            <w:vAlign w:val="center"/>
          </w:tcPr>
          <w:p w14:paraId="49E7222C" w14:textId="3773F59B"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0.04%</w:t>
            </w:r>
          </w:p>
        </w:tc>
        <w:tc>
          <w:tcPr>
            <w:tcW w:w="990" w:type="dxa"/>
            <w:vAlign w:val="center"/>
          </w:tcPr>
          <w:p w14:paraId="4316BD4A" w14:textId="425A2CC1"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$11,123</w:t>
            </w:r>
          </w:p>
        </w:tc>
        <w:tc>
          <w:tcPr>
            <w:tcW w:w="900" w:type="dxa"/>
            <w:vAlign w:val="center"/>
          </w:tcPr>
          <w:p w14:paraId="5A68886A" w14:textId="1FBBCB1C"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$253</w:t>
            </w:r>
          </w:p>
        </w:tc>
        <w:tc>
          <w:tcPr>
            <w:tcW w:w="990" w:type="dxa"/>
            <w:vAlign w:val="center"/>
          </w:tcPr>
          <w:p w14:paraId="77461DC0" w14:textId="4B1F668F"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$31,305</w:t>
            </w:r>
          </w:p>
        </w:tc>
      </w:tr>
      <w:tr w:rsidR="00D70827" w:rsidRPr="00361530" w14:paraId="3E19B4BA" w14:textId="77777777" w:rsidTr="0064319B">
        <w:trPr>
          <w:jc w:val="center"/>
        </w:trPr>
        <w:tc>
          <w:tcPr>
            <w:tcW w:w="2335" w:type="dxa"/>
          </w:tcPr>
          <w:p w14:paraId="3CEC981D" w14:textId="4E9CA9EF" w:rsidR="00D70827" w:rsidRPr="00361530" w:rsidRDefault="00D70827" w:rsidP="00D70827">
            <w:pPr>
              <w:autoSpaceDE w:val="0"/>
              <w:autoSpaceDN w:val="0"/>
              <w:adjustRightInd w:val="0"/>
              <w:rPr>
                <w:rFonts w:ascii="Arial" w:hAnsi="Arial" w:cs="Arial"/>
                <w:bCs/>
                <w:color w:val="000000" w:themeColor="text1"/>
                <w:sz w:val="20"/>
                <w:szCs w:val="20"/>
              </w:rPr>
            </w:pPr>
            <w:r w:rsidRPr="00361530">
              <w:rPr>
                <w:rFonts w:ascii="Arial" w:hAnsi="Arial" w:cs="Arial"/>
                <w:bCs/>
                <w:color w:val="000000" w:themeColor="text1"/>
                <w:sz w:val="20"/>
                <w:szCs w:val="20"/>
              </w:rPr>
              <w:t>Beneficiary Enrollment in Medicare for Railroad Workers and their Families</w:t>
            </w:r>
          </w:p>
        </w:tc>
        <w:tc>
          <w:tcPr>
            <w:tcW w:w="1260" w:type="dxa"/>
            <w:vAlign w:val="center"/>
          </w:tcPr>
          <w:p w14:paraId="5B9465F4" w14:textId="2B21081C"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326,588</w:t>
            </w:r>
          </w:p>
        </w:tc>
        <w:tc>
          <w:tcPr>
            <w:tcW w:w="990" w:type="dxa"/>
            <w:vAlign w:val="center"/>
          </w:tcPr>
          <w:p w14:paraId="67181E2D" w14:textId="2BCD5794"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0.93%</w:t>
            </w:r>
          </w:p>
        </w:tc>
        <w:tc>
          <w:tcPr>
            <w:tcW w:w="990" w:type="dxa"/>
            <w:vAlign w:val="center"/>
          </w:tcPr>
          <w:p w14:paraId="234A8AB4" w14:textId="0FA3EE43"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$17,585</w:t>
            </w:r>
          </w:p>
        </w:tc>
        <w:tc>
          <w:tcPr>
            <w:tcW w:w="900" w:type="dxa"/>
            <w:vAlign w:val="center"/>
          </w:tcPr>
          <w:p w14:paraId="7DB7D382" w14:textId="76FCE172"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$952</w:t>
            </w:r>
          </w:p>
        </w:tc>
        <w:tc>
          <w:tcPr>
            <w:tcW w:w="990" w:type="dxa"/>
            <w:vAlign w:val="center"/>
          </w:tcPr>
          <w:p w14:paraId="103A244E" w14:textId="5012A415"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$48,245</w:t>
            </w:r>
          </w:p>
        </w:tc>
      </w:tr>
      <w:tr w:rsidR="00D70827" w:rsidRPr="00361530" w14:paraId="7B9AA622" w14:textId="77777777" w:rsidTr="0064319B">
        <w:trPr>
          <w:jc w:val="center"/>
        </w:trPr>
        <w:tc>
          <w:tcPr>
            <w:tcW w:w="2335" w:type="dxa"/>
          </w:tcPr>
          <w:p w14:paraId="7B372580" w14:textId="1C8743A9" w:rsidR="00D70827" w:rsidRPr="00361530" w:rsidRDefault="00D70827" w:rsidP="00D70827">
            <w:pPr>
              <w:autoSpaceDE w:val="0"/>
              <w:autoSpaceDN w:val="0"/>
              <w:adjustRightInd w:val="0"/>
              <w:rPr>
                <w:rFonts w:ascii="Arial" w:hAnsi="Arial" w:cs="Arial"/>
                <w:bCs/>
                <w:color w:val="000000" w:themeColor="text1"/>
                <w:sz w:val="20"/>
                <w:szCs w:val="20"/>
              </w:rPr>
            </w:pPr>
            <w:r w:rsidRPr="00361530">
              <w:rPr>
                <w:rFonts w:ascii="Arial" w:hAnsi="Arial" w:cs="Arial"/>
                <w:bCs/>
                <w:color w:val="000000" w:themeColor="text1"/>
                <w:sz w:val="20"/>
                <w:szCs w:val="20"/>
              </w:rPr>
              <w:t>Remaining Candidate Events after Beneficiary-level Exclusions</w:t>
            </w:r>
          </w:p>
        </w:tc>
        <w:tc>
          <w:tcPr>
            <w:tcW w:w="1260" w:type="dxa"/>
            <w:vAlign w:val="center"/>
          </w:tcPr>
          <w:p w14:paraId="0DA688DA" w14:textId="32253365"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29,921,474</w:t>
            </w:r>
          </w:p>
        </w:tc>
        <w:tc>
          <w:tcPr>
            <w:tcW w:w="990" w:type="dxa"/>
            <w:vAlign w:val="center"/>
          </w:tcPr>
          <w:p w14:paraId="48DCD5A8" w14:textId="7A7F38E4"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84.86%</w:t>
            </w:r>
          </w:p>
        </w:tc>
        <w:tc>
          <w:tcPr>
            <w:tcW w:w="990" w:type="dxa"/>
            <w:vAlign w:val="center"/>
          </w:tcPr>
          <w:p w14:paraId="5AFD6C4A" w14:textId="5D15A3EE"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$18,345</w:t>
            </w:r>
          </w:p>
        </w:tc>
        <w:tc>
          <w:tcPr>
            <w:tcW w:w="900" w:type="dxa"/>
            <w:vAlign w:val="center"/>
          </w:tcPr>
          <w:p w14:paraId="4730400E" w14:textId="6B2A3104"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$1,065</w:t>
            </w:r>
          </w:p>
        </w:tc>
        <w:tc>
          <w:tcPr>
            <w:tcW w:w="990" w:type="dxa"/>
            <w:vAlign w:val="center"/>
          </w:tcPr>
          <w:p w14:paraId="21162584" w14:textId="4D5F95B0" w:rsidR="00D70827" w:rsidRPr="00361530" w:rsidRDefault="00D70827" w:rsidP="00D70827">
            <w:pPr>
              <w:autoSpaceDE w:val="0"/>
              <w:autoSpaceDN w:val="0"/>
              <w:adjustRightInd w:val="0"/>
              <w:jc w:val="right"/>
              <w:rPr>
                <w:rFonts w:ascii="Arial" w:hAnsi="Arial" w:cs="Arial"/>
                <w:bCs/>
                <w:color w:val="000000" w:themeColor="text1"/>
                <w:sz w:val="20"/>
                <w:szCs w:val="20"/>
                <w:highlight w:val="yellow"/>
              </w:rPr>
            </w:pPr>
            <w:r w:rsidRPr="00361530">
              <w:rPr>
                <w:rFonts w:ascii="Arial" w:hAnsi="Arial" w:cs="Arial"/>
                <w:color w:val="000000"/>
                <w:sz w:val="20"/>
                <w:szCs w:val="20"/>
              </w:rPr>
              <w:t>$49,655</w:t>
            </w:r>
          </w:p>
        </w:tc>
      </w:tr>
    </w:tbl>
    <w:p w14:paraId="2918896C" w14:textId="77777777" w:rsidR="007A573C" w:rsidRPr="007A573C" w:rsidRDefault="007A573C" w:rsidP="007A573C">
      <w:pPr>
        <w:autoSpaceDE w:val="0"/>
        <w:autoSpaceDN w:val="0"/>
        <w:adjustRightInd w:val="0"/>
        <w:spacing w:after="0" w:line="240" w:lineRule="auto"/>
        <w:rPr>
          <w:rFonts w:cstheme="minorHAnsi"/>
          <w:bCs/>
          <w:color w:val="0070C0"/>
        </w:rPr>
      </w:pPr>
      <w:r w:rsidRPr="007A573C">
        <w:rPr>
          <w:rFonts w:cstheme="minorHAnsi"/>
          <w:bCs/>
          <w:color w:val="0070C0"/>
        </w:rPr>
        <w:t xml:space="preserve"> </w:t>
      </w:r>
    </w:p>
    <w:p w14:paraId="0CABCFE7" w14:textId="77777777" w:rsidR="00092566" w:rsidRPr="007B0444" w:rsidRDefault="00092566" w:rsidP="00092566">
      <w:pPr>
        <w:autoSpaceDE w:val="0"/>
        <w:autoSpaceDN w:val="0"/>
        <w:adjustRightInd w:val="0"/>
        <w:spacing w:after="0" w:line="240" w:lineRule="auto"/>
        <w:rPr>
          <w:rFonts w:cstheme="minorHAnsi"/>
          <w:bCs/>
          <w:sz w:val="12"/>
        </w:rPr>
      </w:pPr>
    </w:p>
    <w:p w14:paraId="2AEDA7F9" w14:textId="4CFB09EC" w:rsidR="00E60138" w:rsidRPr="009D0416" w:rsidRDefault="00092566" w:rsidP="00774B36">
      <w:pPr>
        <w:autoSpaceDE w:val="0"/>
        <w:autoSpaceDN w:val="0"/>
        <w:adjustRightInd w:val="0"/>
        <w:spacing w:after="0" w:line="240" w:lineRule="auto"/>
        <w:rPr>
          <w:rFonts w:ascii="Times New Roman" w:hAnsi="Times New Roman" w:cs="Times New Roman"/>
          <w:bCs/>
          <w:color w:val="0070C0"/>
        </w:rPr>
      </w:pPr>
      <w:r w:rsidRPr="007B0444">
        <w:rPr>
          <w:rFonts w:cstheme="minorHAnsi"/>
          <w:b/>
          <w:bCs/>
        </w:rPr>
        <w:lastRenderedPageBreak/>
        <w:t>2b</w:t>
      </w:r>
      <w:r w:rsidR="009C7513" w:rsidRPr="007B0444">
        <w:rPr>
          <w:rFonts w:cstheme="minorHAnsi"/>
          <w:b/>
          <w:bCs/>
        </w:rPr>
        <w:t>2</w:t>
      </w:r>
      <w:r w:rsidRPr="007B0444">
        <w:rPr>
          <w:rFonts w:cstheme="minorHAnsi"/>
          <w:b/>
          <w:bCs/>
        </w:rPr>
        <w:t>.</w:t>
      </w:r>
      <w:r w:rsidR="00A25024" w:rsidRPr="007B0444">
        <w:rPr>
          <w:rFonts w:cstheme="minorHAnsi"/>
          <w:b/>
          <w:bCs/>
        </w:rPr>
        <w:t xml:space="preserve">3. </w:t>
      </w:r>
      <w:r w:rsidR="000B2DF7" w:rsidRPr="007B0444">
        <w:rPr>
          <w:rFonts w:cstheme="minorHAnsi"/>
          <w:b/>
          <w:bCs/>
        </w:rPr>
        <w:t xml:space="preserve">What is your interpretation of the results </w:t>
      </w:r>
      <w:r w:rsidR="007422FD" w:rsidRPr="007B0444">
        <w:rPr>
          <w:rFonts w:cstheme="minorHAnsi"/>
          <w:b/>
          <w:bCs/>
        </w:rPr>
        <w:t xml:space="preserve">in terms of </w:t>
      </w:r>
      <w:r w:rsidR="00713394" w:rsidRPr="007B0444">
        <w:rPr>
          <w:rFonts w:cstheme="minorHAnsi"/>
          <w:b/>
          <w:bCs/>
        </w:rPr>
        <w:t>demonstrating</w:t>
      </w:r>
      <w:r w:rsidR="007422FD" w:rsidRPr="007B0444">
        <w:rPr>
          <w:rFonts w:cstheme="minorHAnsi"/>
          <w:b/>
          <w:bCs/>
        </w:rPr>
        <w:t xml:space="preserve"> </w:t>
      </w:r>
      <w:r w:rsidR="00713394" w:rsidRPr="007B0444">
        <w:rPr>
          <w:rFonts w:cstheme="minorHAnsi"/>
          <w:b/>
          <w:bCs/>
        </w:rPr>
        <w:t>that exclusions are needed to prevent unfair distortion of performance results</w:t>
      </w:r>
      <w:r w:rsidR="007422FD" w:rsidRPr="007B0444">
        <w:rPr>
          <w:rFonts w:cstheme="minorHAnsi"/>
          <w:b/>
          <w:bCs/>
        </w:rPr>
        <w:t>?</w:t>
      </w:r>
      <w:r w:rsidR="007422FD" w:rsidRPr="007B0444">
        <w:rPr>
          <w:rFonts w:cstheme="minorHAnsi"/>
          <w:bCs/>
        </w:rPr>
        <w:t xml:space="preserve"> </w:t>
      </w:r>
      <w:r w:rsidR="000B2DF7" w:rsidRPr="007B0444">
        <w:rPr>
          <w:rFonts w:cstheme="minorHAnsi"/>
          <w:bCs/>
        </w:rPr>
        <w:t>(</w:t>
      </w:r>
      <w:r w:rsidR="00713394" w:rsidRPr="007B0444">
        <w:rPr>
          <w:rFonts w:cstheme="minorHAnsi"/>
          <w:bCs/>
          <w:i/>
        </w:rPr>
        <w:t>i.e.,</w:t>
      </w:r>
      <w:r w:rsidR="000B2DF7" w:rsidRPr="007B0444">
        <w:rPr>
          <w:rFonts w:cstheme="minorHAnsi"/>
          <w:bCs/>
          <w:i/>
        </w:rPr>
        <w:t xml:space="preserve"> the value </w:t>
      </w:r>
      <w:r w:rsidR="00713394" w:rsidRPr="007B0444">
        <w:rPr>
          <w:rFonts w:cstheme="minorHAnsi"/>
          <w:bCs/>
          <w:i/>
        </w:rPr>
        <w:t>outweighs the</w:t>
      </w:r>
      <w:r w:rsidR="000B2DF7" w:rsidRPr="007B0444">
        <w:rPr>
          <w:rFonts w:cstheme="minorHAnsi"/>
          <w:bCs/>
          <w:i/>
        </w:rPr>
        <w:t xml:space="preserve"> burden of increased data collection and analysi</w:t>
      </w:r>
      <w:r w:rsidR="00CC086A" w:rsidRPr="007B0444">
        <w:rPr>
          <w:rFonts w:cstheme="minorHAnsi"/>
          <w:bCs/>
          <w:i/>
        </w:rPr>
        <w:t>s</w:t>
      </w:r>
      <w:r w:rsidR="00781267" w:rsidRPr="007B0444">
        <w:rPr>
          <w:rFonts w:cstheme="minorHAnsi"/>
          <w:bCs/>
          <w:i/>
        </w:rPr>
        <w:t xml:space="preserve">. </w:t>
      </w:r>
      <w:r w:rsidR="00713394" w:rsidRPr="007B0444">
        <w:rPr>
          <w:rFonts w:cstheme="minorHAnsi"/>
          <w:bCs/>
          <w:i/>
          <w:u w:val="single"/>
        </w:rPr>
        <w:t>Note</w:t>
      </w:r>
      <w:r w:rsidR="00713394" w:rsidRPr="007B0444">
        <w:rPr>
          <w:rFonts w:cstheme="minorHAnsi"/>
          <w:bCs/>
          <w:i/>
        </w:rPr>
        <w:t xml:space="preserve">: </w:t>
      </w:r>
      <w:r w:rsidR="00713394" w:rsidRPr="007B0444">
        <w:rPr>
          <w:rFonts w:cstheme="minorHAnsi"/>
          <w:b/>
          <w:bCs/>
          <w:i/>
        </w:rPr>
        <w:t>If patient preference is an exclusion</w:t>
      </w:r>
      <w:r w:rsidR="00713394" w:rsidRPr="007B0444">
        <w:rPr>
          <w:rFonts w:cstheme="minorHAnsi"/>
          <w:bCs/>
          <w:i/>
        </w:rPr>
        <w:t>, the measure must be specified so that the effect on the performance score is transparent, e.g., scores with and without exclusion</w:t>
      </w:r>
      <w:r w:rsidR="00713394" w:rsidRPr="007B0444">
        <w:rPr>
          <w:rFonts w:cstheme="minorHAnsi"/>
          <w:bCs/>
        </w:rPr>
        <w:t>)</w:t>
      </w:r>
      <w:r w:rsidR="007422FD" w:rsidRPr="007B0444">
        <w:rPr>
          <w:rFonts w:cstheme="minorHAnsi"/>
          <w:bCs/>
        </w:rPr>
        <w:br/>
      </w:r>
      <w:r w:rsidR="00E60138" w:rsidRPr="009D0416">
        <w:rPr>
          <w:rFonts w:ascii="Times New Roman" w:hAnsi="Times New Roman" w:cs="Times New Roman"/>
          <w:bCs/>
          <w:color w:val="0070C0"/>
        </w:rPr>
        <w:t xml:space="preserve">The mean observed cost of candidate events for beneficiaries without continuous enrollment in Medicare Parts A and B is slightly </w:t>
      </w:r>
      <w:r w:rsidR="0064319B" w:rsidRPr="009D0416">
        <w:rPr>
          <w:rFonts w:ascii="Times New Roman" w:hAnsi="Times New Roman" w:cs="Times New Roman"/>
          <w:bCs/>
          <w:color w:val="0070C0"/>
        </w:rPr>
        <w:t>higher</w:t>
      </w:r>
      <w:r w:rsidR="00E60138" w:rsidRPr="009D0416">
        <w:rPr>
          <w:rFonts w:ascii="Times New Roman" w:hAnsi="Times New Roman" w:cs="Times New Roman"/>
          <w:bCs/>
          <w:color w:val="0070C0"/>
        </w:rPr>
        <w:t xml:space="preserve"> compared to the mean observed cost for final candidate events. </w:t>
      </w:r>
      <w:r w:rsidR="0064319B" w:rsidRPr="009D0416">
        <w:rPr>
          <w:rFonts w:ascii="Times New Roman" w:hAnsi="Times New Roman" w:cs="Times New Roman"/>
          <w:bCs/>
          <w:color w:val="0070C0"/>
        </w:rPr>
        <w:t xml:space="preserve">Though at the </w:t>
      </w:r>
      <w:r w:rsidR="00E60138" w:rsidRPr="009D0416">
        <w:rPr>
          <w:rFonts w:ascii="Times New Roman" w:hAnsi="Times New Roman" w:cs="Times New Roman"/>
          <w:bCs/>
          <w:color w:val="0070C0"/>
        </w:rPr>
        <w:t>10th percentile</w:t>
      </w:r>
      <w:r w:rsidR="0064319B" w:rsidRPr="009D0416">
        <w:rPr>
          <w:rFonts w:ascii="Times New Roman" w:hAnsi="Times New Roman" w:cs="Times New Roman"/>
          <w:bCs/>
          <w:color w:val="0070C0"/>
        </w:rPr>
        <w:t xml:space="preserve"> of the distribution</w:t>
      </w:r>
      <w:r w:rsidR="004A1351" w:rsidRPr="009D0416">
        <w:rPr>
          <w:rFonts w:ascii="Times New Roman" w:hAnsi="Times New Roman" w:cs="Times New Roman"/>
          <w:bCs/>
          <w:color w:val="0070C0"/>
        </w:rPr>
        <w:t xml:space="preserve"> of</w:t>
      </w:r>
      <w:r w:rsidR="0064319B" w:rsidRPr="009D0416">
        <w:rPr>
          <w:rFonts w:ascii="Times New Roman" w:hAnsi="Times New Roman" w:cs="Times New Roman"/>
          <w:bCs/>
          <w:color w:val="0070C0"/>
        </w:rPr>
        <w:t xml:space="preserve"> the excluded beneficiaries have much lower annual spending than compared to the final population of beneficiaries</w:t>
      </w:r>
      <w:r w:rsidR="00E60138" w:rsidRPr="009D0416">
        <w:rPr>
          <w:rFonts w:ascii="Times New Roman" w:hAnsi="Times New Roman" w:cs="Times New Roman"/>
          <w:bCs/>
          <w:color w:val="0070C0"/>
        </w:rPr>
        <w:t xml:space="preserve">. These results indicate that including these beneficiaries observed </w:t>
      </w:r>
      <w:r w:rsidR="004A1351" w:rsidRPr="009D0416">
        <w:rPr>
          <w:rFonts w:ascii="Times New Roman" w:hAnsi="Times New Roman" w:cs="Times New Roman"/>
          <w:bCs/>
          <w:color w:val="0070C0"/>
        </w:rPr>
        <w:t xml:space="preserve">annual </w:t>
      </w:r>
      <w:r w:rsidR="00E60138" w:rsidRPr="009D0416">
        <w:rPr>
          <w:rFonts w:ascii="Times New Roman" w:hAnsi="Times New Roman" w:cs="Times New Roman"/>
          <w:bCs/>
          <w:color w:val="0070C0"/>
        </w:rPr>
        <w:t xml:space="preserve">cost </w:t>
      </w:r>
      <w:r w:rsidR="004A1351" w:rsidRPr="009D0416">
        <w:rPr>
          <w:rFonts w:ascii="Times New Roman" w:hAnsi="Times New Roman" w:cs="Times New Roman"/>
          <w:bCs/>
          <w:color w:val="0070C0"/>
        </w:rPr>
        <w:t>cannot be fairly compared to continuously enrolled Part A and B beneficiaries</w:t>
      </w:r>
      <w:r w:rsidR="00E60138" w:rsidRPr="009D0416">
        <w:rPr>
          <w:rFonts w:ascii="Times New Roman" w:hAnsi="Times New Roman" w:cs="Times New Roman"/>
          <w:bCs/>
          <w:color w:val="0070C0"/>
        </w:rPr>
        <w:t xml:space="preserve">. </w:t>
      </w:r>
      <w:r w:rsidR="004A1351" w:rsidRPr="009D0416">
        <w:rPr>
          <w:rFonts w:ascii="Times New Roman" w:hAnsi="Times New Roman" w:cs="Times New Roman"/>
          <w:bCs/>
          <w:color w:val="0070C0"/>
        </w:rPr>
        <w:t>Additionally</w:t>
      </w:r>
      <w:r w:rsidR="00E60138" w:rsidRPr="009D0416">
        <w:rPr>
          <w:rFonts w:ascii="Times New Roman" w:hAnsi="Times New Roman" w:cs="Times New Roman"/>
          <w:bCs/>
          <w:color w:val="0070C0"/>
        </w:rPr>
        <w:t xml:space="preserve">, implementing </w:t>
      </w:r>
      <w:r w:rsidR="004A1351" w:rsidRPr="009D0416">
        <w:rPr>
          <w:rFonts w:ascii="Times New Roman" w:hAnsi="Times New Roman" w:cs="Times New Roman"/>
          <w:bCs/>
          <w:color w:val="0070C0"/>
        </w:rPr>
        <w:t xml:space="preserve">this exclusion </w:t>
      </w:r>
      <w:r w:rsidR="00E60138" w:rsidRPr="009D0416">
        <w:rPr>
          <w:rFonts w:ascii="Times New Roman" w:hAnsi="Times New Roman" w:cs="Times New Roman"/>
          <w:bCs/>
          <w:color w:val="0070C0"/>
        </w:rPr>
        <w:t xml:space="preserve">mitigates the extent to which gaps in a beneficiary’s claims history can adversely affect the determination of risk factors for risk adjustment. For example, certain conditions that arise and should be reflected in the risk adjustment model may not be observed in the available claims data due to gaps in the beneficiary’s Part A and B claims history.  </w:t>
      </w:r>
    </w:p>
    <w:p w14:paraId="442C80A2" w14:textId="77777777" w:rsidR="00E60138" w:rsidRPr="009D0416" w:rsidRDefault="00E60138" w:rsidP="00774B36">
      <w:pPr>
        <w:autoSpaceDE w:val="0"/>
        <w:autoSpaceDN w:val="0"/>
        <w:adjustRightInd w:val="0"/>
        <w:spacing w:after="0" w:line="240" w:lineRule="auto"/>
        <w:rPr>
          <w:rFonts w:ascii="Times New Roman" w:hAnsi="Times New Roman" w:cs="Times New Roman"/>
          <w:bCs/>
          <w:color w:val="0070C0"/>
        </w:rPr>
      </w:pPr>
    </w:p>
    <w:p w14:paraId="21716813" w14:textId="6131B682" w:rsidR="00E60138" w:rsidRPr="009D0416" w:rsidRDefault="00E60138" w:rsidP="00774B36">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Cases where the beneficiary resides outside the United States or its territories during the measurement period are associated with even lower costs. This difference from the final candidate events is pronounced at both </w:t>
      </w:r>
      <w:r w:rsidR="00DC0243" w:rsidRPr="009D0416">
        <w:rPr>
          <w:rFonts w:ascii="Times New Roman" w:hAnsi="Times New Roman" w:cs="Times New Roman"/>
          <w:bCs/>
          <w:color w:val="0070C0"/>
        </w:rPr>
        <w:t>ends</w:t>
      </w:r>
      <w:r w:rsidRPr="009D0416">
        <w:rPr>
          <w:rFonts w:ascii="Times New Roman" w:hAnsi="Times New Roman" w:cs="Times New Roman"/>
          <w:bCs/>
          <w:color w:val="0070C0"/>
        </w:rPr>
        <w:t xml:space="preserve"> of the distribution. This could be due to </w:t>
      </w:r>
      <w:r w:rsidR="00DC0243" w:rsidRPr="009D0416">
        <w:rPr>
          <w:rFonts w:ascii="Times New Roman" w:hAnsi="Times New Roman" w:cs="Times New Roman"/>
          <w:bCs/>
          <w:color w:val="0070C0"/>
        </w:rPr>
        <w:t>different</w:t>
      </w:r>
      <w:r w:rsidRPr="009D0416">
        <w:rPr>
          <w:rFonts w:ascii="Times New Roman" w:hAnsi="Times New Roman" w:cs="Times New Roman"/>
          <w:bCs/>
          <w:color w:val="0070C0"/>
        </w:rPr>
        <w:t xml:space="preserve"> care </w:t>
      </w:r>
      <w:r w:rsidR="008B099E">
        <w:rPr>
          <w:rFonts w:ascii="Times New Roman" w:hAnsi="Times New Roman" w:cs="Times New Roman"/>
          <w:bCs/>
          <w:color w:val="0070C0"/>
        </w:rPr>
        <w:t xml:space="preserve">systems and reimbursement policies </w:t>
      </w:r>
      <w:r w:rsidRPr="009D0416">
        <w:rPr>
          <w:rFonts w:ascii="Times New Roman" w:hAnsi="Times New Roman" w:cs="Times New Roman"/>
          <w:bCs/>
          <w:color w:val="0070C0"/>
        </w:rPr>
        <w:t xml:space="preserve">outside of the U.S. and its territories. Exclusion of these beneficiaries is therefore </w:t>
      </w:r>
      <w:r w:rsidR="008B099E">
        <w:rPr>
          <w:rFonts w:ascii="Times New Roman" w:hAnsi="Times New Roman" w:cs="Times New Roman"/>
          <w:bCs/>
          <w:color w:val="0070C0"/>
        </w:rPr>
        <w:t>appropriate to ensure that we have complete claims data</w:t>
      </w:r>
      <w:r w:rsidRPr="009D0416">
        <w:rPr>
          <w:rFonts w:ascii="Times New Roman" w:hAnsi="Times New Roman" w:cs="Times New Roman"/>
          <w:bCs/>
          <w:color w:val="0070C0"/>
        </w:rPr>
        <w:t xml:space="preserve">. </w:t>
      </w:r>
    </w:p>
    <w:p w14:paraId="6EE91971" w14:textId="77777777" w:rsidR="00E60138" w:rsidRPr="009D0416" w:rsidRDefault="00E60138" w:rsidP="00774B36">
      <w:pPr>
        <w:autoSpaceDE w:val="0"/>
        <w:autoSpaceDN w:val="0"/>
        <w:adjustRightInd w:val="0"/>
        <w:spacing w:after="0" w:line="240" w:lineRule="auto"/>
        <w:rPr>
          <w:rFonts w:ascii="Times New Roman" w:hAnsi="Times New Roman" w:cs="Times New Roman"/>
          <w:bCs/>
          <w:color w:val="0070C0"/>
        </w:rPr>
      </w:pPr>
    </w:p>
    <w:p w14:paraId="37C67018" w14:textId="4BC037F3" w:rsidR="001761BF" w:rsidRPr="007B0444" w:rsidRDefault="00E60138" w:rsidP="00997E2B">
      <w:pPr>
        <w:autoSpaceDE w:val="0"/>
        <w:autoSpaceDN w:val="0"/>
        <w:adjustRightInd w:val="0"/>
        <w:spacing w:after="0" w:line="240" w:lineRule="auto"/>
        <w:rPr>
          <w:rFonts w:cstheme="minorHAnsi"/>
          <w:bCs/>
        </w:rPr>
      </w:pPr>
      <w:r w:rsidRPr="009D0416">
        <w:rPr>
          <w:rFonts w:ascii="Times New Roman" w:hAnsi="Times New Roman" w:cs="Times New Roman"/>
          <w:bCs/>
          <w:color w:val="0070C0"/>
        </w:rPr>
        <w:t>Beneficiaries that receive benefits from the RRB also have slightly lower mean cost compared to final candidate events after the exclusions are applied. While costs for candidate events for these beneficiaries do not substantially differ from the final set of candidate events, their Medicare claims history might have gaps in cases where their services are paid for by the RRB.</w:t>
      </w:r>
    </w:p>
    <w:p w14:paraId="0CABCFE9" w14:textId="77777777" w:rsidR="001202E9" w:rsidRPr="007B0444" w:rsidRDefault="0086464B" w:rsidP="00DB3627">
      <w:pPr>
        <w:autoSpaceDE w:val="0"/>
        <w:autoSpaceDN w:val="0"/>
        <w:adjustRightInd w:val="0"/>
        <w:spacing w:after="0" w:line="240" w:lineRule="auto"/>
        <w:rPr>
          <w:rFonts w:cstheme="minorHAnsi"/>
          <w:bCs/>
        </w:rPr>
      </w:pPr>
      <w:r w:rsidRPr="007B0444">
        <w:rPr>
          <w:rFonts w:cstheme="minorHAnsi"/>
          <w:bCs/>
        </w:rPr>
        <w:t>____________________________</w:t>
      </w:r>
    </w:p>
    <w:p w14:paraId="0CABCFEA" w14:textId="1A6C3041" w:rsidR="00AC1D8E" w:rsidRPr="007B0444" w:rsidRDefault="00092566" w:rsidP="00AC1D8E">
      <w:pPr>
        <w:autoSpaceDE w:val="0"/>
        <w:autoSpaceDN w:val="0"/>
        <w:adjustRightInd w:val="0"/>
        <w:spacing w:after="0" w:line="240" w:lineRule="auto"/>
        <w:rPr>
          <w:rFonts w:cstheme="minorHAnsi"/>
          <w:b/>
          <w:bCs/>
          <w:i/>
        </w:rPr>
      </w:pPr>
      <w:bookmarkStart w:id="0" w:name="section2b4"/>
      <w:bookmarkEnd w:id="0"/>
      <w:r w:rsidRPr="007B0444">
        <w:rPr>
          <w:rFonts w:cstheme="minorHAnsi"/>
          <w:b/>
          <w:bCs/>
        </w:rPr>
        <w:t>2b</w:t>
      </w:r>
      <w:r w:rsidR="009C7513" w:rsidRPr="007B0444">
        <w:rPr>
          <w:rFonts w:cstheme="minorHAnsi"/>
          <w:b/>
          <w:bCs/>
        </w:rPr>
        <w:t>3</w:t>
      </w:r>
      <w:r w:rsidRPr="007B0444">
        <w:rPr>
          <w:rFonts w:cstheme="minorHAnsi"/>
          <w:b/>
          <w:bCs/>
        </w:rPr>
        <w:t>. RISK ADJUSTMENT/STRATIFICATION FOR OUTCOME OR RESOURCE USE MEASURES</w:t>
      </w:r>
      <w:r w:rsidRPr="007B0444">
        <w:rPr>
          <w:rFonts w:cstheme="minorHAnsi"/>
          <w:bCs/>
        </w:rPr>
        <w:br/>
      </w:r>
      <w:r w:rsidR="00AC1D8E" w:rsidRPr="007B0444">
        <w:rPr>
          <w:rFonts w:cstheme="minorHAnsi"/>
          <w:b/>
          <w:bCs/>
          <w:i/>
        </w:rPr>
        <w:t>If not an intermediate or health outcome</w:t>
      </w:r>
      <w:r w:rsidR="00127C06" w:rsidRPr="007B0444">
        <w:rPr>
          <w:rFonts w:cstheme="minorHAnsi"/>
          <w:b/>
          <w:bCs/>
          <w:i/>
        </w:rPr>
        <w:t>,</w:t>
      </w:r>
      <w:r w:rsidR="00AC1D8E" w:rsidRPr="007B0444">
        <w:rPr>
          <w:rFonts w:cstheme="minorHAnsi"/>
          <w:b/>
          <w:bCs/>
          <w:i/>
        </w:rPr>
        <w:t xml:space="preserve"> </w:t>
      </w:r>
      <w:r w:rsidR="00127C06" w:rsidRPr="007B0444">
        <w:rPr>
          <w:rFonts w:cstheme="minorHAnsi"/>
          <w:b/>
          <w:bCs/>
          <w:i/>
        </w:rPr>
        <w:t xml:space="preserve">or PRO-PM, </w:t>
      </w:r>
      <w:r w:rsidR="00AC1D8E" w:rsidRPr="007B0444">
        <w:rPr>
          <w:rFonts w:cstheme="minorHAnsi"/>
          <w:b/>
          <w:bCs/>
          <w:i/>
        </w:rPr>
        <w:t xml:space="preserve">or resource use measure, </w:t>
      </w:r>
      <w:r w:rsidR="00BE592D" w:rsidRPr="007B0444">
        <w:rPr>
          <w:rFonts w:cstheme="minorHAnsi"/>
          <w:b/>
          <w:bCs/>
          <w:i/>
        </w:rPr>
        <w:t xml:space="preserve">skip to section </w:t>
      </w:r>
      <w:hyperlink w:anchor="section2b5" w:history="1">
        <w:r w:rsidR="00BE592D" w:rsidRPr="007B0444">
          <w:rPr>
            <w:rStyle w:val="Hyperlink"/>
            <w:rFonts w:cstheme="minorHAnsi"/>
            <w:b/>
            <w:bCs/>
            <w:i/>
          </w:rPr>
          <w:t>2b</w:t>
        </w:r>
        <w:r w:rsidR="00565946" w:rsidRPr="007B0444">
          <w:rPr>
            <w:rStyle w:val="Hyperlink"/>
            <w:rFonts w:cstheme="minorHAnsi"/>
            <w:b/>
            <w:bCs/>
            <w:i/>
          </w:rPr>
          <w:t>4</w:t>
        </w:r>
      </w:hyperlink>
      <w:r w:rsidR="00BE592D" w:rsidRPr="007B0444">
        <w:rPr>
          <w:rFonts w:cstheme="minorHAnsi"/>
          <w:b/>
          <w:bCs/>
          <w:i/>
        </w:rPr>
        <w:t>.</w:t>
      </w:r>
    </w:p>
    <w:p w14:paraId="0CABCFEB" w14:textId="77777777" w:rsidR="008871A9" w:rsidRPr="007B0444" w:rsidRDefault="008871A9" w:rsidP="00092566">
      <w:pPr>
        <w:autoSpaceDE w:val="0"/>
        <w:autoSpaceDN w:val="0"/>
        <w:adjustRightInd w:val="0"/>
        <w:spacing w:after="0" w:line="240" w:lineRule="auto"/>
        <w:rPr>
          <w:rFonts w:cstheme="minorHAnsi"/>
          <w:b/>
          <w:bCs/>
        </w:rPr>
      </w:pPr>
    </w:p>
    <w:p w14:paraId="0CABCFEC" w14:textId="166E6E8B" w:rsidR="00743E46" w:rsidRPr="007B0444" w:rsidRDefault="00092566" w:rsidP="00092566">
      <w:pPr>
        <w:autoSpaceDE w:val="0"/>
        <w:autoSpaceDN w:val="0"/>
        <w:adjustRightInd w:val="0"/>
        <w:spacing w:after="0" w:line="240" w:lineRule="auto"/>
        <w:rPr>
          <w:rFonts w:cstheme="minorHAnsi"/>
          <w:b/>
          <w:bCs/>
        </w:rPr>
      </w:pPr>
      <w:r w:rsidRPr="007B0444">
        <w:rPr>
          <w:rFonts w:cstheme="minorHAnsi"/>
          <w:b/>
          <w:bCs/>
        </w:rPr>
        <w:t>2b</w:t>
      </w:r>
      <w:r w:rsidR="009C7513" w:rsidRPr="007B0444">
        <w:rPr>
          <w:rFonts w:cstheme="minorHAnsi"/>
          <w:b/>
          <w:bCs/>
        </w:rPr>
        <w:t>3</w:t>
      </w:r>
      <w:r w:rsidRPr="007B0444">
        <w:rPr>
          <w:rFonts w:cstheme="minorHAnsi"/>
          <w:b/>
          <w:bCs/>
        </w:rPr>
        <w:t xml:space="preserve">.1. </w:t>
      </w:r>
      <w:r w:rsidR="00743E46" w:rsidRPr="007B0444">
        <w:rPr>
          <w:rFonts w:cstheme="minorHAnsi"/>
          <w:b/>
          <w:bCs/>
        </w:rPr>
        <w:t>What method of controlling for differences in case mix is used?</w:t>
      </w:r>
    </w:p>
    <w:p w14:paraId="0CABCFED" w14:textId="77777777" w:rsidR="00033038" w:rsidRPr="007B0444" w:rsidRDefault="0056462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7B0444">
            <w:rPr>
              <w:rFonts w:ascii="MS Gothic" w:eastAsia="MS Gothic" w:hAnsi="MS Gothic" w:cstheme="minorHAnsi" w:hint="eastAsia"/>
              <w:bCs/>
              <w:color w:val="0000FF"/>
            </w:rPr>
            <w:t>☐</w:t>
          </w:r>
        </w:sdtContent>
      </w:sdt>
      <w:r w:rsidR="00033038" w:rsidRPr="007B0444">
        <w:rPr>
          <w:rFonts w:eastAsia="MS Mincho" w:cstheme="minorHAnsi"/>
          <w:b/>
          <w:bCs/>
          <w:color w:val="0000FF"/>
        </w:rPr>
        <w:t xml:space="preserve"> </w:t>
      </w:r>
      <w:r w:rsidR="00033038" w:rsidRPr="007B0444">
        <w:rPr>
          <w:rFonts w:cstheme="minorHAnsi"/>
          <w:b/>
          <w:bCs/>
        </w:rPr>
        <w:t>No risk adjustment or stratification</w:t>
      </w:r>
    </w:p>
    <w:p w14:paraId="0CABCFEE" w14:textId="2E356CF9" w:rsidR="00743E46" w:rsidRPr="007B0444" w:rsidRDefault="0056462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A21F9B" w:rsidRPr="007B0444">
            <w:rPr>
              <w:rFonts w:ascii="MS Gothic" w:eastAsia="MS Gothic" w:hAnsi="MS Gothic" w:cstheme="minorHAnsi" w:hint="eastAsia"/>
              <w:bCs/>
              <w:color w:val="0000FF"/>
            </w:rPr>
            <w:t>☒</w:t>
          </w:r>
        </w:sdtContent>
      </w:sdt>
      <w:r w:rsidR="006574D2" w:rsidRPr="007B0444">
        <w:rPr>
          <w:rFonts w:cstheme="minorHAnsi"/>
          <w:bCs/>
          <w:color w:val="0000FF"/>
        </w:rPr>
        <w:t xml:space="preserve"> </w:t>
      </w:r>
      <w:r w:rsidR="00743E46" w:rsidRPr="007B0444">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B12B1A">
            <w:rPr>
              <w:rStyle w:val="Style4"/>
              <w:u w:val="none"/>
            </w:rPr>
            <w:t>28-133</w:t>
          </w:r>
        </w:sdtContent>
      </w:sdt>
      <w:r w:rsidR="00E562C0" w:rsidRPr="007B0444">
        <w:rPr>
          <w:rStyle w:val="Style4"/>
          <w:u w:val="none"/>
        </w:rPr>
        <w:t xml:space="preserve"> </w:t>
      </w:r>
      <w:r w:rsidR="00743E46" w:rsidRPr="007B0444">
        <w:rPr>
          <w:rFonts w:cstheme="minorHAnsi"/>
          <w:b/>
          <w:bCs/>
        </w:rPr>
        <w:t>risk factors</w:t>
      </w:r>
    </w:p>
    <w:p w14:paraId="0CABCFEF" w14:textId="5A69239C" w:rsidR="00743E46" w:rsidRPr="007B0444" w:rsidRDefault="0056462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A21F9B" w:rsidRPr="007B0444">
            <w:rPr>
              <w:rFonts w:ascii="MS Gothic" w:eastAsia="MS Gothic" w:hAnsi="MS Gothic" w:cstheme="minorHAnsi" w:hint="eastAsia"/>
              <w:bCs/>
              <w:color w:val="0000FF"/>
            </w:rPr>
            <w:t>☒</w:t>
          </w:r>
        </w:sdtContent>
      </w:sdt>
      <w:r w:rsidR="000414E8" w:rsidRPr="007B0444">
        <w:rPr>
          <w:rFonts w:eastAsia="MS Mincho" w:cstheme="minorHAnsi"/>
          <w:b/>
          <w:bCs/>
          <w:color w:val="0000FF"/>
        </w:rPr>
        <w:t xml:space="preserve"> </w:t>
      </w:r>
      <w:r w:rsidR="00743E46" w:rsidRPr="007B0444">
        <w:rPr>
          <w:rFonts w:cstheme="minorHAnsi"/>
          <w:b/>
          <w:bCs/>
        </w:rPr>
        <w:t xml:space="preserve">Stratification by </w:t>
      </w:r>
      <w:sdt>
        <w:sdtPr>
          <w:rPr>
            <w:rStyle w:val="Style4"/>
            <w:u w:val="none"/>
          </w:rPr>
          <w:id w:val="-52006544"/>
          <w:text/>
        </w:sdtPr>
        <w:sdtEndPr>
          <w:rPr>
            <w:rStyle w:val="DefaultParagraphFont"/>
            <w:rFonts w:asciiTheme="minorHAnsi" w:hAnsiTheme="minorHAnsi" w:cstheme="minorHAnsi"/>
            <w:b w:val="0"/>
            <w:bCs/>
            <w:color w:val="auto"/>
          </w:rPr>
        </w:sdtEndPr>
        <w:sdtContent>
          <w:r w:rsidR="0064319B">
            <w:rPr>
              <w:rStyle w:val="Style4"/>
              <w:u w:val="none"/>
            </w:rPr>
            <w:t>5</w:t>
          </w:r>
        </w:sdtContent>
      </w:sdt>
      <w:r w:rsidR="00E562C0" w:rsidRPr="007B0444">
        <w:rPr>
          <w:rStyle w:val="Style4"/>
          <w:u w:val="none"/>
        </w:rPr>
        <w:t xml:space="preserve"> </w:t>
      </w:r>
      <w:r w:rsidR="00C33F2E" w:rsidRPr="007B0444">
        <w:rPr>
          <w:rFonts w:cstheme="minorHAnsi"/>
          <w:b/>
          <w:bCs/>
        </w:rPr>
        <w:t xml:space="preserve">risk </w:t>
      </w:r>
      <w:r w:rsidR="00743E46" w:rsidRPr="007B0444">
        <w:rPr>
          <w:rFonts w:cstheme="minorHAnsi"/>
          <w:b/>
          <w:bCs/>
        </w:rPr>
        <w:t>categories</w:t>
      </w:r>
    </w:p>
    <w:p w14:paraId="0CABCFF0" w14:textId="77777777" w:rsidR="00743E46" w:rsidRPr="007B0444" w:rsidRDefault="0056462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7B0444">
            <w:rPr>
              <w:rFonts w:ascii="MS Gothic" w:eastAsia="MS Gothic" w:cstheme="minorHAnsi" w:hint="eastAsia"/>
              <w:bCs/>
              <w:color w:val="0000FF"/>
            </w:rPr>
            <w:t>☐</w:t>
          </w:r>
        </w:sdtContent>
      </w:sdt>
      <w:r w:rsidR="000414E8" w:rsidRPr="007B0444">
        <w:rPr>
          <w:rFonts w:eastAsia="MS Mincho" w:cstheme="minorHAnsi"/>
          <w:b/>
          <w:bCs/>
          <w:color w:val="0000FF"/>
        </w:rPr>
        <w:t xml:space="preserve"> </w:t>
      </w:r>
      <w:r w:rsidR="00743E46" w:rsidRPr="007B0444">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7B0444">
            <w:rPr>
              <w:rStyle w:val="PlaceholderText"/>
            </w:rPr>
            <w:t>Click here to enter description</w:t>
          </w:r>
        </w:sdtContent>
      </w:sdt>
    </w:p>
    <w:p w14:paraId="0CABCFF1" w14:textId="77777777" w:rsidR="00743E46" w:rsidRPr="007B0444" w:rsidRDefault="00743E46" w:rsidP="00092566">
      <w:pPr>
        <w:autoSpaceDE w:val="0"/>
        <w:autoSpaceDN w:val="0"/>
        <w:adjustRightInd w:val="0"/>
        <w:spacing w:after="0" w:line="240" w:lineRule="auto"/>
        <w:rPr>
          <w:rFonts w:cstheme="minorHAnsi"/>
          <w:b/>
          <w:bCs/>
        </w:rPr>
      </w:pPr>
    </w:p>
    <w:p w14:paraId="0CABCFF2" w14:textId="4F2B2366" w:rsidR="00092566" w:rsidRPr="007B0444" w:rsidRDefault="000B7D57" w:rsidP="00F34FAB">
      <w:pPr>
        <w:autoSpaceDE w:val="0"/>
        <w:autoSpaceDN w:val="0"/>
        <w:adjustRightInd w:val="0"/>
        <w:spacing w:after="0" w:line="240" w:lineRule="auto"/>
        <w:rPr>
          <w:rFonts w:ascii="Calibri" w:eastAsia="MS Mincho" w:hAnsi="Calibri" w:cs="Calibri"/>
          <w:b/>
          <w:bCs/>
        </w:rPr>
      </w:pPr>
      <w:r w:rsidRPr="007B0444">
        <w:rPr>
          <w:rFonts w:cstheme="minorHAnsi"/>
          <w:b/>
          <w:bCs/>
        </w:rPr>
        <w:t>2b</w:t>
      </w:r>
      <w:r w:rsidR="009C7513" w:rsidRPr="007B0444">
        <w:rPr>
          <w:rFonts w:cstheme="minorHAnsi"/>
          <w:b/>
          <w:bCs/>
        </w:rPr>
        <w:t>3</w:t>
      </w:r>
      <w:r w:rsidRPr="007B0444">
        <w:rPr>
          <w:rFonts w:cstheme="minorHAnsi"/>
          <w:b/>
          <w:bCs/>
        </w:rPr>
        <w:t xml:space="preserve">.1.1 </w:t>
      </w:r>
      <w:r w:rsidR="00F34FAB" w:rsidRPr="007B0444">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A0A1A07" w14:textId="50341C11" w:rsidR="00E60138" w:rsidRPr="009D0416" w:rsidRDefault="00E60138" w:rsidP="00E60138">
      <w:pPr>
        <w:spacing w:line="240" w:lineRule="auto"/>
        <w:rPr>
          <w:rFonts w:ascii="Times New Roman" w:hAnsi="Times New Roman" w:cs="Times New Roman"/>
          <w:color w:val="0070C0"/>
        </w:rPr>
      </w:pPr>
      <w:r w:rsidRPr="009D0416">
        <w:rPr>
          <w:rFonts w:ascii="Times New Roman" w:hAnsi="Times New Roman" w:cs="Times New Roman"/>
          <w:color w:val="0070C0"/>
        </w:rPr>
        <w:t>Differences in patient case mix are controlled for using separate CMS Hierarchical Condition Category Version 22 (CMS-HCC V22) models for new enrollees, continuing enrollees, enrollees in long-term institutional settings. In addition, for beneficiaries with ESRD, the CMS ESRD Version 21 (CMS-ESRD V21) models are used for new enrollees with ESRD, and community enrollees with ESRD. The CMS models were developed for use in the Medicare Advantage program and the accuracy of the continual upkeep and performance of these models is reported to Congress every three years und</w:t>
      </w:r>
      <w:r w:rsidR="000A75B7" w:rsidRPr="009D0416">
        <w:rPr>
          <w:rFonts w:ascii="Times New Roman" w:hAnsi="Times New Roman" w:cs="Times New Roman"/>
          <w:color w:val="0070C0"/>
        </w:rPr>
        <w:t>er the 21st century Cures Act</w:t>
      </w:r>
      <w:r w:rsidR="00362C08" w:rsidRPr="009D0416">
        <w:rPr>
          <w:rFonts w:ascii="Times New Roman" w:hAnsi="Times New Roman" w:cs="Times New Roman"/>
          <w:color w:val="0070C0"/>
        </w:rPr>
        <w:t>.</w:t>
      </w:r>
      <w:r w:rsidR="000A75B7" w:rsidRPr="009D0416">
        <w:rPr>
          <w:rStyle w:val="FootnoteReference"/>
          <w:rFonts w:ascii="Times New Roman" w:hAnsi="Times New Roman"/>
          <w:color w:val="0070C0"/>
        </w:rPr>
        <w:footnoteReference w:id="8"/>
      </w:r>
      <w:r w:rsidR="00362C08" w:rsidRPr="009D0416">
        <w:rPr>
          <w:rFonts w:ascii="Times New Roman" w:hAnsi="Times New Roman" w:cs="Times New Roman"/>
          <w:color w:val="0070C0"/>
        </w:rPr>
        <w:t xml:space="preserve"> The model is not re-predicted for TPCC, but instead applies the coefficients from the Medicare Advantage models.</w:t>
      </w:r>
    </w:p>
    <w:p w14:paraId="6A88F845" w14:textId="7B877946" w:rsidR="000A75B7" w:rsidRPr="009D0416" w:rsidRDefault="00E60138" w:rsidP="00E60138">
      <w:pPr>
        <w:spacing w:line="240" w:lineRule="auto"/>
        <w:rPr>
          <w:rFonts w:ascii="Times New Roman" w:hAnsi="Times New Roman" w:cs="Times New Roman"/>
          <w:color w:val="0070C0"/>
        </w:rPr>
      </w:pPr>
      <w:r w:rsidRPr="009D0416">
        <w:rPr>
          <w:rFonts w:ascii="Times New Roman" w:hAnsi="Times New Roman" w:cs="Times New Roman"/>
          <w:color w:val="0070C0"/>
        </w:rPr>
        <w:t xml:space="preserve">The TPCC measure follows the CMS-HCC V22 risk adjustment models for new enrollee, community, and long-term institutional beneficiaries without ESRD. A beneficiary month is measured under the new </w:t>
      </w:r>
      <w:r w:rsidRPr="009D0416">
        <w:rPr>
          <w:rFonts w:ascii="Times New Roman" w:hAnsi="Times New Roman" w:cs="Times New Roman"/>
          <w:color w:val="0070C0"/>
        </w:rPr>
        <w:lastRenderedPageBreak/>
        <w:t xml:space="preserve">enrollee model if they do not have a full one-year lookback of Medicare claims data as of the start of a beneficiary month. As a result, the model is derived primarily from beneficiary enrollment data. This model adjusts for gender, age, dual Medicare and Medicaid enrollment, and whether the beneficiary was originally entitled to Medicare due to disability through a series of interacted </w:t>
      </w:r>
      <w:r w:rsidR="00362C08" w:rsidRPr="009D0416">
        <w:rPr>
          <w:rFonts w:ascii="Times New Roman" w:hAnsi="Times New Roman" w:cs="Times New Roman"/>
          <w:color w:val="0070C0"/>
        </w:rPr>
        <w:t>parameters</w:t>
      </w:r>
      <w:r w:rsidRPr="009D0416">
        <w:rPr>
          <w:rFonts w:ascii="Times New Roman" w:hAnsi="Times New Roman" w:cs="Times New Roman"/>
          <w:color w:val="0070C0"/>
        </w:rPr>
        <w:t xml:space="preserve">. Beneficiaries with sufficient Medicare claims history are measured under the community or the institutional model if they are institutionalized in a long term care facility. In both models, severity of illness is measured using HCCs and disease interactions. 79 HCCs are accounted for under CMS-HCC V22 model for beneficiaries classified as community enrollees and long-term institutional enrollees while the exact number and types of disease interaction can vary. Both models interact beneficiary age with gender. In addition, the community model interacts dual enrollment status, gender, and the indicator for whether the beneficiary was originally entitled to Medicare due to disability, while the institutional model adjusts for disability as the original reason for Medicare enrollment and dual enrollment status independently.  </w:t>
      </w:r>
    </w:p>
    <w:p w14:paraId="7B14BF96" w14:textId="2D3D4191" w:rsidR="000A75B7" w:rsidRPr="009D0416" w:rsidRDefault="00E60138" w:rsidP="00E60138">
      <w:pPr>
        <w:spacing w:line="240" w:lineRule="auto"/>
        <w:rPr>
          <w:rFonts w:ascii="Times New Roman" w:hAnsi="Times New Roman" w:cs="Times New Roman"/>
          <w:color w:val="0070C0"/>
        </w:rPr>
      </w:pPr>
      <w:r w:rsidRPr="009D0416">
        <w:rPr>
          <w:rFonts w:ascii="Times New Roman" w:hAnsi="Times New Roman" w:cs="Times New Roman"/>
          <w:color w:val="0070C0"/>
        </w:rPr>
        <w:t xml:space="preserve">For ESRD beneficiaries receiving dialysis, the TPCC measure </w:t>
      </w:r>
      <w:r w:rsidR="00362C08" w:rsidRPr="009D0416">
        <w:rPr>
          <w:rFonts w:ascii="Times New Roman" w:hAnsi="Times New Roman" w:cs="Times New Roman"/>
          <w:color w:val="0070C0"/>
        </w:rPr>
        <w:t>uses</w:t>
      </w:r>
      <w:r w:rsidRPr="009D0416">
        <w:rPr>
          <w:rFonts w:ascii="Times New Roman" w:hAnsi="Times New Roman" w:cs="Times New Roman"/>
          <w:color w:val="0070C0"/>
        </w:rPr>
        <w:t xml:space="preserve"> the CMS-ESRD V21 risk adjustment models. Differentiated models are implemented for dialysis new enrollees and dialysis community enrollees. Similar to the CMS-HCC V22, enrollees are classified as new enrollees if they were not continuously enrolled in Parts A and B for the one-year lookback period prior to each beneficiary month. As a result of this, the model primarily uses information from the beneficiary’s enrollment data. This model adjusts for gender, age, dual enrollment status, and whether the beneficiary was originally entitled to Medicare due to disability through a series of interacted </w:t>
      </w:r>
      <w:r w:rsidR="00362C08" w:rsidRPr="009D0416">
        <w:rPr>
          <w:rFonts w:ascii="Times New Roman" w:hAnsi="Times New Roman" w:cs="Times New Roman"/>
          <w:color w:val="0070C0"/>
        </w:rPr>
        <w:t>parameters</w:t>
      </w:r>
      <w:r w:rsidRPr="009D0416">
        <w:rPr>
          <w:rFonts w:ascii="Times New Roman" w:hAnsi="Times New Roman" w:cs="Times New Roman"/>
          <w:color w:val="0070C0"/>
        </w:rPr>
        <w:t xml:space="preserve">. In addition to accounting for these patient characteristics, the dialysis community model also risk adjusts for medical severity using 87 HCCs and additional disease interactions. </w:t>
      </w:r>
    </w:p>
    <w:p w14:paraId="0D6F2DA3" w14:textId="15A81E9D" w:rsidR="00E60138" w:rsidRPr="009D0416" w:rsidRDefault="00E60138" w:rsidP="00E60138">
      <w:pPr>
        <w:spacing w:line="240" w:lineRule="auto"/>
        <w:rPr>
          <w:rFonts w:ascii="Times New Roman" w:hAnsi="Times New Roman" w:cs="Times New Roman"/>
          <w:color w:val="0070C0"/>
        </w:rPr>
      </w:pPr>
      <w:r w:rsidRPr="009D0416">
        <w:rPr>
          <w:rFonts w:ascii="Times New Roman" w:hAnsi="Times New Roman" w:cs="Times New Roman"/>
          <w:color w:val="0070C0"/>
        </w:rPr>
        <w:t>The CMS-ESRD V21 and CMS-HCC V22 models both generate a risk score for each beneficiary that summarizes the beneficiary’s expected cost of care relative to other beneficiaries. Risk scores for ESRD beneficiaries are normalized to enable comparison with the HCC V22 risk scores. This is achieved by multiplying ESRD risk scores by the mean annual Medicare spending for the ESRD population applied in the CMS-ESRD V21 model and dividing by the mean annual Medicare spending for the total Medicare population applied in the CMS</w:t>
      </w:r>
      <w:r w:rsidR="00362C08" w:rsidRPr="009D0416">
        <w:rPr>
          <w:rFonts w:ascii="Times New Roman" w:hAnsi="Times New Roman" w:cs="Times New Roman"/>
          <w:color w:val="0070C0"/>
        </w:rPr>
        <w:t>-</w:t>
      </w:r>
      <w:r w:rsidRPr="009D0416">
        <w:rPr>
          <w:rFonts w:ascii="Times New Roman" w:hAnsi="Times New Roman" w:cs="Times New Roman"/>
          <w:color w:val="0070C0"/>
        </w:rPr>
        <w:t xml:space="preserve">HCC V22 model, effectively renormalizing ESRD risk score values to the equivalent scale of the HCC models. A risk score equal to one indicates risk associated with expenditures for the average beneficiary nationwide. Risk scores below or above one indicate below and above average risk, respectively. </w:t>
      </w:r>
    </w:p>
    <w:p w14:paraId="5FC539B3" w14:textId="17636076" w:rsidR="00884685" w:rsidRPr="009D0416" w:rsidRDefault="00E60138" w:rsidP="00E60138">
      <w:pPr>
        <w:spacing w:line="240" w:lineRule="auto"/>
        <w:rPr>
          <w:rFonts w:ascii="Times New Roman" w:hAnsi="Times New Roman" w:cs="Times New Roman"/>
          <w:color w:val="0070C0"/>
        </w:rPr>
      </w:pPr>
      <w:r w:rsidRPr="009D0416">
        <w:rPr>
          <w:rFonts w:ascii="Times New Roman" w:hAnsi="Times New Roman" w:cs="Times New Roman"/>
          <w:color w:val="0070C0"/>
        </w:rPr>
        <w:t>Following the normalization of risk scores, observed costs for each beneficiary month are divided by the normalized risk score to obtain risk-adjusted monthly costs. These costs are then winsorized at the 99th percentile by assigning the 99th percentile of monthly costs to all attributed beneficiary months with costs above the 99th percentile. Finally, monthly costs are normalized to account for differences in expected costs based on the number of clinician groups to which a beneficiary is attributed in a given month. This normalization is applied by dividing monthly costs by the cube root of the number of TINs to which a beneficiary is attributed for a particular a month.</w:t>
      </w:r>
      <w:r w:rsidR="00884685" w:rsidRPr="009D0416">
        <w:rPr>
          <w:rFonts w:ascii="Times New Roman" w:hAnsi="Times New Roman" w:cs="Times New Roman"/>
          <w:color w:val="0070C0"/>
        </w:rPr>
        <w:t xml:space="preserve"> </w:t>
      </w:r>
    </w:p>
    <w:p w14:paraId="4E728A5B" w14:textId="509FF3F3" w:rsidR="00DE0588" w:rsidRPr="009D0416" w:rsidRDefault="00884685" w:rsidP="00A45862">
      <w:pPr>
        <w:autoSpaceDE w:val="0"/>
        <w:autoSpaceDN w:val="0"/>
        <w:adjustRightInd w:val="0"/>
        <w:spacing w:after="0" w:line="240" w:lineRule="auto"/>
        <w:rPr>
          <w:rFonts w:ascii="Times New Roman" w:hAnsi="Times New Roman" w:cs="Times New Roman"/>
          <w:bCs/>
          <w:color w:val="FF0000"/>
        </w:rPr>
      </w:pPr>
      <w:r w:rsidRPr="009D0416">
        <w:rPr>
          <w:rFonts w:ascii="Times New Roman" w:hAnsi="Times New Roman" w:cs="Times New Roman"/>
          <w:color w:val="0070C0"/>
        </w:rPr>
        <w:t>Full details of the risk adjustment model are in the Measure Codes List File (linked in Section S.1).</w:t>
      </w:r>
      <w:r w:rsidR="00A45862" w:rsidRPr="009D0416">
        <w:rPr>
          <w:rFonts w:ascii="Times New Roman" w:hAnsi="Times New Roman" w:cs="Times New Roman"/>
          <w:color w:val="0070C0"/>
        </w:rPr>
        <w:t xml:space="preserve"> </w:t>
      </w:r>
    </w:p>
    <w:p w14:paraId="09BFA1CF" w14:textId="77777777" w:rsidR="00A45862" w:rsidRPr="007B0444" w:rsidRDefault="00A45862" w:rsidP="00A45862">
      <w:pPr>
        <w:autoSpaceDE w:val="0"/>
        <w:autoSpaceDN w:val="0"/>
        <w:adjustRightInd w:val="0"/>
        <w:spacing w:after="0" w:line="240" w:lineRule="auto"/>
        <w:rPr>
          <w:rFonts w:cstheme="minorHAnsi"/>
          <w:bCs/>
          <w:color w:val="0070C0"/>
        </w:rPr>
      </w:pPr>
    </w:p>
    <w:p w14:paraId="0CABCFF4" w14:textId="028D7222" w:rsidR="009D3882" w:rsidRPr="009D0416" w:rsidRDefault="009C7513" w:rsidP="009D3882">
      <w:pPr>
        <w:rPr>
          <w:rFonts w:ascii="Times New Roman" w:hAnsi="Times New Roman" w:cs="Times New Roman"/>
          <w:b/>
          <w:bCs/>
          <w:sz w:val="14"/>
        </w:rPr>
      </w:pPr>
      <w:r w:rsidRPr="007B0444">
        <w:rPr>
          <w:rFonts w:cs="Calibri"/>
          <w:b/>
          <w:bCs/>
        </w:rPr>
        <w:t>2b3</w:t>
      </w:r>
      <w:r w:rsidR="009D3882" w:rsidRPr="007B0444">
        <w:rPr>
          <w:rFonts w:cs="Calibri"/>
          <w:b/>
          <w:bCs/>
        </w:rPr>
        <w:t xml:space="preserve">.2. If an outcome or resource use component measure is </w:t>
      </w:r>
      <w:r w:rsidR="009D3882" w:rsidRPr="007B0444">
        <w:rPr>
          <w:rFonts w:cs="Calibri"/>
          <w:b/>
          <w:bCs/>
          <w:u w:val="single"/>
        </w:rPr>
        <w:t>not risk adjusted or stratified</w:t>
      </w:r>
      <w:r w:rsidR="009D3882" w:rsidRPr="007B0444">
        <w:rPr>
          <w:rFonts w:cs="Calibri"/>
          <w:b/>
          <w:bCs/>
        </w:rPr>
        <w:t xml:space="preserve">, provide </w:t>
      </w:r>
      <w:r w:rsidR="009D3882" w:rsidRPr="007B0444">
        <w:rPr>
          <w:rFonts w:cs="Calibri"/>
          <w:b/>
          <w:bCs/>
          <w:u w:val="single"/>
        </w:rPr>
        <w:t>rationale and analyses</w:t>
      </w:r>
      <w:r w:rsidR="009D3882" w:rsidRPr="007B0444">
        <w:rPr>
          <w:rFonts w:cs="Calibri"/>
          <w:b/>
          <w:bCs/>
        </w:rPr>
        <w:t xml:space="preserve"> to demonstrate that controlling for differences in patient characteristics (case mix) is not needed to achieve fair comparisons across measured entities</w:t>
      </w:r>
      <w:r w:rsidR="009D3882" w:rsidRPr="007B0444">
        <w:rPr>
          <w:rFonts w:cs="Calibri"/>
          <w:bCs/>
        </w:rPr>
        <w:t xml:space="preserve">. </w:t>
      </w:r>
      <w:r w:rsidR="009D3882" w:rsidRPr="007B0444">
        <w:rPr>
          <w:rFonts w:cs="Calibri"/>
          <w:bCs/>
        </w:rPr>
        <w:br/>
      </w:r>
      <w:r w:rsidR="00DE0588" w:rsidRPr="009D0416">
        <w:rPr>
          <w:rFonts w:ascii="Times New Roman" w:hAnsi="Times New Roman" w:cs="Times New Roman"/>
          <w:bCs/>
          <w:color w:val="0070C0"/>
        </w:rPr>
        <w:t>N/A</w:t>
      </w:r>
    </w:p>
    <w:p w14:paraId="497377AB" w14:textId="5DE193A0" w:rsidR="00DE0588" w:rsidRPr="009D0416" w:rsidRDefault="009C7513" w:rsidP="008F31A6">
      <w:pPr>
        <w:spacing w:line="240" w:lineRule="auto"/>
        <w:rPr>
          <w:rFonts w:ascii="Times New Roman" w:hAnsi="Times New Roman" w:cs="Times New Roman"/>
          <w:bCs/>
          <w:color w:val="0070C0"/>
        </w:rPr>
      </w:pPr>
      <w:r w:rsidRPr="007B0444">
        <w:rPr>
          <w:rFonts w:cstheme="minorHAnsi"/>
          <w:b/>
          <w:bCs/>
        </w:rPr>
        <w:t>2b3</w:t>
      </w:r>
      <w:r w:rsidR="00092566" w:rsidRPr="007B0444">
        <w:rPr>
          <w:rFonts w:cstheme="minorHAnsi"/>
          <w:b/>
          <w:bCs/>
        </w:rPr>
        <w:t>.3</w:t>
      </w:r>
      <w:r w:rsidR="00275563" w:rsidRPr="007B0444">
        <w:rPr>
          <w:rFonts w:cstheme="minorHAnsi"/>
          <w:b/>
          <w:bCs/>
        </w:rPr>
        <w:t>a</w:t>
      </w:r>
      <w:r w:rsidR="00092566" w:rsidRPr="007B0444">
        <w:rPr>
          <w:rFonts w:cstheme="minorHAnsi"/>
          <w:b/>
          <w:bCs/>
        </w:rPr>
        <w:t xml:space="preserve">. </w:t>
      </w:r>
      <w:r w:rsidR="00927027" w:rsidRPr="007B0444">
        <w:rPr>
          <w:rFonts w:cstheme="minorHAnsi"/>
          <w:b/>
          <w:bCs/>
        </w:rPr>
        <w:t>Describe</w:t>
      </w:r>
      <w:r w:rsidR="00092566" w:rsidRPr="007B0444">
        <w:rPr>
          <w:rFonts w:cstheme="minorHAnsi"/>
          <w:b/>
          <w:bCs/>
        </w:rPr>
        <w:t xml:space="preserve"> the conceptual/clinical </w:t>
      </w:r>
      <w:r w:rsidR="00092566" w:rsidRPr="007B0444">
        <w:rPr>
          <w:rFonts w:cstheme="minorHAnsi"/>
          <w:b/>
          <w:bCs/>
          <w:u w:val="single"/>
        </w:rPr>
        <w:t>and</w:t>
      </w:r>
      <w:r w:rsidR="00092566" w:rsidRPr="007B0444">
        <w:rPr>
          <w:rFonts w:cstheme="minorHAnsi"/>
          <w:b/>
          <w:bCs/>
        </w:rPr>
        <w:t xml:space="preserve"> statistical methods and criteria used to select </w:t>
      </w:r>
      <w:r w:rsidR="005363F1" w:rsidRPr="007B0444">
        <w:rPr>
          <w:rFonts w:cstheme="minorHAnsi"/>
          <w:b/>
          <w:bCs/>
        </w:rPr>
        <w:t xml:space="preserve">patient </w:t>
      </w:r>
      <w:r w:rsidR="00092566" w:rsidRPr="007B0444">
        <w:rPr>
          <w:rFonts w:cstheme="minorHAnsi"/>
          <w:b/>
          <w:bCs/>
        </w:rPr>
        <w:t xml:space="preserve">factors </w:t>
      </w:r>
      <w:r w:rsidR="0021054A" w:rsidRPr="007B0444">
        <w:rPr>
          <w:rFonts w:cstheme="minorHAnsi"/>
          <w:b/>
          <w:bCs/>
        </w:rPr>
        <w:t>(</w:t>
      </w:r>
      <w:r w:rsidR="00E967AD" w:rsidRPr="007B0444">
        <w:rPr>
          <w:rFonts w:cstheme="minorHAnsi"/>
          <w:b/>
          <w:bCs/>
        </w:rPr>
        <w:t xml:space="preserve">clinical factors or </w:t>
      </w:r>
      <w:r w:rsidR="00AF2D68" w:rsidRPr="007B0444">
        <w:rPr>
          <w:rFonts w:cstheme="minorHAnsi"/>
          <w:b/>
          <w:bCs/>
        </w:rPr>
        <w:t xml:space="preserve">social risk </w:t>
      </w:r>
      <w:r w:rsidR="0021054A" w:rsidRPr="007B0444">
        <w:rPr>
          <w:rFonts w:cstheme="minorHAnsi"/>
          <w:b/>
          <w:bCs/>
        </w:rPr>
        <w:t xml:space="preserve">factors) </w:t>
      </w:r>
      <w:r w:rsidR="00092566" w:rsidRPr="007B0444">
        <w:rPr>
          <w:rFonts w:cstheme="minorHAnsi"/>
          <w:b/>
          <w:bCs/>
        </w:rPr>
        <w:t>used in the statistical risk model or for stratification by risk</w:t>
      </w:r>
      <w:r w:rsidR="00927027" w:rsidRPr="007B0444">
        <w:rPr>
          <w:rFonts w:cstheme="minorHAnsi"/>
          <w:b/>
          <w:bCs/>
        </w:rPr>
        <w:t xml:space="preserve"> </w:t>
      </w:r>
      <w:r w:rsidR="00092566" w:rsidRPr="007B0444">
        <w:rPr>
          <w:rFonts w:cstheme="minorHAnsi"/>
          <w:bCs/>
        </w:rPr>
        <w:t>(</w:t>
      </w:r>
      <w:r w:rsidR="00092566" w:rsidRPr="007B0444">
        <w:rPr>
          <w:rFonts w:cstheme="minorHAnsi"/>
          <w:bCs/>
          <w:i/>
        </w:rPr>
        <w:t xml:space="preserve">e.g., potential factors identified in </w:t>
      </w:r>
      <w:r w:rsidR="005363F1" w:rsidRPr="007B0444">
        <w:rPr>
          <w:rFonts w:cstheme="minorHAnsi"/>
          <w:bCs/>
          <w:i/>
        </w:rPr>
        <w:t xml:space="preserve">the </w:t>
      </w:r>
      <w:r w:rsidR="00092566" w:rsidRPr="007B0444">
        <w:rPr>
          <w:rFonts w:cstheme="minorHAnsi"/>
          <w:bCs/>
          <w:i/>
        </w:rPr>
        <w:t xml:space="preserve">literature and/or expert panel; regression analysis; statistical </w:t>
      </w:r>
      <w:r w:rsidR="00092566" w:rsidRPr="007B0444">
        <w:rPr>
          <w:rFonts w:cstheme="minorHAnsi"/>
          <w:bCs/>
          <w:i/>
        </w:rPr>
        <w:lastRenderedPageBreak/>
        <w:t>significance of p&lt;0.10; correlation of x or higher</w:t>
      </w:r>
      <w:r w:rsidR="005363F1" w:rsidRPr="007B0444">
        <w:rPr>
          <w:rFonts w:cstheme="minorHAnsi"/>
          <w:bCs/>
          <w:i/>
        </w:rPr>
        <w:t>; patient factors should be present at the start of care</w:t>
      </w:r>
      <w:r w:rsidR="00092566" w:rsidRPr="007B0444">
        <w:rPr>
          <w:rFonts w:cstheme="minorHAnsi"/>
          <w:bCs/>
        </w:rPr>
        <w:t>)</w:t>
      </w:r>
      <w:r w:rsidR="00AF2D68" w:rsidRPr="007B0444">
        <w:rPr>
          <w:rFonts w:cstheme="minorHAnsi"/>
          <w:bCs/>
        </w:rPr>
        <w:t xml:space="preserve">  </w:t>
      </w:r>
      <w:r w:rsidR="00AF2D68" w:rsidRPr="007B0444">
        <w:rPr>
          <w:rFonts w:cstheme="minorHAnsi"/>
          <w:b/>
          <w:bCs/>
        </w:rPr>
        <w:t>Also discuss any “ordering” of risk factor inclusion</w:t>
      </w:r>
      <w:r w:rsidR="00CE284E" w:rsidRPr="007B0444">
        <w:rPr>
          <w:rFonts w:cstheme="minorHAnsi"/>
          <w:bCs/>
        </w:rPr>
        <w:t>; for example, a</w:t>
      </w:r>
      <w:r w:rsidR="00AF2D68" w:rsidRPr="007B0444">
        <w:rPr>
          <w:rFonts w:cstheme="minorHAnsi"/>
          <w:bCs/>
        </w:rPr>
        <w:t>re social risk factors added after all clinical factors?</w:t>
      </w:r>
      <w:r w:rsidR="00092566" w:rsidRPr="007B0444">
        <w:rPr>
          <w:rFonts w:cstheme="minorHAnsi"/>
          <w:bCs/>
        </w:rPr>
        <w:br/>
      </w:r>
      <w:r w:rsidR="001F79E7" w:rsidRPr="009D0416">
        <w:rPr>
          <w:rFonts w:ascii="Times New Roman" w:hAnsi="Times New Roman" w:cs="Times New Roman"/>
          <w:b/>
          <w:bCs/>
          <w:color w:val="0070C0"/>
        </w:rPr>
        <w:t xml:space="preserve">Clinical Factors: </w:t>
      </w:r>
      <w:r w:rsidR="000A75B7" w:rsidRPr="009D0416">
        <w:rPr>
          <w:rFonts w:ascii="Times New Roman" w:hAnsi="Times New Roman" w:cs="Times New Roman"/>
          <w:bCs/>
          <w:color w:val="0070C0"/>
        </w:rPr>
        <w:t>We selected the CMS-HCC V22 and CMS-ESRD V21 models based on previous studies evaluating their appropriateness for use in risk adjusting Medicare claims data. These models were developed specifically for use in the Medicare population, meaning that they account for conditions found in the Medicare population and are calibrated on Medicare fee-for-service beneficiaries. In addition, the CMS-HCC and ESRD models are routinely updated for changes in coding practices (e.g., the transition from ICD-9 to ICD-10 codes) and they are exhaustive on these code sets. Because the CMS-HCC and ESRD models have already been extensively tested</w:t>
      </w:r>
      <w:r w:rsidR="00BA3A55" w:rsidRPr="009D0416">
        <w:rPr>
          <w:rFonts w:ascii="Times New Roman" w:hAnsi="Times New Roman" w:cs="Times New Roman"/>
          <w:bCs/>
          <w:color w:val="0070C0"/>
        </w:rPr>
        <w:t xml:space="preserve"> and are used for a large Medicare Part C population</w:t>
      </w:r>
      <w:r w:rsidR="000A75B7" w:rsidRPr="009D0416">
        <w:rPr>
          <w:rFonts w:ascii="Times New Roman" w:hAnsi="Times New Roman" w:cs="Times New Roman"/>
          <w:bCs/>
          <w:color w:val="0070C0"/>
        </w:rPr>
        <w:t>, we reference this testing from the December 2018 CMS Report to Congress on Risk Adjustment in Medicare Advantage and focus any additional testing on how the CMS-HCC and ESRD models influence the final TPCC measure score</w:t>
      </w:r>
      <w:r w:rsidR="007F7186" w:rsidRPr="009D0416">
        <w:rPr>
          <w:rFonts w:ascii="Times New Roman" w:hAnsi="Times New Roman" w:cs="Times New Roman"/>
          <w:bCs/>
          <w:color w:val="0070C0"/>
        </w:rPr>
        <w:t>.</w:t>
      </w:r>
      <w:r w:rsidR="00BA3A55" w:rsidRPr="009D0416">
        <w:rPr>
          <w:rStyle w:val="FootnoteReference"/>
          <w:rFonts w:ascii="Times New Roman" w:hAnsi="Times New Roman"/>
          <w:bCs/>
          <w:color w:val="0070C0"/>
        </w:rPr>
        <w:footnoteReference w:id="9"/>
      </w:r>
      <w:r w:rsidR="007F7186" w:rsidRPr="009D0416">
        <w:rPr>
          <w:rFonts w:ascii="Times New Roman" w:hAnsi="Times New Roman" w:cs="Times New Roman"/>
          <w:bCs/>
          <w:color w:val="0070C0"/>
        </w:rPr>
        <w:t xml:space="preserve"> </w:t>
      </w:r>
    </w:p>
    <w:p w14:paraId="1EA7586A" w14:textId="00CDF98B" w:rsidR="001F79E7" w:rsidRPr="009D0416" w:rsidRDefault="001F79E7" w:rsidP="007F7186">
      <w:pPr>
        <w:spacing w:line="240" w:lineRule="auto"/>
        <w:rPr>
          <w:rFonts w:ascii="Times New Roman" w:hAnsi="Times New Roman" w:cs="Times New Roman"/>
          <w:bCs/>
          <w:color w:val="0070C0"/>
        </w:rPr>
      </w:pPr>
      <w:r w:rsidRPr="009D0416">
        <w:rPr>
          <w:rFonts w:ascii="Times New Roman" w:hAnsi="Times New Roman" w:cs="Times New Roman"/>
          <w:b/>
          <w:bCs/>
          <w:color w:val="0070C0"/>
        </w:rPr>
        <w:t xml:space="preserve">Social Risk Factors: </w:t>
      </w:r>
      <w:r w:rsidRPr="009D0416">
        <w:rPr>
          <w:rFonts w:ascii="Times New Roman" w:hAnsi="Times New Roman" w:cs="Times New Roman"/>
          <w:bCs/>
          <w:color w:val="0070C0"/>
        </w:rPr>
        <w:t>According to a 2014 National Quality Forum report</w:t>
      </w:r>
      <w:r w:rsidRPr="009D0416">
        <w:rPr>
          <w:rStyle w:val="FootnoteReference"/>
          <w:rFonts w:ascii="Times New Roman" w:hAnsi="Times New Roman"/>
          <w:color w:val="0070C0"/>
        </w:rPr>
        <w:footnoteReference w:id="10"/>
      </w:r>
      <w:r w:rsidRPr="009D0416">
        <w:rPr>
          <w:rFonts w:ascii="Times New Roman" w:hAnsi="Times New Roman" w:cs="Times New Roman"/>
          <w:bCs/>
          <w:color w:val="0070C0"/>
        </w:rPr>
        <w:t xml:space="preserve">,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 quality of care for beneficiaries of different races. These factors may result in inefficient care, increased disease severity, or greater morbidity, leading to higher Medicare spending for beneficiaries depending on </w:t>
      </w:r>
      <w:r w:rsidRPr="009D0416">
        <w:rPr>
          <w:rFonts w:ascii="Times New Roman" w:hAnsi="Times New Roman" w:cs="Times New Roman"/>
          <w:color w:val="0070C0"/>
        </w:rPr>
        <w:t>s</w:t>
      </w:r>
      <w:r w:rsidRPr="009D0416">
        <w:rPr>
          <w:rFonts w:ascii="Times New Roman" w:hAnsi="Times New Roman" w:cs="Times New Roman"/>
          <w:bCs/>
          <w:color w:val="0070C0"/>
        </w:rPr>
        <w:t>ocioeconomic status or demographic status. Other social risk factors identified by the literature that can affect resource use include income, insurance (e.g., Medicaid), education, race and ethnicity, sex, social relationships, and residential and community context including rurality.</w:t>
      </w:r>
      <w:r w:rsidRPr="009D0416">
        <w:rPr>
          <w:rStyle w:val="FootnoteReference"/>
          <w:rFonts w:ascii="Times New Roman" w:hAnsi="Times New Roman"/>
          <w:color w:val="0070C0"/>
        </w:rPr>
        <w:footnoteReference w:id="11"/>
      </w:r>
      <w:r w:rsidRPr="009D0416">
        <w:rPr>
          <w:rFonts w:ascii="Times New Roman" w:hAnsi="Times New Roman" w:cs="Times New Roman"/>
          <w:bCs/>
          <w:color w:val="0070C0"/>
          <w:vertAlign w:val="superscript"/>
        </w:rPr>
        <w:t>,</w:t>
      </w:r>
      <w:r w:rsidRPr="009D0416">
        <w:rPr>
          <w:rStyle w:val="FootnoteReference"/>
          <w:rFonts w:ascii="Times New Roman" w:hAnsi="Times New Roman"/>
          <w:color w:val="0070C0"/>
        </w:rPr>
        <w:footnoteReference w:id="12"/>
      </w:r>
      <w:r w:rsidRPr="009D0416">
        <w:rPr>
          <w:rFonts w:ascii="Times New Roman" w:hAnsi="Times New Roman" w:cs="Times New Roman"/>
          <w:bCs/>
          <w:color w:val="0070C0"/>
          <w:vertAlign w:val="superscript"/>
        </w:rPr>
        <w:t>,</w:t>
      </w:r>
      <w:r w:rsidRPr="009D0416">
        <w:rPr>
          <w:rStyle w:val="FootnoteReference"/>
          <w:rFonts w:ascii="Times New Roman" w:hAnsi="Times New Roman"/>
          <w:color w:val="0070C0"/>
        </w:rPr>
        <w:footnoteReference w:id="13"/>
      </w:r>
      <w:r w:rsidRPr="009D0416">
        <w:rPr>
          <w:rFonts w:ascii="Times New Roman" w:hAnsi="Times New Roman" w:cs="Times New Roman"/>
          <w:bCs/>
          <w:color w:val="0070C0"/>
        </w:rPr>
        <w:t xml:space="preserve"> Testing for social risk factors is further detailed in section 2b3.4b</w:t>
      </w:r>
      <w:r w:rsidR="008B099E">
        <w:rPr>
          <w:rFonts w:ascii="Times New Roman" w:hAnsi="Times New Roman" w:cs="Times New Roman"/>
          <w:bCs/>
          <w:color w:val="0070C0"/>
        </w:rPr>
        <w:t>.</w:t>
      </w:r>
    </w:p>
    <w:p w14:paraId="4260792A" w14:textId="019483A8" w:rsidR="00275563" w:rsidRPr="007B0444" w:rsidRDefault="00275563" w:rsidP="00001D73">
      <w:pPr>
        <w:autoSpaceDE w:val="0"/>
        <w:autoSpaceDN w:val="0"/>
        <w:adjustRightInd w:val="0"/>
        <w:spacing w:after="0" w:line="240" w:lineRule="auto"/>
        <w:rPr>
          <w:rFonts w:cstheme="minorHAnsi"/>
          <w:b/>
          <w:bCs/>
        </w:rPr>
      </w:pPr>
      <w:r w:rsidRPr="007B0444">
        <w:rPr>
          <w:rFonts w:cstheme="minorHAnsi"/>
          <w:b/>
          <w:bCs/>
        </w:rPr>
        <w:t xml:space="preserve">2b3.3b. How was the conceptual model </w:t>
      </w:r>
      <w:r w:rsidR="00CE284E" w:rsidRPr="007B0444">
        <w:rPr>
          <w:rFonts w:cstheme="minorHAnsi"/>
          <w:b/>
          <w:bCs/>
        </w:rPr>
        <w:t xml:space="preserve">of how social risk impacts this outcome </w:t>
      </w:r>
      <w:r w:rsidRPr="007B0444">
        <w:rPr>
          <w:rFonts w:cstheme="minorHAnsi"/>
          <w:b/>
          <w:bCs/>
        </w:rPr>
        <w:t>developed?  Please check all that apply:</w:t>
      </w:r>
    </w:p>
    <w:p w14:paraId="2B47DA83" w14:textId="4736E2A8" w:rsidR="00275563" w:rsidRPr="007B0444" w:rsidRDefault="0056462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A515A" w:rsidRPr="007B0444">
            <w:rPr>
              <w:rFonts w:ascii="MS Gothic" w:eastAsia="MS Gothic" w:hAnsi="MS Gothic" w:cstheme="minorHAnsi" w:hint="eastAsia"/>
              <w:bCs/>
              <w:color w:val="0000FF"/>
            </w:rPr>
            <w:t>☒</w:t>
          </w:r>
        </w:sdtContent>
      </w:sdt>
      <w:r w:rsidR="00275563" w:rsidRPr="007B0444">
        <w:rPr>
          <w:rFonts w:eastAsia="MS Mincho" w:cstheme="minorHAnsi"/>
          <w:b/>
          <w:bCs/>
          <w:color w:val="0000FF"/>
        </w:rPr>
        <w:t xml:space="preserve"> </w:t>
      </w:r>
      <w:r w:rsidR="00CE284E" w:rsidRPr="007B0444">
        <w:rPr>
          <w:rFonts w:cstheme="minorHAnsi"/>
          <w:b/>
          <w:bCs/>
        </w:rPr>
        <w:t>Published l</w:t>
      </w:r>
      <w:r w:rsidR="00275563" w:rsidRPr="007B0444">
        <w:rPr>
          <w:rFonts w:cstheme="minorHAnsi"/>
          <w:b/>
          <w:bCs/>
        </w:rPr>
        <w:t>iterature</w:t>
      </w:r>
    </w:p>
    <w:p w14:paraId="7E969A3E" w14:textId="27DFB330" w:rsidR="00275563" w:rsidRPr="007B0444" w:rsidRDefault="0056462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8A515A" w:rsidRPr="007B0444">
            <w:rPr>
              <w:rFonts w:ascii="MS Gothic" w:eastAsia="MS Gothic" w:hAnsi="MS Gothic" w:cstheme="minorHAnsi" w:hint="eastAsia"/>
              <w:bCs/>
              <w:color w:val="0000FF"/>
            </w:rPr>
            <w:t>☒</w:t>
          </w:r>
        </w:sdtContent>
      </w:sdt>
      <w:r w:rsidR="00275563" w:rsidRPr="007B0444">
        <w:rPr>
          <w:rFonts w:cstheme="minorHAnsi"/>
          <w:bCs/>
          <w:color w:val="0000FF"/>
        </w:rPr>
        <w:t xml:space="preserve"> </w:t>
      </w:r>
      <w:r w:rsidR="00CE284E" w:rsidRPr="007B0444">
        <w:rPr>
          <w:rFonts w:cstheme="minorHAnsi"/>
          <w:b/>
          <w:bCs/>
        </w:rPr>
        <w:t>Internal d</w:t>
      </w:r>
      <w:r w:rsidR="00275563" w:rsidRPr="007B0444">
        <w:rPr>
          <w:rFonts w:cstheme="minorHAnsi"/>
          <w:b/>
          <w:bCs/>
        </w:rPr>
        <w:t>ata</w:t>
      </w:r>
      <w:r w:rsidR="00CE284E" w:rsidRPr="007B0444">
        <w:rPr>
          <w:rFonts w:cstheme="minorHAnsi"/>
          <w:b/>
          <w:bCs/>
        </w:rPr>
        <w:t xml:space="preserve"> analysis</w:t>
      </w:r>
    </w:p>
    <w:p w14:paraId="72A847BD" w14:textId="1489D6C2" w:rsidR="00275563" w:rsidRPr="007B0444" w:rsidRDefault="0056462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7B0444">
            <w:rPr>
              <w:rFonts w:ascii="MS Gothic" w:eastAsia="MS Gothic" w:cstheme="minorHAnsi" w:hint="eastAsia"/>
              <w:bCs/>
              <w:color w:val="0000FF"/>
            </w:rPr>
            <w:t>☐</w:t>
          </w:r>
        </w:sdtContent>
      </w:sdt>
      <w:r w:rsidR="00275563" w:rsidRPr="007B0444">
        <w:rPr>
          <w:rFonts w:eastAsia="MS Mincho" w:cstheme="minorHAnsi"/>
          <w:b/>
          <w:bCs/>
          <w:color w:val="0000FF"/>
        </w:rPr>
        <w:t xml:space="preserve"> </w:t>
      </w:r>
      <w:r w:rsidR="00275563" w:rsidRPr="007B0444">
        <w:rPr>
          <w:rFonts w:cstheme="minorHAnsi"/>
          <w:b/>
          <w:bCs/>
        </w:rPr>
        <w:t>Other (please describe)</w:t>
      </w:r>
    </w:p>
    <w:p w14:paraId="7C5644B4" w14:textId="77777777" w:rsidR="00275563" w:rsidRPr="007B0444" w:rsidRDefault="00275563" w:rsidP="00001D73">
      <w:pPr>
        <w:autoSpaceDE w:val="0"/>
        <w:autoSpaceDN w:val="0"/>
        <w:adjustRightInd w:val="0"/>
        <w:spacing w:after="0" w:line="240" w:lineRule="auto"/>
        <w:rPr>
          <w:rFonts w:cstheme="minorHAnsi"/>
          <w:b/>
          <w:bCs/>
        </w:rPr>
      </w:pPr>
    </w:p>
    <w:p w14:paraId="19C5C330" w14:textId="77777777" w:rsidR="00DE0588" w:rsidRPr="007B0444" w:rsidRDefault="009C7513" w:rsidP="00001D73">
      <w:pPr>
        <w:autoSpaceDE w:val="0"/>
        <w:autoSpaceDN w:val="0"/>
        <w:adjustRightInd w:val="0"/>
        <w:spacing w:after="0" w:line="240" w:lineRule="auto"/>
        <w:rPr>
          <w:rFonts w:cstheme="minorHAnsi"/>
          <w:b/>
          <w:bCs/>
        </w:rPr>
      </w:pPr>
      <w:r w:rsidRPr="007B0444">
        <w:rPr>
          <w:rFonts w:cstheme="minorHAnsi"/>
          <w:b/>
          <w:bCs/>
        </w:rPr>
        <w:t>2b3</w:t>
      </w:r>
      <w:r w:rsidR="00092566" w:rsidRPr="007B0444">
        <w:rPr>
          <w:rFonts w:cstheme="minorHAnsi"/>
          <w:b/>
          <w:bCs/>
        </w:rPr>
        <w:t>.4</w:t>
      </w:r>
      <w:r w:rsidR="00193F21" w:rsidRPr="007B0444">
        <w:rPr>
          <w:rFonts w:cstheme="minorHAnsi"/>
          <w:b/>
          <w:bCs/>
        </w:rPr>
        <w:t>a</w:t>
      </w:r>
      <w:r w:rsidR="00092566" w:rsidRPr="007B0444">
        <w:rPr>
          <w:rFonts w:cstheme="minorHAnsi"/>
          <w:b/>
          <w:bCs/>
        </w:rPr>
        <w:t>. What were the statistical results of the analyses used to select risk factors?</w:t>
      </w:r>
    </w:p>
    <w:p w14:paraId="323AEDE9" w14:textId="1060E206" w:rsidR="00DE0588" w:rsidRPr="009D0416" w:rsidRDefault="00D12E9C" w:rsidP="00C87DB8">
      <w:pPr>
        <w:autoSpaceDE w:val="0"/>
        <w:autoSpaceDN w:val="0"/>
        <w:adjustRightInd w:val="0"/>
        <w:spacing w:line="240" w:lineRule="auto"/>
        <w:rPr>
          <w:rFonts w:ascii="Times New Roman" w:hAnsi="Times New Roman" w:cs="Times New Roman"/>
          <w:color w:val="0070C0"/>
        </w:rPr>
      </w:pPr>
      <w:r w:rsidRPr="009D0416">
        <w:rPr>
          <w:rFonts w:ascii="Times New Roman" w:hAnsi="Times New Roman" w:cs="Times New Roman"/>
          <w:bCs/>
          <w:color w:val="0070C0"/>
        </w:rPr>
        <w:t xml:space="preserve">The literature has extensively tested the use of the HCC model as applied to Medicare claims data. Although the variables in the HCC model were chosen to predict annual cost, CMS has also used this risk adjustment model in a number of other settings (e.g., ACOs, previous physician QRUR programs, and other measures such as NQF #2158: MSPB-Hospital cost measure). </w:t>
      </w:r>
      <w:r w:rsidR="00DF5587" w:rsidRPr="009D0416">
        <w:rPr>
          <w:rFonts w:ascii="Times New Roman" w:hAnsi="Times New Roman" w:cs="Times New Roman"/>
          <w:bCs/>
          <w:color w:val="0070C0"/>
        </w:rPr>
        <w:t>T</w:t>
      </w:r>
      <w:r w:rsidRPr="009D0416">
        <w:rPr>
          <w:rFonts w:ascii="Times New Roman" w:hAnsi="Times New Roman" w:cs="Times New Roman"/>
          <w:bCs/>
          <w:color w:val="0070C0"/>
        </w:rPr>
        <w:t xml:space="preserve">he risk model </w:t>
      </w:r>
      <w:r w:rsidR="00DF5587" w:rsidRPr="009D0416">
        <w:rPr>
          <w:rFonts w:ascii="Times New Roman" w:hAnsi="Times New Roman" w:cs="Times New Roman"/>
          <w:bCs/>
          <w:color w:val="0070C0"/>
        </w:rPr>
        <w:t>in TPCC applies</w:t>
      </w:r>
      <w:r w:rsidRPr="009D0416">
        <w:rPr>
          <w:rFonts w:ascii="Times New Roman" w:hAnsi="Times New Roman" w:cs="Times New Roman"/>
          <w:bCs/>
          <w:color w:val="0070C0"/>
        </w:rPr>
        <w:t xml:space="preserve"> </w:t>
      </w:r>
      <w:r w:rsidR="00DF5587" w:rsidRPr="009D0416">
        <w:rPr>
          <w:rFonts w:ascii="Times New Roman" w:hAnsi="Times New Roman" w:cs="Times New Roman"/>
          <w:bCs/>
          <w:color w:val="0070C0"/>
        </w:rPr>
        <w:t>coefficients (i.e. risk scores) as predicted by</w:t>
      </w:r>
      <w:r w:rsidRPr="009D0416">
        <w:rPr>
          <w:rFonts w:ascii="Times New Roman" w:hAnsi="Times New Roman" w:cs="Times New Roman"/>
          <w:bCs/>
          <w:color w:val="0070C0"/>
        </w:rPr>
        <w:t xml:space="preserve"> the CMS-HCC </w:t>
      </w:r>
      <w:r w:rsidR="00DF5587" w:rsidRPr="009D0416">
        <w:rPr>
          <w:rFonts w:ascii="Times New Roman" w:hAnsi="Times New Roman" w:cs="Times New Roman"/>
          <w:bCs/>
          <w:color w:val="0070C0"/>
        </w:rPr>
        <w:t xml:space="preserve">and ESRD-HCC </w:t>
      </w:r>
      <w:r w:rsidRPr="009D0416">
        <w:rPr>
          <w:rFonts w:ascii="Times New Roman" w:hAnsi="Times New Roman" w:cs="Times New Roman"/>
          <w:bCs/>
          <w:color w:val="0070C0"/>
        </w:rPr>
        <w:t>model</w:t>
      </w:r>
      <w:r w:rsidR="00DF5587" w:rsidRPr="009D0416">
        <w:rPr>
          <w:rFonts w:ascii="Times New Roman" w:hAnsi="Times New Roman" w:cs="Times New Roman"/>
          <w:bCs/>
          <w:color w:val="0070C0"/>
        </w:rPr>
        <w:t>s in Medicare Advantage.</w:t>
      </w:r>
      <w:r w:rsidRPr="009D0416">
        <w:rPr>
          <w:rFonts w:ascii="Times New Roman" w:hAnsi="Times New Roman" w:cs="Times New Roman"/>
          <w:bCs/>
          <w:color w:val="0070C0"/>
        </w:rPr>
        <w:t xml:space="preserve"> </w:t>
      </w:r>
      <w:r w:rsidR="00DF5587" w:rsidRPr="009D0416">
        <w:rPr>
          <w:rFonts w:ascii="Times New Roman" w:hAnsi="Times New Roman" w:cs="Times New Roman"/>
          <w:bCs/>
          <w:color w:val="0070C0"/>
        </w:rPr>
        <w:t>T</w:t>
      </w:r>
      <w:r w:rsidRPr="009D0416">
        <w:rPr>
          <w:rFonts w:ascii="Times New Roman" w:hAnsi="Times New Roman" w:cs="Times New Roman"/>
          <w:color w:val="0070C0"/>
        </w:rPr>
        <w:t xml:space="preserve">esting results for factors included in the CMS-HCC V22 model can be found in the Pope et </w:t>
      </w:r>
      <w:r w:rsidRPr="009D0416">
        <w:rPr>
          <w:rFonts w:ascii="Times New Roman" w:hAnsi="Times New Roman" w:cs="Times New Roman"/>
          <w:color w:val="0070C0"/>
        </w:rPr>
        <w:lastRenderedPageBreak/>
        <w:t>al (2011) report and the December 2018 CMS Report to Congress on risk adjustment in Medicare Advantage.</w:t>
      </w:r>
      <w:bookmarkStart w:id="1" w:name="_Ref26358139"/>
      <w:r w:rsidRPr="009D0416">
        <w:rPr>
          <w:rStyle w:val="FootnoteReference"/>
          <w:rFonts w:ascii="Times New Roman" w:hAnsi="Times New Roman"/>
          <w:bCs/>
          <w:color w:val="0070C0"/>
        </w:rPr>
        <w:footnoteReference w:id="14"/>
      </w:r>
      <w:bookmarkEnd w:id="1"/>
      <w:r w:rsidRPr="009D0416">
        <w:rPr>
          <w:rFonts w:ascii="Times New Roman" w:hAnsi="Times New Roman" w:cs="Times New Roman"/>
          <w:color w:val="0070C0"/>
          <w:vertAlign w:val="superscript"/>
        </w:rPr>
        <w:t>,</w:t>
      </w:r>
      <w:r w:rsidRPr="009D0416">
        <w:rPr>
          <w:rStyle w:val="FootnoteReference"/>
          <w:rFonts w:ascii="Times New Roman" w:hAnsi="Times New Roman"/>
          <w:color w:val="0070C0"/>
        </w:rPr>
        <w:footnoteReference w:id="15"/>
      </w:r>
      <w:r w:rsidRPr="009D0416">
        <w:rPr>
          <w:rFonts w:ascii="Times New Roman" w:hAnsi="Times New Roman" w:cs="Times New Roman"/>
          <w:color w:val="0070C0"/>
        </w:rPr>
        <w:t xml:space="preserve"> </w:t>
      </w:r>
    </w:p>
    <w:p w14:paraId="34F4D3BF" w14:textId="77777777" w:rsidR="00C427B8" w:rsidRPr="007B0444" w:rsidRDefault="00C427B8" w:rsidP="00C427B8">
      <w:pPr>
        <w:autoSpaceDE w:val="0"/>
        <w:autoSpaceDN w:val="0"/>
        <w:adjustRightInd w:val="0"/>
        <w:spacing w:after="0" w:line="240" w:lineRule="auto"/>
        <w:rPr>
          <w:rFonts w:cstheme="minorHAnsi"/>
          <w:b/>
          <w:bCs/>
        </w:rPr>
      </w:pPr>
      <w:r w:rsidRPr="007B0444">
        <w:rPr>
          <w:rFonts w:cstheme="minorHAnsi"/>
          <w:b/>
          <w:bCs/>
        </w:rPr>
        <w:t xml:space="preserve">2b3.4b. Describe the analyses and interpretation resulting in the decision to select social risk factors </w:t>
      </w:r>
      <w:r w:rsidRPr="007B0444">
        <w:rPr>
          <w:rFonts w:cstheme="minorHAnsi"/>
          <w:bCs/>
          <w:i/>
        </w:rPr>
        <w:t xml:space="preserve">(e.g. prevalence of the factor across measured entities, empirical association with the outcome, contribution of unique variation in the outcome, assessment of between-unit effects and within-unit effects.)  </w:t>
      </w:r>
      <w:r w:rsidRPr="007B0444">
        <w:rPr>
          <w:rFonts w:cstheme="minorHAnsi"/>
          <w:b/>
          <w:bCs/>
        </w:rPr>
        <w:t>Also describe the impact of adjusting for social risk (or not) on providers at high or low extremes of risk.</w:t>
      </w:r>
    </w:p>
    <w:p w14:paraId="4F17133C" w14:textId="650F80CE" w:rsidR="009E0180" w:rsidRDefault="009E0180" w:rsidP="00D12E9C">
      <w:pPr>
        <w:autoSpaceDE w:val="0"/>
        <w:autoSpaceDN w:val="0"/>
        <w:adjustRightInd w:val="0"/>
        <w:spacing w:after="0" w:line="240" w:lineRule="auto"/>
        <w:rPr>
          <w:rFonts w:ascii="Times New Roman" w:hAnsi="Times New Roman" w:cs="Times New Roman"/>
          <w:bCs/>
          <w:color w:val="0070C0"/>
        </w:rPr>
      </w:pPr>
      <w:r w:rsidRPr="009E0180">
        <w:rPr>
          <w:rFonts w:ascii="Times New Roman" w:hAnsi="Times New Roman" w:cs="Times New Roman"/>
          <w:bCs/>
          <w:color w:val="0070C0"/>
        </w:rPr>
        <w:t>The CMS-HCC V22 and CMS-ESRD V21 include risk adjustors for gender and low income status (as identified through dual enrollment status) in a series of interacted variables to account for social risk factors. The Medicare Advantage program uses these risk adjustment models to predict total annual cost of care, analogous to the total costs included in the TPCC measure; this broad purpose is conceptually distinct from many other, more narrowly targeted cost and quality performance measures used by CMS. The TPCC measure does not re-estimate these risk adjustment models, but instead uses the risk score coefficients obtained directly from CMS as calculated for use in the Medicare Advantage program.</w:t>
      </w:r>
    </w:p>
    <w:p w14:paraId="1ECD4890" w14:textId="77777777" w:rsidR="009E0180" w:rsidRDefault="009E0180" w:rsidP="00D12E9C">
      <w:pPr>
        <w:autoSpaceDE w:val="0"/>
        <w:autoSpaceDN w:val="0"/>
        <w:adjustRightInd w:val="0"/>
        <w:spacing w:after="0" w:line="240" w:lineRule="auto"/>
        <w:rPr>
          <w:rFonts w:ascii="Times New Roman" w:hAnsi="Times New Roman" w:cs="Times New Roman"/>
          <w:bCs/>
          <w:color w:val="0070C0"/>
        </w:rPr>
      </w:pPr>
    </w:p>
    <w:p w14:paraId="11262BF4" w14:textId="753B4D16" w:rsidR="009C5625" w:rsidRDefault="009E0180" w:rsidP="00D12E9C">
      <w:pPr>
        <w:autoSpaceDE w:val="0"/>
        <w:autoSpaceDN w:val="0"/>
        <w:adjustRightInd w:val="0"/>
        <w:spacing w:after="0" w:line="240" w:lineRule="auto"/>
        <w:rPr>
          <w:rFonts w:ascii="Times New Roman" w:hAnsi="Times New Roman" w:cs="Times New Roman"/>
          <w:bCs/>
          <w:color w:val="0070C0"/>
        </w:rPr>
      </w:pPr>
      <w:r w:rsidRPr="009E0180">
        <w:rPr>
          <w:rFonts w:ascii="Times New Roman" w:hAnsi="Times New Roman" w:cs="Times New Roman"/>
          <w:bCs/>
          <w:color w:val="0070C0"/>
        </w:rPr>
        <w:t>To test the impact of these social risk factors on the TPCC measure, we estimated analogous regressions using mean monthly cost for beneficiaries included in the TPCC measure as the dependent variable. We analyzed the effects of removing gender and dual from the existing model and adding additional indicators for social risk factors using the AHRQ SES index. We examined the impact of social risk factors in our risk adjustment model by running goodness of fit tests when different risk factors are added or subtracted and compared results to the base risk adjustment model, where the base risk adjustment model refers to the standard set of risk adjustment variables in the CMS-HCC V22 and CMS-ESRD V21 models.</w:t>
      </w:r>
    </w:p>
    <w:p w14:paraId="7F093AC7" w14:textId="77777777" w:rsidR="009E0180" w:rsidRPr="009D0416" w:rsidRDefault="009E0180" w:rsidP="00D12E9C">
      <w:pPr>
        <w:autoSpaceDE w:val="0"/>
        <w:autoSpaceDN w:val="0"/>
        <w:adjustRightInd w:val="0"/>
        <w:spacing w:after="0" w:line="240" w:lineRule="auto"/>
        <w:rPr>
          <w:rFonts w:ascii="Times New Roman" w:hAnsi="Times New Roman" w:cs="Times New Roman"/>
          <w:bCs/>
          <w:color w:val="0070C0"/>
        </w:rPr>
      </w:pPr>
    </w:p>
    <w:p w14:paraId="249AEFCD" w14:textId="48393120" w:rsidR="009C5625" w:rsidRDefault="009E0180" w:rsidP="00D12E9C">
      <w:pPr>
        <w:autoSpaceDE w:val="0"/>
        <w:autoSpaceDN w:val="0"/>
        <w:adjustRightInd w:val="0"/>
        <w:spacing w:after="0" w:line="240" w:lineRule="auto"/>
        <w:rPr>
          <w:rFonts w:ascii="Times New Roman" w:hAnsi="Times New Roman" w:cs="Times New Roman"/>
          <w:bCs/>
          <w:color w:val="0070C0"/>
        </w:rPr>
      </w:pPr>
      <w:r w:rsidRPr="009E0180">
        <w:rPr>
          <w:rFonts w:ascii="Times New Roman" w:hAnsi="Times New Roman" w:cs="Times New Roman"/>
          <w:bCs/>
          <w:color w:val="0070C0"/>
        </w:rPr>
        <w:t>First, we analyzed the model coefficients and p-values for each of the models with and without social risk factors to understand whether any of the social risk factor covariates are predictive of a beneficiary’s monthly cost. The T-tests revealed significant p-values for the majority of factors that interact with gender or dual, indicating that social risk factors are likely predictive of resource use among beneficiaries for the relevant characteristic. For the community, institutional, and dialysis models, dual enrollment is associated with systematically higher cost. The addition of AHRQ SES index was significant and negative in value for the community, institutional, and new enrollee models, but not found to be significant in either the dialysis or new enrollee dialysis models. The adjusted R-squared of the models with gender and dual removed decreased by less than 0.005 for the Community, Institutional, New Enrollee, and Community Dialysis models when compared to the base model including these factors. The adjusted R-squared for the New Enrollee Dialysis model decreased by 0.018. When including the AHRQ SES index, there was nearly no difference in adjusted R-squared for all five models. Appendix Tables 2b3.4b.a and 2b3.4b.b present these results.</w:t>
      </w:r>
    </w:p>
    <w:p w14:paraId="551E710A" w14:textId="77777777" w:rsidR="009E0180" w:rsidRPr="009D0416" w:rsidRDefault="009E0180" w:rsidP="00D12E9C">
      <w:pPr>
        <w:autoSpaceDE w:val="0"/>
        <w:autoSpaceDN w:val="0"/>
        <w:adjustRightInd w:val="0"/>
        <w:spacing w:after="0" w:line="240" w:lineRule="auto"/>
        <w:rPr>
          <w:rFonts w:ascii="Times New Roman" w:hAnsi="Times New Roman" w:cs="Times New Roman"/>
          <w:bCs/>
          <w:color w:val="0070C0"/>
        </w:rPr>
      </w:pPr>
    </w:p>
    <w:p w14:paraId="6B2EBE3E" w14:textId="73C4A545" w:rsidR="009C5625" w:rsidRDefault="009E0180" w:rsidP="00D12E9C">
      <w:pPr>
        <w:autoSpaceDE w:val="0"/>
        <w:autoSpaceDN w:val="0"/>
        <w:adjustRightInd w:val="0"/>
        <w:spacing w:after="0" w:line="240" w:lineRule="auto"/>
        <w:rPr>
          <w:rFonts w:ascii="Times New Roman" w:hAnsi="Times New Roman" w:cs="Times New Roman"/>
          <w:bCs/>
          <w:color w:val="0070C0"/>
        </w:rPr>
      </w:pPr>
      <w:r w:rsidRPr="009E0180">
        <w:rPr>
          <w:rFonts w:ascii="Times New Roman" w:hAnsi="Times New Roman" w:cs="Times New Roman"/>
          <w:bCs/>
          <w:color w:val="0070C0"/>
        </w:rPr>
        <w:t xml:space="preserve">Secondly, we analyzed the impact of social risk factors on the overall model performance by looking at differences in measure scores calculated with and without social risk factors. Results indicate minor differences in measure score performance, with the removal of gender and dual status having larger effects than the addition of the AHRQ SES index. The measure scores for 87.1 percent of TINs and 85.3 percent of TIN-NPIs changed by ±1 percent or less when gender and dual were removed and compared to the base risk adjustment model. When adding the AHRQ SES index and comparing to the base model, 91.1 percent of TINs and 92.8 percent of TIN-NPIs changed by ±1 percent or less. Scores for nearly 100 </w:t>
      </w:r>
      <w:r w:rsidRPr="009E0180">
        <w:rPr>
          <w:rFonts w:ascii="Times New Roman" w:hAnsi="Times New Roman" w:cs="Times New Roman"/>
          <w:bCs/>
          <w:color w:val="0070C0"/>
        </w:rPr>
        <w:lastRenderedPageBreak/>
        <w:t>percent (&gt;=99.99%) of TINs and TIN-NPIs changed by ±10 percent or less. Appendix Table 2b3.4b.c presents these results in detail.</w:t>
      </w:r>
    </w:p>
    <w:p w14:paraId="5A053A7B" w14:textId="77777777" w:rsidR="009E0180" w:rsidRPr="009D0416" w:rsidRDefault="009E0180" w:rsidP="00D12E9C">
      <w:pPr>
        <w:autoSpaceDE w:val="0"/>
        <w:autoSpaceDN w:val="0"/>
        <w:adjustRightInd w:val="0"/>
        <w:spacing w:after="0" w:line="240" w:lineRule="auto"/>
        <w:rPr>
          <w:rFonts w:ascii="Times New Roman" w:hAnsi="Times New Roman" w:cs="Times New Roman"/>
          <w:bCs/>
          <w:color w:val="0070C0"/>
        </w:rPr>
      </w:pPr>
    </w:p>
    <w:p w14:paraId="066676A8" w14:textId="34F797C7" w:rsidR="00C427B8" w:rsidRDefault="009E0180" w:rsidP="00C427B8">
      <w:pPr>
        <w:autoSpaceDE w:val="0"/>
        <w:autoSpaceDN w:val="0"/>
        <w:adjustRightInd w:val="0"/>
        <w:spacing w:after="0" w:line="240" w:lineRule="auto"/>
        <w:rPr>
          <w:rFonts w:ascii="Times New Roman" w:hAnsi="Times New Roman" w:cs="Times New Roman"/>
          <w:bCs/>
          <w:color w:val="0070C0"/>
        </w:rPr>
      </w:pPr>
      <w:r w:rsidRPr="009E0180">
        <w:rPr>
          <w:rFonts w:ascii="Times New Roman" w:hAnsi="Times New Roman" w:cs="Times New Roman"/>
          <w:bCs/>
          <w:color w:val="0070C0"/>
        </w:rPr>
        <w:t>Finally, we analyzed the correlation between measure scores calculated by risk adjustment models with varied risk factors included. When removing dual and gender and comparing to the base model, the measure scores were highly correlated at both TIN and TIN-NPI levels, with Spearman correlation coefficients of 0.998 for both levels. Similar results were found when adding the AHRQ SES index compared to the base model. These results indicate that the inclusion of additional social risk factors (through the AHRQ SES index) in the current risk adjustment model only has a minor effect on measure scores. Appendix Table 2b3.4b.d presents these results in detail.</w:t>
      </w:r>
    </w:p>
    <w:p w14:paraId="198683D6" w14:textId="6D9D1F1E" w:rsidR="009E0180" w:rsidRDefault="009E0180" w:rsidP="00C427B8">
      <w:pPr>
        <w:autoSpaceDE w:val="0"/>
        <w:autoSpaceDN w:val="0"/>
        <w:adjustRightInd w:val="0"/>
        <w:spacing w:after="0" w:line="240" w:lineRule="auto"/>
        <w:rPr>
          <w:rFonts w:ascii="Times New Roman" w:hAnsi="Times New Roman" w:cs="Times New Roman"/>
          <w:bCs/>
          <w:color w:val="0070C0"/>
        </w:rPr>
      </w:pPr>
    </w:p>
    <w:p w14:paraId="3FBFC0FA" w14:textId="76E6AFE1" w:rsidR="009E0180" w:rsidRDefault="009E0180" w:rsidP="00C427B8">
      <w:pPr>
        <w:autoSpaceDE w:val="0"/>
        <w:autoSpaceDN w:val="0"/>
        <w:adjustRightInd w:val="0"/>
        <w:spacing w:after="0" w:line="240" w:lineRule="auto"/>
        <w:rPr>
          <w:rFonts w:ascii="Times New Roman" w:hAnsi="Times New Roman" w:cs="Times New Roman"/>
          <w:bCs/>
          <w:color w:val="0070C0"/>
        </w:rPr>
      </w:pPr>
      <w:r w:rsidRPr="009E0180">
        <w:rPr>
          <w:rFonts w:ascii="Times New Roman" w:hAnsi="Times New Roman" w:cs="Times New Roman"/>
          <w:bCs/>
          <w:color w:val="0070C0"/>
        </w:rPr>
        <w:t>Based on the results above, we find no evidence requiring a departure from the standard Medicare Advantage model, which has long incorporated gender and dual status to predict total Medicare costs and which has served as the foundation of the original TPCC measure used in the CMS’ Quality and Resource Use Report (QRUR) program for clinicians.</w:t>
      </w:r>
    </w:p>
    <w:p w14:paraId="00BC49DC" w14:textId="77777777" w:rsidR="009E0180" w:rsidRPr="009D0416" w:rsidRDefault="009E0180" w:rsidP="00C427B8">
      <w:pPr>
        <w:autoSpaceDE w:val="0"/>
        <w:autoSpaceDN w:val="0"/>
        <w:adjustRightInd w:val="0"/>
        <w:spacing w:after="0" w:line="240" w:lineRule="auto"/>
        <w:rPr>
          <w:rFonts w:ascii="Times New Roman" w:hAnsi="Times New Roman" w:cs="Times New Roman"/>
          <w:b/>
          <w:bCs/>
        </w:rPr>
      </w:pPr>
    </w:p>
    <w:p w14:paraId="4F0EF7BD" w14:textId="074D1B06" w:rsidR="00C427B8" w:rsidRDefault="00C427B8" w:rsidP="00C427B8">
      <w:pPr>
        <w:autoSpaceDE w:val="0"/>
        <w:autoSpaceDN w:val="0"/>
        <w:adjustRightInd w:val="0"/>
        <w:spacing w:after="0" w:line="240" w:lineRule="auto"/>
        <w:rPr>
          <w:rFonts w:cstheme="minorHAnsi"/>
          <w:b/>
          <w:bCs/>
        </w:rPr>
      </w:pPr>
      <w:r w:rsidRPr="007B0444">
        <w:rPr>
          <w:rFonts w:cstheme="minorHAnsi"/>
          <w:b/>
          <w:bCs/>
        </w:rPr>
        <w:t xml:space="preserve">2b3.5. Describe the method of testing/analysis used to develop and validate the adequacy of the statistical model </w:t>
      </w:r>
      <w:r w:rsidRPr="007B0444">
        <w:rPr>
          <w:rFonts w:cstheme="minorHAnsi"/>
          <w:b/>
          <w:bCs/>
          <w:u w:val="single"/>
        </w:rPr>
        <w:t>or</w:t>
      </w:r>
      <w:r w:rsidRPr="007B0444">
        <w:rPr>
          <w:rFonts w:cstheme="minorHAnsi"/>
          <w:b/>
          <w:bCs/>
        </w:rPr>
        <w:t xml:space="preserve"> stratification approach</w:t>
      </w:r>
      <w:r w:rsidRPr="007B0444">
        <w:rPr>
          <w:rFonts w:cstheme="minorHAnsi"/>
          <w:bCs/>
        </w:rPr>
        <w:t xml:space="preserve"> (</w:t>
      </w:r>
      <w:r w:rsidRPr="007B0444">
        <w:rPr>
          <w:rFonts w:cstheme="minorHAnsi"/>
          <w:bCs/>
          <w:i/>
        </w:rPr>
        <w:t>describe the steps―</w:t>
      </w:r>
      <w:r w:rsidRPr="009C4055">
        <w:rPr>
          <w:rFonts w:cstheme="minorHAnsi"/>
          <w:bCs/>
          <w:i/>
        </w:rPr>
        <w:t>do not just name a method; what statistical analysis was used</w:t>
      </w:r>
      <w:r w:rsidRPr="009C4055">
        <w:rPr>
          <w:rFonts w:cstheme="minorHAnsi"/>
          <w:bCs/>
        </w:rPr>
        <w:t>)</w:t>
      </w:r>
      <w:r w:rsidR="009A2F1E">
        <w:rPr>
          <w:rFonts w:cstheme="minorHAnsi"/>
          <w:bCs/>
        </w:rPr>
        <w:t xml:space="preserve">. </w:t>
      </w:r>
      <w:r w:rsidRPr="009C4055">
        <w:rPr>
          <w:rFonts w:cstheme="minorHAnsi"/>
          <w:bCs/>
          <w:i/>
        </w:rPr>
        <w:t>Provide the statistical results from testing the approach to controlling for differences in patient characteristics (case mix) below</w:t>
      </w:r>
      <w:r w:rsidRPr="009C4055">
        <w:rPr>
          <w:rFonts w:cstheme="minorHAnsi"/>
          <w:bCs/>
        </w:rPr>
        <w:t>.</w:t>
      </w:r>
      <w:r w:rsidRPr="009C4055">
        <w:rPr>
          <w:rFonts w:cstheme="minorHAnsi"/>
          <w:bCs/>
        </w:rPr>
        <w:br/>
      </w:r>
      <w:r w:rsidRPr="009C4055">
        <w:rPr>
          <w:rFonts w:cstheme="minorHAnsi"/>
          <w:b/>
          <w:bCs/>
          <w:i/>
        </w:rPr>
        <w:t xml:space="preserve">If stratified, skip to </w:t>
      </w:r>
      <w:hyperlink w:anchor="question2b49" w:history="1">
        <w:r w:rsidRPr="009C4055">
          <w:rPr>
            <w:rStyle w:val="Hyperlink"/>
            <w:rFonts w:cstheme="minorHAnsi"/>
            <w:b/>
            <w:bCs/>
            <w:i/>
          </w:rPr>
          <w:t>2b3.9</w:t>
        </w:r>
      </w:hyperlink>
    </w:p>
    <w:p w14:paraId="4422C5BA" w14:textId="0A3D01B8" w:rsidR="009A2F1E" w:rsidRPr="009D0416" w:rsidRDefault="004B6D96" w:rsidP="004B6D96">
      <w:pPr>
        <w:autoSpaceDE w:val="0"/>
        <w:autoSpaceDN w:val="0"/>
        <w:adjustRightInd w:val="0"/>
        <w:spacing w:line="240" w:lineRule="auto"/>
        <w:rPr>
          <w:rFonts w:ascii="Times New Roman" w:hAnsi="Times New Roman" w:cs="Times New Roman"/>
          <w:color w:val="0070C0"/>
        </w:rPr>
      </w:pPr>
      <w:r w:rsidRPr="009D0416">
        <w:rPr>
          <w:rFonts w:ascii="Times New Roman" w:hAnsi="Times New Roman" w:cs="Times New Roman"/>
          <w:bCs/>
          <w:color w:val="0070C0"/>
        </w:rPr>
        <w:t>The literature has extensively tested the use of the HCC model as applied to Medicare claims data. Although the variables in the HCC model were chosen to predict annual cost, CMS has also used this risk adjustment model in a number of other settings (e.g., ACOs, previous physician QRUR programs, and other measures such as NQF #2158: MSPB-Hospital cost measure). Recalling that the risk model relies on the existing CMS-HCC model, t</w:t>
      </w:r>
      <w:r w:rsidRPr="009D0416">
        <w:rPr>
          <w:rFonts w:ascii="Times New Roman" w:hAnsi="Times New Roman" w:cs="Times New Roman"/>
          <w:color w:val="0070C0"/>
        </w:rPr>
        <w:t>esting results for factors included in the CMS-HCC V22 model can be found in the Pope et al (2011) report and the December 2018 CMS Report to Congress on risk adjustment in Medicare Advantage.</w:t>
      </w:r>
      <w:r w:rsidRPr="009D0416">
        <w:rPr>
          <w:rStyle w:val="FootnoteReference"/>
          <w:rFonts w:ascii="Times New Roman" w:hAnsi="Times New Roman"/>
          <w:bCs/>
          <w:color w:val="0070C0"/>
        </w:rPr>
        <w:footnoteReference w:id="16"/>
      </w:r>
      <w:r w:rsidRPr="009D0416">
        <w:rPr>
          <w:rFonts w:ascii="Times New Roman" w:hAnsi="Times New Roman" w:cs="Times New Roman"/>
          <w:color w:val="0070C0"/>
          <w:vertAlign w:val="superscript"/>
        </w:rPr>
        <w:t>,</w:t>
      </w:r>
      <w:r w:rsidRPr="009D0416">
        <w:rPr>
          <w:rStyle w:val="FootnoteReference"/>
          <w:rFonts w:ascii="Times New Roman" w:hAnsi="Times New Roman"/>
          <w:color w:val="0070C0"/>
        </w:rPr>
        <w:footnoteReference w:id="17"/>
      </w:r>
      <w:r w:rsidRPr="009D0416">
        <w:rPr>
          <w:rFonts w:ascii="Times New Roman" w:hAnsi="Times New Roman" w:cs="Times New Roman"/>
          <w:color w:val="0070C0"/>
        </w:rPr>
        <w:t xml:space="preserve"> </w:t>
      </w:r>
    </w:p>
    <w:p w14:paraId="3EB51D03" w14:textId="77777777" w:rsidR="009C4055" w:rsidRPr="007B0444" w:rsidRDefault="00C427B8" w:rsidP="00C427B8">
      <w:pPr>
        <w:autoSpaceDE w:val="0"/>
        <w:autoSpaceDN w:val="0"/>
        <w:adjustRightInd w:val="0"/>
        <w:spacing w:after="0" w:line="240" w:lineRule="auto"/>
        <w:rPr>
          <w:rFonts w:cstheme="minorHAnsi"/>
          <w:b/>
          <w:bCs/>
        </w:rPr>
      </w:pPr>
      <w:r w:rsidRPr="007B0444">
        <w:rPr>
          <w:rFonts w:cstheme="minorHAnsi"/>
          <w:b/>
          <w:bCs/>
        </w:rPr>
        <w:t>2b3.6. Statistical Risk Model Discrimination Statistics</w:t>
      </w:r>
      <w:r w:rsidRPr="007B0444">
        <w:rPr>
          <w:rFonts w:cstheme="minorHAnsi"/>
          <w:bCs/>
        </w:rPr>
        <w:t xml:space="preserve"> (</w:t>
      </w:r>
      <w:r w:rsidRPr="007B0444">
        <w:rPr>
          <w:rFonts w:cstheme="minorHAnsi"/>
          <w:bCs/>
          <w:i/>
        </w:rPr>
        <w:t>e.g., c-statistic, R-squared</w:t>
      </w:r>
      <w:r w:rsidRPr="007B0444">
        <w:rPr>
          <w:rFonts w:cstheme="minorHAnsi"/>
          <w:bCs/>
        </w:rPr>
        <w:t>)</w:t>
      </w:r>
      <w:r w:rsidRPr="007B0444">
        <w:rPr>
          <w:rFonts w:cstheme="minorHAnsi"/>
          <w:b/>
          <w:bCs/>
        </w:rPr>
        <w:t xml:space="preserve">:  </w:t>
      </w:r>
    </w:p>
    <w:p w14:paraId="3901CEC8" w14:textId="520B87CD" w:rsidR="008A73C7" w:rsidRPr="009D0416" w:rsidRDefault="008A73C7" w:rsidP="008A73C7">
      <w:pPr>
        <w:autoSpaceDE w:val="0"/>
        <w:autoSpaceDN w:val="0"/>
        <w:adjustRightInd w:val="0"/>
        <w:spacing w:after="0" w:line="240" w:lineRule="auto"/>
        <w:rPr>
          <w:rFonts w:ascii="Times New Roman" w:hAnsi="Times New Roman" w:cs="Times New Roman"/>
          <w:color w:val="0070C0"/>
        </w:rPr>
      </w:pPr>
      <w:r w:rsidRPr="009D0416">
        <w:rPr>
          <w:rFonts w:ascii="Times New Roman" w:hAnsi="Times New Roman" w:cs="Times New Roman"/>
          <w:bCs/>
          <w:color w:val="0070C0"/>
        </w:rPr>
        <w:t xml:space="preserve">The R-squared reported in the December 2018 CMS Report to Congress for the CMS-HCC V22 model for community enrollees, segmented by dual eligibility and disability, range from 0.11 to 0.12. The CMS-ESRD v21 R-squared values are 0.02 and 0.11 for the dialysis new enrollee and dialysis community models, respectively. </w:t>
      </w:r>
    </w:p>
    <w:p w14:paraId="2456E1E1" w14:textId="6347EE50" w:rsidR="00C427B8" w:rsidRPr="009D0416" w:rsidRDefault="00C427B8" w:rsidP="009A2F1E">
      <w:pPr>
        <w:autoSpaceDE w:val="0"/>
        <w:autoSpaceDN w:val="0"/>
        <w:adjustRightInd w:val="0"/>
        <w:spacing w:after="0" w:line="240" w:lineRule="auto"/>
        <w:rPr>
          <w:rFonts w:ascii="Times New Roman" w:hAnsi="Times New Roman" w:cs="Times New Roman"/>
          <w:b/>
          <w:bCs/>
        </w:rPr>
      </w:pPr>
    </w:p>
    <w:p w14:paraId="34242EF5" w14:textId="77777777" w:rsidR="00C427B8" w:rsidRPr="007B0444" w:rsidRDefault="00C427B8" w:rsidP="00C427B8">
      <w:pPr>
        <w:autoSpaceDE w:val="0"/>
        <w:autoSpaceDN w:val="0"/>
        <w:adjustRightInd w:val="0"/>
        <w:spacing w:after="0" w:line="240" w:lineRule="auto"/>
        <w:rPr>
          <w:rFonts w:cstheme="minorHAnsi"/>
          <w:bCs/>
        </w:rPr>
      </w:pPr>
      <w:r w:rsidRPr="007B0444">
        <w:rPr>
          <w:rFonts w:cstheme="minorHAnsi"/>
          <w:b/>
          <w:bCs/>
        </w:rPr>
        <w:t xml:space="preserve">2b3.7. Statistical Risk Model Calibration Statistics </w:t>
      </w:r>
      <w:r w:rsidRPr="007B0444">
        <w:rPr>
          <w:rFonts w:cstheme="minorHAnsi"/>
          <w:bCs/>
        </w:rPr>
        <w:t>(</w:t>
      </w:r>
      <w:r w:rsidRPr="007B0444">
        <w:rPr>
          <w:rFonts w:cstheme="minorHAnsi"/>
          <w:bCs/>
          <w:i/>
        </w:rPr>
        <w:t>e.g., Hosmer-Lemeshow statistic</w:t>
      </w:r>
      <w:r w:rsidRPr="007B0444">
        <w:rPr>
          <w:rFonts w:cstheme="minorHAnsi"/>
          <w:bCs/>
        </w:rPr>
        <w:t xml:space="preserve">):  </w:t>
      </w:r>
    </w:p>
    <w:p w14:paraId="54F12EBB" w14:textId="75C42BCB" w:rsidR="009A2F1E" w:rsidRPr="009D0416" w:rsidRDefault="009C5625" w:rsidP="009A2F1E">
      <w:pPr>
        <w:autoSpaceDE w:val="0"/>
        <w:autoSpaceDN w:val="0"/>
        <w:adjustRightInd w:val="0"/>
        <w:spacing w:after="0" w:line="240" w:lineRule="auto"/>
        <w:rPr>
          <w:rFonts w:ascii="Times New Roman" w:hAnsi="Times New Roman" w:cs="Times New Roman"/>
          <w:b/>
          <w:bCs/>
          <w:color w:val="0070C0"/>
        </w:rPr>
      </w:pPr>
      <w:r w:rsidRPr="009D0416">
        <w:rPr>
          <w:rFonts w:ascii="Times New Roman" w:hAnsi="Times New Roman" w:cs="Times New Roman"/>
          <w:bCs/>
          <w:color w:val="0070C0"/>
        </w:rPr>
        <w:t xml:space="preserve">Included in the standard testing of the HCC and ESRD models in the December 2018 CMS Report to Congress is calibration analyses interpreted as how accurately the risk models’ predictions match the actual beneficiary cost. For each of the risk factors included in the models, predictive ratios were calculated as a ratio of predicted cost to actual cost for subgroups of beneficiaries within the model sample to demonstrate the models’ prediction accuracy. For all models, the predictive ratio is equal to or close to one </w:t>
      </w:r>
      <w:r w:rsidR="001F79E7" w:rsidRPr="009D0416">
        <w:rPr>
          <w:rFonts w:ascii="Times New Roman" w:hAnsi="Times New Roman" w:cs="Times New Roman"/>
          <w:bCs/>
          <w:color w:val="0070C0"/>
        </w:rPr>
        <w:t xml:space="preserve">for many of the </w:t>
      </w:r>
      <w:r w:rsidRPr="009D0416">
        <w:rPr>
          <w:rFonts w:ascii="Times New Roman" w:hAnsi="Times New Roman" w:cs="Times New Roman"/>
          <w:bCs/>
          <w:color w:val="0070C0"/>
        </w:rPr>
        <w:t>risk factors, indicating that the model is accurately predicting actual beneficiary cost for that risk factor</w:t>
      </w:r>
      <w:r w:rsidR="009A2F1E" w:rsidRPr="009D0416">
        <w:rPr>
          <w:rFonts w:ascii="Times New Roman" w:hAnsi="Times New Roman" w:cs="Times New Roman"/>
          <w:bCs/>
          <w:color w:val="0070C0"/>
        </w:rPr>
        <w:t>.</w:t>
      </w:r>
      <w:r w:rsidR="00EF1EAB" w:rsidRPr="009D0416">
        <w:rPr>
          <w:rFonts w:ascii="Times New Roman" w:hAnsi="Times New Roman" w:cs="Times New Roman"/>
          <w:b/>
          <w:bCs/>
          <w:color w:val="0070C0"/>
        </w:rPr>
        <w:t xml:space="preserve"> </w:t>
      </w:r>
      <w:r w:rsidR="001F79E7" w:rsidRPr="009D0416">
        <w:rPr>
          <w:rFonts w:ascii="Times New Roman" w:hAnsi="Times New Roman" w:cs="Times New Roman"/>
          <w:bCs/>
          <w:color w:val="0070C0"/>
        </w:rPr>
        <w:t>The detailed results are presented in the series of Table 5-20 of the December 2018 CMS Report to Congress.</w:t>
      </w:r>
    </w:p>
    <w:p w14:paraId="4C512B31" w14:textId="77777777" w:rsidR="00D902D1" w:rsidRPr="007B0444" w:rsidRDefault="00D902D1" w:rsidP="00C427B8">
      <w:pPr>
        <w:autoSpaceDE w:val="0"/>
        <w:autoSpaceDN w:val="0"/>
        <w:adjustRightInd w:val="0"/>
        <w:spacing w:after="0" w:line="240" w:lineRule="auto"/>
        <w:rPr>
          <w:rFonts w:cstheme="minorHAnsi"/>
          <w:b/>
          <w:bCs/>
        </w:rPr>
      </w:pPr>
    </w:p>
    <w:p w14:paraId="08AB4BC1" w14:textId="37B445BD" w:rsidR="00D902D1" w:rsidRPr="009D0416" w:rsidRDefault="00C427B8" w:rsidP="00D902D1">
      <w:pPr>
        <w:autoSpaceDE w:val="0"/>
        <w:autoSpaceDN w:val="0"/>
        <w:adjustRightInd w:val="0"/>
        <w:spacing w:after="0" w:line="240" w:lineRule="auto"/>
        <w:rPr>
          <w:rFonts w:ascii="Times New Roman" w:hAnsi="Times New Roman" w:cs="Times New Roman"/>
          <w:b/>
          <w:bCs/>
          <w:color w:val="0070C0"/>
        </w:rPr>
      </w:pPr>
      <w:r w:rsidRPr="007B0444">
        <w:rPr>
          <w:rFonts w:cstheme="minorHAnsi"/>
          <w:b/>
          <w:bCs/>
        </w:rPr>
        <w:lastRenderedPageBreak/>
        <w:t>2b3.8. Statistical Risk Model Calibration – Risk decile plots or calibration curves</w:t>
      </w:r>
      <w:r w:rsidRPr="007B0444">
        <w:rPr>
          <w:rFonts w:cstheme="minorHAnsi"/>
          <w:bCs/>
        </w:rPr>
        <w:t>:</w:t>
      </w:r>
      <w:r w:rsidRPr="007B0444">
        <w:rPr>
          <w:rFonts w:cstheme="minorHAnsi"/>
          <w:bCs/>
        </w:rPr>
        <w:br/>
      </w:r>
      <w:r w:rsidR="009C5625" w:rsidRPr="009D0416">
        <w:rPr>
          <w:rFonts w:ascii="Times New Roman" w:hAnsi="Times New Roman" w:cs="Times New Roman"/>
          <w:bCs/>
          <w:color w:val="0070C0"/>
        </w:rPr>
        <w:t>Results of analyses examining predictive ratios by risk decile are included in the December 2018 CMS Report to Congress. Analyses of predictive ratio by risk decile assess the stability of the risk adjustment model among beneficiaries of similar case mixes. As shown in the December 2018 Report to Congress, analyses of these risk deciles for the measure shows that the predictive ratios are generally close to one across all risk score deciles</w:t>
      </w:r>
      <w:r w:rsidR="00D902D1" w:rsidRPr="009D0416">
        <w:rPr>
          <w:rFonts w:ascii="Times New Roman" w:hAnsi="Times New Roman" w:cs="Times New Roman"/>
          <w:bCs/>
          <w:color w:val="0070C0"/>
        </w:rPr>
        <w:t>.</w:t>
      </w:r>
      <w:r w:rsidR="004669BD" w:rsidRPr="009D0416">
        <w:rPr>
          <w:rFonts w:ascii="Times New Roman" w:hAnsi="Times New Roman" w:cs="Times New Roman"/>
          <w:b/>
          <w:bCs/>
          <w:color w:val="0070C0"/>
        </w:rPr>
        <w:t xml:space="preserve"> </w:t>
      </w:r>
    </w:p>
    <w:p w14:paraId="0CABCFFF" w14:textId="2495FA77" w:rsidR="00743E46" w:rsidRPr="009D0416" w:rsidRDefault="00743E46" w:rsidP="00092566">
      <w:pPr>
        <w:autoSpaceDE w:val="0"/>
        <w:autoSpaceDN w:val="0"/>
        <w:adjustRightInd w:val="0"/>
        <w:spacing w:after="0" w:line="240" w:lineRule="auto"/>
        <w:rPr>
          <w:rFonts w:ascii="Times New Roman" w:hAnsi="Times New Roman" w:cs="Times New Roman"/>
          <w:b/>
        </w:rPr>
      </w:pPr>
    </w:p>
    <w:p w14:paraId="28B66DF7" w14:textId="51603189" w:rsidR="000027FA" w:rsidRPr="009D0416" w:rsidRDefault="000027FA" w:rsidP="00092566">
      <w:pPr>
        <w:autoSpaceDE w:val="0"/>
        <w:autoSpaceDN w:val="0"/>
        <w:adjustRightInd w:val="0"/>
        <w:spacing w:after="0" w:line="240" w:lineRule="auto"/>
        <w:rPr>
          <w:rFonts w:ascii="Times New Roman" w:hAnsi="Times New Roman" w:cs="Times New Roman"/>
          <w:color w:val="0070C0"/>
        </w:rPr>
      </w:pPr>
      <w:r w:rsidRPr="009D0416">
        <w:rPr>
          <w:rFonts w:ascii="Times New Roman" w:hAnsi="Times New Roman" w:cs="Times New Roman"/>
          <w:color w:val="0070C0"/>
        </w:rPr>
        <w:t xml:space="preserve">For the TPCC beneficiary population, we divided beneficiaries into risk deciles based on their average risk score observed in the performance period and analyzed their mean risk- and specialty-adjusted monthly cost. </w:t>
      </w:r>
      <w:r w:rsidRPr="00361530">
        <w:rPr>
          <w:rFonts w:ascii="Times New Roman" w:hAnsi="Times New Roman" w:cs="Times New Roman"/>
          <w:b/>
          <w:color w:val="0070C0"/>
        </w:rPr>
        <w:t xml:space="preserve">Table </w:t>
      </w:r>
      <w:r w:rsidR="00093E8F">
        <w:rPr>
          <w:rFonts w:ascii="Times New Roman" w:hAnsi="Times New Roman" w:cs="Times New Roman"/>
          <w:b/>
          <w:color w:val="0070C0"/>
        </w:rPr>
        <w:t>9</w:t>
      </w:r>
      <w:r w:rsidRPr="009D0416">
        <w:rPr>
          <w:rFonts w:ascii="Times New Roman" w:hAnsi="Times New Roman" w:cs="Times New Roman"/>
          <w:color w:val="0070C0"/>
        </w:rPr>
        <w:t xml:space="preserve"> displays these results, showing the range in mean risk- and specialty-adjusted monthly cost across deciles to be $1,0</w:t>
      </w:r>
      <w:r w:rsidR="001F79E7" w:rsidRPr="009D0416">
        <w:rPr>
          <w:rFonts w:ascii="Times New Roman" w:hAnsi="Times New Roman" w:cs="Times New Roman"/>
          <w:color w:val="0070C0"/>
        </w:rPr>
        <w:t>13</w:t>
      </w:r>
      <w:r w:rsidRPr="009D0416">
        <w:rPr>
          <w:rFonts w:ascii="Times New Roman" w:hAnsi="Times New Roman" w:cs="Times New Roman"/>
          <w:color w:val="0070C0"/>
        </w:rPr>
        <w:t xml:space="preserve"> to $1,396.</w:t>
      </w:r>
    </w:p>
    <w:p w14:paraId="1000B0AA" w14:textId="5CEDB15B" w:rsidR="000027FA" w:rsidRDefault="000027FA" w:rsidP="00092566">
      <w:pPr>
        <w:autoSpaceDE w:val="0"/>
        <w:autoSpaceDN w:val="0"/>
        <w:adjustRightInd w:val="0"/>
        <w:spacing w:after="0" w:line="240" w:lineRule="auto"/>
        <w:rPr>
          <w:rFonts w:cstheme="minorHAnsi"/>
          <w:b/>
        </w:rPr>
      </w:pPr>
    </w:p>
    <w:p w14:paraId="25B9DC08" w14:textId="72592683" w:rsidR="000027FA" w:rsidRPr="00361530" w:rsidRDefault="000027FA" w:rsidP="00361530">
      <w:pPr>
        <w:autoSpaceDE w:val="0"/>
        <w:autoSpaceDN w:val="0"/>
        <w:adjustRightInd w:val="0"/>
        <w:spacing w:after="0" w:line="240" w:lineRule="auto"/>
        <w:jc w:val="center"/>
        <w:rPr>
          <w:rFonts w:ascii="Times New Roman" w:hAnsi="Times New Roman" w:cs="Times New Roman"/>
          <w:b/>
        </w:rPr>
      </w:pPr>
      <w:r w:rsidRPr="00361530">
        <w:rPr>
          <w:rFonts w:ascii="Times New Roman" w:hAnsi="Times New Roman" w:cs="Times New Roman"/>
          <w:b/>
          <w:bCs/>
          <w:iCs/>
          <w:color w:val="000000" w:themeColor="text1"/>
        </w:rPr>
        <w:t xml:space="preserve">Table </w:t>
      </w:r>
      <w:r w:rsidR="00093E8F">
        <w:rPr>
          <w:rFonts w:ascii="Times New Roman" w:hAnsi="Times New Roman" w:cs="Times New Roman"/>
          <w:b/>
          <w:bCs/>
          <w:iCs/>
          <w:color w:val="000000" w:themeColor="text1"/>
        </w:rPr>
        <w:t>9</w:t>
      </w:r>
      <w:r w:rsidR="00361530" w:rsidRPr="00361530">
        <w:rPr>
          <w:rFonts w:ascii="Times New Roman" w:hAnsi="Times New Roman" w:cs="Times New Roman"/>
          <w:b/>
          <w:bCs/>
          <w:iCs/>
          <w:color w:val="000000" w:themeColor="text1"/>
        </w:rPr>
        <w:t>.</w:t>
      </w:r>
      <w:r w:rsidRPr="00361530">
        <w:rPr>
          <w:rFonts w:ascii="Times New Roman" w:hAnsi="Times New Roman" w:cs="Times New Roman"/>
          <w:b/>
          <w:bCs/>
          <w:iCs/>
          <w:color w:val="000000" w:themeColor="text1"/>
        </w:rPr>
        <w:t xml:space="preserve"> Mean Risk- and Specialty-Adjusted Monthly Spending by Risk Decile</w:t>
      </w:r>
    </w:p>
    <w:tbl>
      <w:tblPr>
        <w:tblStyle w:val="TableGrid"/>
        <w:tblW w:w="0" w:type="auto"/>
        <w:jc w:val="center"/>
        <w:tblLook w:val="04A0" w:firstRow="1" w:lastRow="0" w:firstColumn="1" w:lastColumn="0" w:noHBand="0" w:noVBand="1"/>
      </w:tblPr>
      <w:tblGrid>
        <w:gridCol w:w="2873"/>
        <w:gridCol w:w="2873"/>
      </w:tblGrid>
      <w:tr w:rsidR="000027FA" w:rsidRPr="00361530" w14:paraId="1F3CE38A" w14:textId="77777777" w:rsidTr="00361530">
        <w:trPr>
          <w:trHeight w:val="252"/>
          <w:jc w:val="center"/>
        </w:trPr>
        <w:tc>
          <w:tcPr>
            <w:tcW w:w="2873" w:type="dxa"/>
            <w:shd w:val="clear" w:color="auto" w:fill="17365D" w:themeFill="text2" w:themeFillShade="BF"/>
            <w:vAlign w:val="center"/>
          </w:tcPr>
          <w:p w14:paraId="3B6C15E6" w14:textId="369903F1" w:rsidR="000027FA" w:rsidRPr="00361530" w:rsidRDefault="000027FA" w:rsidP="000027FA">
            <w:pPr>
              <w:autoSpaceDE w:val="0"/>
              <w:autoSpaceDN w:val="0"/>
              <w:adjustRightInd w:val="0"/>
              <w:jc w:val="center"/>
              <w:rPr>
                <w:rFonts w:ascii="Arial" w:hAnsi="Arial" w:cs="Arial"/>
                <w:b/>
                <w:sz w:val="20"/>
                <w:szCs w:val="20"/>
              </w:rPr>
            </w:pPr>
            <w:r w:rsidRPr="00361530">
              <w:rPr>
                <w:rFonts w:ascii="Arial" w:hAnsi="Arial" w:cs="Arial"/>
                <w:b/>
                <w:sz w:val="20"/>
                <w:szCs w:val="20"/>
              </w:rPr>
              <w:t>Risk Decile (By Mean Beneficiary Risk Score)</w:t>
            </w:r>
          </w:p>
        </w:tc>
        <w:tc>
          <w:tcPr>
            <w:tcW w:w="2873" w:type="dxa"/>
            <w:shd w:val="clear" w:color="auto" w:fill="17365D" w:themeFill="text2" w:themeFillShade="BF"/>
            <w:vAlign w:val="center"/>
          </w:tcPr>
          <w:p w14:paraId="3C90EF66" w14:textId="47C5F4CF" w:rsidR="000027FA" w:rsidRPr="00361530" w:rsidRDefault="000027FA" w:rsidP="000027FA">
            <w:pPr>
              <w:autoSpaceDE w:val="0"/>
              <w:autoSpaceDN w:val="0"/>
              <w:adjustRightInd w:val="0"/>
              <w:jc w:val="center"/>
              <w:rPr>
                <w:rFonts w:ascii="Arial" w:hAnsi="Arial" w:cs="Arial"/>
                <w:b/>
                <w:sz w:val="20"/>
                <w:szCs w:val="20"/>
              </w:rPr>
            </w:pPr>
            <w:r w:rsidRPr="00361530">
              <w:rPr>
                <w:rFonts w:ascii="Arial" w:hAnsi="Arial" w:cs="Arial"/>
                <w:b/>
                <w:sz w:val="20"/>
                <w:szCs w:val="20"/>
              </w:rPr>
              <w:t>Mean Risk-Adjusted, Specialty-Adjusted Cost</w:t>
            </w:r>
          </w:p>
        </w:tc>
      </w:tr>
      <w:tr w:rsidR="001F79E7" w:rsidRPr="00361530" w14:paraId="522F2F65" w14:textId="77777777" w:rsidTr="00361530">
        <w:trPr>
          <w:trHeight w:val="252"/>
          <w:jc w:val="center"/>
        </w:trPr>
        <w:tc>
          <w:tcPr>
            <w:tcW w:w="2873" w:type="dxa"/>
          </w:tcPr>
          <w:p w14:paraId="7DF1E38B" w14:textId="017D51FD"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1</w:t>
            </w:r>
            <w:r w:rsidRPr="00361530">
              <w:rPr>
                <w:rFonts w:ascii="Arial" w:hAnsi="Arial" w:cs="Arial"/>
                <w:sz w:val="20"/>
                <w:szCs w:val="20"/>
                <w:vertAlign w:val="superscript"/>
              </w:rPr>
              <w:t>st</w:t>
            </w:r>
            <w:r w:rsidRPr="00361530">
              <w:rPr>
                <w:rFonts w:ascii="Arial" w:hAnsi="Arial" w:cs="Arial"/>
                <w:sz w:val="20"/>
                <w:szCs w:val="20"/>
              </w:rPr>
              <w:t xml:space="preserve"> Decile (Low Risk Score)</w:t>
            </w:r>
          </w:p>
        </w:tc>
        <w:tc>
          <w:tcPr>
            <w:tcW w:w="2873" w:type="dxa"/>
            <w:vAlign w:val="center"/>
          </w:tcPr>
          <w:p w14:paraId="43B35776" w14:textId="278BEFC4"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$1,205</w:t>
            </w:r>
          </w:p>
        </w:tc>
      </w:tr>
      <w:tr w:rsidR="001F79E7" w:rsidRPr="00361530" w14:paraId="31AE35D8" w14:textId="77777777" w:rsidTr="00361530">
        <w:trPr>
          <w:trHeight w:val="240"/>
          <w:jc w:val="center"/>
        </w:trPr>
        <w:tc>
          <w:tcPr>
            <w:tcW w:w="2873" w:type="dxa"/>
          </w:tcPr>
          <w:p w14:paraId="773A143F" w14:textId="4A0ADAC2"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2</w:t>
            </w:r>
            <w:r w:rsidRPr="00361530">
              <w:rPr>
                <w:rFonts w:ascii="Arial" w:hAnsi="Arial" w:cs="Arial"/>
                <w:sz w:val="20"/>
                <w:szCs w:val="20"/>
                <w:vertAlign w:val="superscript"/>
              </w:rPr>
              <w:t>nd</w:t>
            </w:r>
            <w:r w:rsidRPr="00361530">
              <w:rPr>
                <w:rFonts w:ascii="Arial" w:hAnsi="Arial" w:cs="Arial"/>
                <w:sz w:val="20"/>
                <w:szCs w:val="20"/>
              </w:rPr>
              <w:t xml:space="preserve"> Decile</w:t>
            </w:r>
          </w:p>
        </w:tc>
        <w:tc>
          <w:tcPr>
            <w:tcW w:w="2873" w:type="dxa"/>
            <w:vAlign w:val="center"/>
          </w:tcPr>
          <w:p w14:paraId="0A27BDEF" w14:textId="67A91C25"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$1,138</w:t>
            </w:r>
          </w:p>
        </w:tc>
      </w:tr>
      <w:tr w:rsidR="001F79E7" w:rsidRPr="00361530" w14:paraId="4C6AFD39" w14:textId="77777777" w:rsidTr="00361530">
        <w:trPr>
          <w:trHeight w:val="252"/>
          <w:jc w:val="center"/>
        </w:trPr>
        <w:tc>
          <w:tcPr>
            <w:tcW w:w="2873" w:type="dxa"/>
          </w:tcPr>
          <w:p w14:paraId="035465E8" w14:textId="3F8CAD26"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3</w:t>
            </w:r>
            <w:r w:rsidRPr="00361530">
              <w:rPr>
                <w:rFonts w:ascii="Arial" w:hAnsi="Arial" w:cs="Arial"/>
                <w:sz w:val="20"/>
                <w:szCs w:val="20"/>
                <w:vertAlign w:val="superscript"/>
              </w:rPr>
              <w:t>rd</w:t>
            </w:r>
            <w:r w:rsidRPr="00361530">
              <w:rPr>
                <w:rFonts w:ascii="Arial" w:hAnsi="Arial" w:cs="Arial"/>
                <w:sz w:val="20"/>
                <w:szCs w:val="20"/>
              </w:rPr>
              <w:t xml:space="preserve"> Decile </w:t>
            </w:r>
          </w:p>
        </w:tc>
        <w:tc>
          <w:tcPr>
            <w:tcW w:w="2873" w:type="dxa"/>
            <w:vAlign w:val="center"/>
          </w:tcPr>
          <w:p w14:paraId="57D61EDE" w14:textId="50BB0059"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$1,173</w:t>
            </w:r>
          </w:p>
        </w:tc>
      </w:tr>
      <w:tr w:rsidR="001F79E7" w:rsidRPr="00361530" w14:paraId="7D5392CE" w14:textId="77777777" w:rsidTr="00361530">
        <w:trPr>
          <w:trHeight w:val="252"/>
          <w:jc w:val="center"/>
        </w:trPr>
        <w:tc>
          <w:tcPr>
            <w:tcW w:w="2873" w:type="dxa"/>
          </w:tcPr>
          <w:p w14:paraId="3F8144A1" w14:textId="6B3A41D3"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4</w:t>
            </w:r>
            <w:r w:rsidRPr="00361530">
              <w:rPr>
                <w:rFonts w:ascii="Arial" w:hAnsi="Arial" w:cs="Arial"/>
                <w:sz w:val="20"/>
                <w:szCs w:val="20"/>
                <w:vertAlign w:val="superscript"/>
              </w:rPr>
              <w:t>th</w:t>
            </w:r>
            <w:r w:rsidRPr="00361530">
              <w:rPr>
                <w:rFonts w:ascii="Arial" w:hAnsi="Arial" w:cs="Arial"/>
                <w:sz w:val="20"/>
                <w:szCs w:val="20"/>
              </w:rPr>
              <w:t xml:space="preserve"> Decile</w:t>
            </w:r>
          </w:p>
        </w:tc>
        <w:tc>
          <w:tcPr>
            <w:tcW w:w="2873" w:type="dxa"/>
            <w:vAlign w:val="center"/>
          </w:tcPr>
          <w:p w14:paraId="5D32B4EB" w14:textId="4AA36179"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$1,016</w:t>
            </w:r>
          </w:p>
        </w:tc>
      </w:tr>
      <w:tr w:rsidR="001F79E7" w:rsidRPr="00361530" w14:paraId="36A5559E" w14:textId="77777777" w:rsidTr="00361530">
        <w:trPr>
          <w:trHeight w:val="252"/>
          <w:jc w:val="center"/>
        </w:trPr>
        <w:tc>
          <w:tcPr>
            <w:tcW w:w="2873" w:type="dxa"/>
          </w:tcPr>
          <w:p w14:paraId="0A33D735" w14:textId="35CA39A6"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5</w:t>
            </w:r>
            <w:r w:rsidRPr="00361530">
              <w:rPr>
                <w:rFonts w:ascii="Arial" w:hAnsi="Arial" w:cs="Arial"/>
                <w:sz w:val="20"/>
                <w:szCs w:val="20"/>
                <w:vertAlign w:val="superscript"/>
              </w:rPr>
              <w:t>th</w:t>
            </w:r>
            <w:r w:rsidRPr="00361530">
              <w:rPr>
                <w:rFonts w:ascii="Arial" w:hAnsi="Arial" w:cs="Arial"/>
                <w:sz w:val="20"/>
                <w:szCs w:val="20"/>
              </w:rPr>
              <w:t xml:space="preserve"> Decile</w:t>
            </w:r>
          </w:p>
        </w:tc>
        <w:tc>
          <w:tcPr>
            <w:tcW w:w="2873" w:type="dxa"/>
            <w:vAlign w:val="center"/>
          </w:tcPr>
          <w:p w14:paraId="01D3D52A" w14:textId="26002261"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$1,027</w:t>
            </w:r>
          </w:p>
        </w:tc>
      </w:tr>
      <w:tr w:rsidR="001F79E7" w:rsidRPr="00361530" w14:paraId="185B2746" w14:textId="77777777" w:rsidTr="00361530">
        <w:trPr>
          <w:trHeight w:val="252"/>
          <w:jc w:val="center"/>
        </w:trPr>
        <w:tc>
          <w:tcPr>
            <w:tcW w:w="2873" w:type="dxa"/>
          </w:tcPr>
          <w:p w14:paraId="7FD2726D" w14:textId="12DD4085"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6</w:t>
            </w:r>
            <w:r w:rsidRPr="00361530">
              <w:rPr>
                <w:rFonts w:ascii="Arial" w:hAnsi="Arial" w:cs="Arial"/>
                <w:sz w:val="20"/>
                <w:szCs w:val="20"/>
                <w:vertAlign w:val="superscript"/>
              </w:rPr>
              <w:t>th</w:t>
            </w:r>
            <w:r w:rsidRPr="00361530">
              <w:rPr>
                <w:rFonts w:ascii="Arial" w:hAnsi="Arial" w:cs="Arial"/>
                <w:sz w:val="20"/>
                <w:szCs w:val="20"/>
              </w:rPr>
              <w:t xml:space="preserve"> Decile</w:t>
            </w:r>
          </w:p>
        </w:tc>
        <w:tc>
          <w:tcPr>
            <w:tcW w:w="2873" w:type="dxa"/>
            <w:vAlign w:val="center"/>
          </w:tcPr>
          <w:p w14:paraId="477CC33F" w14:textId="4EDB9D1D"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$1,013</w:t>
            </w:r>
          </w:p>
        </w:tc>
      </w:tr>
      <w:tr w:rsidR="001F79E7" w:rsidRPr="00361530" w14:paraId="7AAB634F" w14:textId="77777777" w:rsidTr="00361530">
        <w:trPr>
          <w:trHeight w:val="252"/>
          <w:jc w:val="center"/>
        </w:trPr>
        <w:tc>
          <w:tcPr>
            <w:tcW w:w="2873" w:type="dxa"/>
          </w:tcPr>
          <w:p w14:paraId="7BFE64AB" w14:textId="62CCF39A"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7</w:t>
            </w:r>
            <w:r w:rsidRPr="00361530">
              <w:rPr>
                <w:rFonts w:ascii="Arial" w:hAnsi="Arial" w:cs="Arial"/>
                <w:sz w:val="20"/>
                <w:szCs w:val="20"/>
                <w:vertAlign w:val="superscript"/>
              </w:rPr>
              <w:t>th</w:t>
            </w:r>
            <w:r w:rsidRPr="00361530">
              <w:rPr>
                <w:rFonts w:ascii="Arial" w:hAnsi="Arial" w:cs="Arial"/>
                <w:sz w:val="20"/>
                <w:szCs w:val="20"/>
              </w:rPr>
              <w:t xml:space="preserve"> Decile</w:t>
            </w:r>
          </w:p>
        </w:tc>
        <w:tc>
          <w:tcPr>
            <w:tcW w:w="2873" w:type="dxa"/>
            <w:vAlign w:val="center"/>
          </w:tcPr>
          <w:p w14:paraId="6968F5D2" w14:textId="2F541595"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$1,045</w:t>
            </w:r>
          </w:p>
        </w:tc>
      </w:tr>
      <w:tr w:rsidR="001F79E7" w:rsidRPr="00361530" w14:paraId="6D140EC8" w14:textId="77777777" w:rsidTr="00361530">
        <w:trPr>
          <w:trHeight w:val="240"/>
          <w:jc w:val="center"/>
        </w:trPr>
        <w:tc>
          <w:tcPr>
            <w:tcW w:w="2873" w:type="dxa"/>
          </w:tcPr>
          <w:p w14:paraId="1C0DCEBA" w14:textId="2793227A"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8</w:t>
            </w:r>
            <w:r w:rsidRPr="00361530">
              <w:rPr>
                <w:rFonts w:ascii="Arial" w:hAnsi="Arial" w:cs="Arial"/>
                <w:sz w:val="20"/>
                <w:szCs w:val="20"/>
                <w:vertAlign w:val="superscript"/>
              </w:rPr>
              <w:t>th</w:t>
            </w:r>
            <w:r w:rsidRPr="00361530">
              <w:rPr>
                <w:rFonts w:ascii="Arial" w:hAnsi="Arial" w:cs="Arial"/>
                <w:sz w:val="20"/>
                <w:szCs w:val="20"/>
              </w:rPr>
              <w:t xml:space="preserve"> Decile </w:t>
            </w:r>
          </w:p>
        </w:tc>
        <w:tc>
          <w:tcPr>
            <w:tcW w:w="2873" w:type="dxa"/>
            <w:vAlign w:val="center"/>
          </w:tcPr>
          <w:p w14:paraId="58C08751" w14:textId="13A63A60"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$1,089</w:t>
            </w:r>
          </w:p>
        </w:tc>
      </w:tr>
      <w:tr w:rsidR="001F79E7" w:rsidRPr="00361530" w14:paraId="3D04A671" w14:textId="77777777" w:rsidTr="00361530">
        <w:trPr>
          <w:trHeight w:val="252"/>
          <w:jc w:val="center"/>
        </w:trPr>
        <w:tc>
          <w:tcPr>
            <w:tcW w:w="2873" w:type="dxa"/>
          </w:tcPr>
          <w:p w14:paraId="3587FF20" w14:textId="6FA5166A"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9</w:t>
            </w:r>
            <w:r w:rsidRPr="00361530">
              <w:rPr>
                <w:rFonts w:ascii="Arial" w:hAnsi="Arial" w:cs="Arial"/>
                <w:sz w:val="20"/>
                <w:szCs w:val="20"/>
                <w:vertAlign w:val="superscript"/>
              </w:rPr>
              <w:t>th</w:t>
            </w:r>
            <w:r w:rsidRPr="00361530">
              <w:rPr>
                <w:rFonts w:ascii="Arial" w:hAnsi="Arial" w:cs="Arial"/>
                <w:sz w:val="20"/>
                <w:szCs w:val="20"/>
              </w:rPr>
              <w:t xml:space="preserve"> Decile</w:t>
            </w:r>
          </w:p>
        </w:tc>
        <w:tc>
          <w:tcPr>
            <w:tcW w:w="2873" w:type="dxa"/>
            <w:vAlign w:val="center"/>
          </w:tcPr>
          <w:p w14:paraId="3D533AD4" w14:textId="69ACA6C6"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$1,195</w:t>
            </w:r>
          </w:p>
        </w:tc>
      </w:tr>
      <w:tr w:rsidR="001F79E7" w:rsidRPr="00361530" w14:paraId="6F813BD7" w14:textId="77777777" w:rsidTr="00361530">
        <w:trPr>
          <w:trHeight w:val="252"/>
          <w:jc w:val="center"/>
        </w:trPr>
        <w:tc>
          <w:tcPr>
            <w:tcW w:w="2873" w:type="dxa"/>
          </w:tcPr>
          <w:p w14:paraId="76720534" w14:textId="3954AE08" w:rsidR="001F79E7" w:rsidRPr="00361530" w:rsidRDefault="001F79E7" w:rsidP="001F79E7">
            <w:pPr>
              <w:autoSpaceDE w:val="0"/>
              <w:autoSpaceDN w:val="0"/>
              <w:adjustRightInd w:val="0"/>
              <w:rPr>
                <w:rFonts w:ascii="Arial" w:hAnsi="Arial" w:cs="Arial"/>
                <w:sz w:val="20"/>
                <w:szCs w:val="20"/>
              </w:rPr>
            </w:pPr>
            <w:r w:rsidRPr="00361530">
              <w:rPr>
                <w:rFonts w:ascii="Arial" w:hAnsi="Arial" w:cs="Arial"/>
                <w:sz w:val="20"/>
                <w:szCs w:val="20"/>
              </w:rPr>
              <w:t>10</w:t>
            </w:r>
            <w:r w:rsidRPr="00361530">
              <w:rPr>
                <w:rFonts w:ascii="Arial" w:hAnsi="Arial" w:cs="Arial"/>
                <w:sz w:val="20"/>
                <w:szCs w:val="20"/>
                <w:vertAlign w:val="superscript"/>
              </w:rPr>
              <w:t>th</w:t>
            </w:r>
            <w:r w:rsidRPr="00361530">
              <w:rPr>
                <w:rFonts w:ascii="Arial" w:hAnsi="Arial" w:cs="Arial"/>
                <w:sz w:val="20"/>
                <w:szCs w:val="20"/>
              </w:rPr>
              <w:t xml:space="preserve"> Decile (High Risk Score)</w:t>
            </w:r>
          </w:p>
        </w:tc>
        <w:tc>
          <w:tcPr>
            <w:tcW w:w="2873" w:type="dxa"/>
            <w:vAlign w:val="center"/>
          </w:tcPr>
          <w:p w14:paraId="0F3E9906" w14:textId="151D5FB8" w:rsidR="001F79E7" w:rsidRPr="00361530" w:rsidRDefault="001F79E7" w:rsidP="001F79E7">
            <w:pPr>
              <w:autoSpaceDE w:val="0"/>
              <w:autoSpaceDN w:val="0"/>
              <w:adjustRightInd w:val="0"/>
              <w:jc w:val="right"/>
              <w:rPr>
                <w:rFonts w:ascii="Arial" w:hAnsi="Arial" w:cs="Arial"/>
                <w:sz w:val="20"/>
                <w:szCs w:val="20"/>
                <w:highlight w:val="yellow"/>
              </w:rPr>
            </w:pPr>
            <w:r w:rsidRPr="00361530">
              <w:rPr>
                <w:rFonts w:ascii="Arial" w:hAnsi="Arial" w:cs="Arial"/>
                <w:color w:val="000000"/>
                <w:sz w:val="20"/>
                <w:szCs w:val="20"/>
              </w:rPr>
              <w:t>$1,396</w:t>
            </w:r>
          </w:p>
        </w:tc>
      </w:tr>
    </w:tbl>
    <w:p w14:paraId="135EA36C" w14:textId="197000DD" w:rsidR="000027FA" w:rsidRDefault="000027FA" w:rsidP="00092566">
      <w:pPr>
        <w:autoSpaceDE w:val="0"/>
        <w:autoSpaceDN w:val="0"/>
        <w:adjustRightInd w:val="0"/>
        <w:spacing w:after="0" w:line="240" w:lineRule="auto"/>
        <w:rPr>
          <w:rFonts w:cstheme="minorHAnsi"/>
          <w:b/>
        </w:rPr>
      </w:pPr>
    </w:p>
    <w:p w14:paraId="0CABD000" w14:textId="2277C090" w:rsidR="00092566" w:rsidRPr="007B0444" w:rsidRDefault="009C7513" w:rsidP="00092566">
      <w:pPr>
        <w:autoSpaceDE w:val="0"/>
        <w:autoSpaceDN w:val="0"/>
        <w:adjustRightInd w:val="0"/>
        <w:spacing w:after="0" w:line="240" w:lineRule="auto"/>
        <w:rPr>
          <w:rFonts w:cstheme="minorHAnsi"/>
          <w:bCs/>
        </w:rPr>
      </w:pPr>
      <w:bookmarkStart w:id="2" w:name="question2b49"/>
      <w:bookmarkEnd w:id="2"/>
      <w:r w:rsidRPr="007B0444">
        <w:rPr>
          <w:rFonts w:cstheme="minorHAnsi"/>
          <w:b/>
        </w:rPr>
        <w:t>2b3</w:t>
      </w:r>
      <w:r w:rsidR="00743E46" w:rsidRPr="007B0444">
        <w:rPr>
          <w:rFonts w:cstheme="minorHAnsi"/>
          <w:b/>
        </w:rPr>
        <w:t>.9</w:t>
      </w:r>
      <w:r w:rsidR="00001D73" w:rsidRPr="007B0444">
        <w:rPr>
          <w:rFonts w:cstheme="minorHAnsi"/>
          <w:b/>
        </w:rPr>
        <w:t xml:space="preserve">. Results of </w:t>
      </w:r>
      <w:r w:rsidR="00092566" w:rsidRPr="007B0444">
        <w:rPr>
          <w:rFonts w:cstheme="minorHAnsi"/>
          <w:b/>
        </w:rPr>
        <w:t>Risk Stratification Analysis</w:t>
      </w:r>
      <w:r w:rsidR="00092566" w:rsidRPr="007B0444">
        <w:rPr>
          <w:rFonts w:cstheme="minorHAnsi"/>
        </w:rPr>
        <w:t xml:space="preserve">: </w:t>
      </w:r>
      <w:r w:rsidR="00092566" w:rsidRPr="007B0444">
        <w:rPr>
          <w:rFonts w:cstheme="minorHAnsi"/>
          <w:bCs/>
        </w:rPr>
        <w:t xml:space="preserve"> </w:t>
      </w:r>
    </w:p>
    <w:p w14:paraId="14E73705" w14:textId="6B8212AC" w:rsidR="000725A0" w:rsidRPr="009D0416" w:rsidRDefault="00D902D1" w:rsidP="00092566">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N/A</w:t>
      </w:r>
    </w:p>
    <w:p w14:paraId="053669BA" w14:textId="77777777" w:rsidR="000725A0" w:rsidRPr="007B0444" w:rsidRDefault="000725A0" w:rsidP="000725A0">
      <w:pPr>
        <w:spacing w:after="0" w:line="240" w:lineRule="auto"/>
        <w:rPr>
          <w:rFonts w:cstheme="minorHAnsi"/>
          <w:bCs/>
          <w:color w:val="0070C0"/>
        </w:rPr>
      </w:pPr>
    </w:p>
    <w:p w14:paraId="796D8FD4" w14:textId="6127764F" w:rsidR="00C427B8" w:rsidRPr="009D0416" w:rsidRDefault="00C427B8" w:rsidP="000564C6">
      <w:pPr>
        <w:spacing w:line="240" w:lineRule="auto"/>
        <w:rPr>
          <w:rFonts w:ascii="Times New Roman" w:hAnsi="Times New Roman" w:cs="Times New Roman"/>
          <w:bCs/>
        </w:rPr>
      </w:pPr>
      <w:r w:rsidRPr="007B0444">
        <w:rPr>
          <w:rFonts w:cstheme="minorHAnsi"/>
          <w:b/>
          <w:bCs/>
        </w:rPr>
        <w:t>2b3.10. What is your interpretation of the results in terms of demonstrating adequacy of controlling for differences in patient characteristics (case mix)?</w:t>
      </w:r>
      <w:r w:rsidRPr="007B0444">
        <w:rPr>
          <w:rFonts w:cstheme="minorHAnsi"/>
          <w:bCs/>
        </w:rPr>
        <w:t xml:space="preserve"> (i</w:t>
      </w:r>
      <w:r w:rsidRPr="007B0444">
        <w:rPr>
          <w:rFonts w:cstheme="minorHAnsi"/>
          <w:bCs/>
          <w:i/>
        </w:rPr>
        <w:t>.e., what do the results mean and what are the norms for the test conducted</w:t>
      </w:r>
      <w:r w:rsidRPr="007B0444">
        <w:rPr>
          <w:rFonts w:cstheme="minorHAnsi"/>
          <w:bCs/>
        </w:rPr>
        <w:t>)</w:t>
      </w:r>
      <w:r w:rsidRPr="007B0444">
        <w:rPr>
          <w:rFonts w:cstheme="minorHAnsi"/>
          <w:bCs/>
        </w:rPr>
        <w:br/>
      </w:r>
      <w:r w:rsidR="009C5625" w:rsidRPr="009D0416">
        <w:rPr>
          <w:rFonts w:ascii="Times New Roman" w:hAnsi="Times New Roman" w:cs="Times New Roman"/>
          <w:color w:val="0070C0"/>
        </w:rPr>
        <w:t xml:space="preserve">As reported in Sections 3.5.8 and 3.5.9, the predictive ratios for each risk factor included in the model and for all risk deciles are close to one. Predictive ratios close to one indicate that expected spending is accurately predicting observed spending. </w:t>
      </w:r>
      <w:r w:rsidR="00542891" w:rsidRPr="009D0416">
        <w:rPr>
          <w:rFonts w:ascii="Times New Roman" w:hAnsi="Times New Roman" w:cs="Times New Roman"/>
          <w:color w:val="0070C0"/>
        </w:rPr>
        <w:t xml:space="preserve">Additionally, mean risk- and specialty-adjusted cost is within a narrow range across deciles indicating that the model is accurately predicting actual beneficiary resource use and not unfairly penalizing participants based on patient complexity. </w:t>
      </w:r>
      <w:r w:rsidR="009C5625" w:rsidRPr="009D0416">
        <w:rPr>
          <w:rFonts w:ascii="Times New Roman" w:hAnsi="Times New Roman" w:cs="Times New Roman"/>
          <w:color w:val="0070C0"/>
        </w:rPr>
        <w:t>Overall, the results show that the model is accurately predicting spending, regardless of individual risk factors or overall risk level.</w:t>
      </w:r>
    </w:p>
    <w:p w14:paraId="0CABD004" w14:textId="2586C8E1" w:rsidR="00021170" w:rsidRDefault="009C7513" w:rsidP="009B1A15">
      <w:pPr>
        <w:spacing w:after="0" w:line="240" w:lineRule="auto"/>
        <w:rPr>
          <w:rFonts w:cstheme="minorHAnsi"/>
        </w:rPr>
      </w:pPr>
      <w:r w:rsidRPr="007B0444">
        <w:rPr>
          <w:rFonts w:cstheme="minorHAnsi"/>
          <w:b/>
        </w:rPr>
        <w:t>2b3</w:t>
      </w:r>
      <w:r w:rsidR="009B1A15" w:rsidRPr="007B0444">
        <w:rPr>
          <w:rFonts w:cstheme="minorHAnsi"/>
          <w:b/>
        </w:rPr>
        <w:t>.11.</w:t>
      </w:r>
      <w:r w:rsidR="009B1A15" w:rsidRPr="007B0444">
        <w:rPr>
          <w:rFonts w:cstheme="minorHAnsi"/>
        </w:rPr>
        <w:t xml:space="preserve"> </w:t>
      </w:r>
      <w:r w:rsidR="00092566" w:rsidRPr="007B0444">
        <w:rPr>
          <w:rFonts w:cstheme="minorHAnsi"/>
          <w:b/>
        </w:rPr>
        <w:t>Optional</w:t>
      </w:r>
      <w:r w:rsidR="009B1A15" w:rsidRPr="007B0444">
        <w:rPr>
          <w:rFonts w:cstheme="minorHAnsi"/>
          <w:b/>
        </w:rPr>
        <w:t xml:space="preserve"> Additional Testing</w:t>
      </w:r>
      <w:r w:rsidR="004756E1" w:rsidRPr="007B0444">
        <w:rPr>
          <w:rFonts w:cstheme="minorHAnsi"/>
          <w:b/>
        </w:rPr>
        <w:t xml:space="preserve"> for Risk Adjustment</w:t>
      </w:r>
      <w:r w:rsidR="00092566" w:rsidRPr="007B0444">
        <w:rPr>
          <w:rFonts w:cstheme="minorHAnsi"/>
          <w:b/>
        </w:rPr>
        <w:t xml:space="preserve"> </w:t>
      </w:r>
      <w:r w:rsidR="00092566" w:rsidRPr="007B0444">
        <w:rPr>
          <w:rFonts w:cstheme="minorHAnsi"/>
        </w:rPr>
        <w:t>(</w:t>
      </w:r>
      <w:r w:rsidR="00092566" w:rsidRPr="007B0444">
        <w:rPr>
          <w:rFonts w:cstheme="minorHAnsi"/>
          <w:i/>
          <w:u w:val="single"/>
        </w:rPr>
        <w:t>not required</w:t>
      </w:r>
      <w:r w:rsidR="00092566" w:rsidRPr="007B0444">
        <w:rPr>
          <w:rFonts w:cstheme="minorHAnsi"/>
          <w:i/>
        </w:rPr>
        <w:t>, but would provide additional support of adequacy of risk model</w:t>
      </w:r>
      <w:r w:rsidR="009B1A15" w:rsidRPr="007B0444">
        <w:rPr>
          <w:rFonts w:cstheme="minorHAnsi"/>
          <w:i/>
        </w:rPr>
        <w:t>, e.g., testing of risk model in another data se</w:t>
      </w:r>
      <w:r w:rsidR="002408E4" w:rsidRPr="007B0444">
        <w:rPr>
          <w:rFonts w:cstheme="minorHAnsi"/>
          <w:i/>
        </w:rPr>
        <w:t>t</w:t>
      </w:r>
      <w:r w:rsidR="009B1A15" w:rsidRPr="007B0444">
        <w:rPr>
          <w:rFonts w:cstheme="minorHAnsi"/>
          <w:i/>
        </w:rPr>
        <w:t>; sensitivity analysis for missing data</w:t>
      </w:r>
      <w:r w:rsidR="002408E4" w:rsidRPr="007B0444">
        <w:rPr>
          <w:rFonts w:cstheme="minorHAnsi"/>
          <w:i/>
        </w:rPr>
        <w:t>;</w:t>
      </w:r>
      <w:r w:rsidR="009B1A15" w:rsidRPr="007B0444">
        <w:rPr>
          <w:rFonts w:cstheme="minorHAnsi"/>
          <w:i/>
        </w:rPr>
        <w:t xml:space="preserve"> other methods</w:t>
      </w:r>
      <w:r w:rsidR="008F7E67" w:rsidRPr="007B0444">
        <w:rPr>
          <w:rFonts w:cstheme="minorHAnsi"/>
          <w:i/>
        </w:rPr>
        <w:t xml:space="preserve"> that were assessed</w:t>
      </w:r>
      <w:r w:rsidR="009B1A15" w:rsidRPr="007B0444">
        <w:rPr>
          <w:rFonts w:cstheme="minorHAnsi"/>
        </w:rPr>
        <w:t>)</w:t>
      </w:r>
    </w:p>
    <w:p w14:paraId="0CABD005" w14:textId="0421EA41" w:rsidR="003755CB" w:rsidRPr="009D0416" w:rsidRDefault="00C67E5D" w:rsidP="00D61410">
      <w:pPr>
        <w:autoSpaceDE w:val="0"/>
        <w:autoSpaceDN w:val="0"/>
        <w:adjustRightInd w:val="0"/>
        <w:spacing w:after="0" w:line="240" w:lineRule="auto"/>
        <w:rPr>
          <w:rFonts w:ascii="Times New Roman" w:hAnsi="Times New Roman" w:cs="Times New Roman"/>
          <w:color w:val="0070C0"/>
        </w:rPr>
      </w:pPr>
      <w:r w:rsidRPr="009D0416">
        <w:rPr>
          <w:rFonts w:ascii="Times New Roman" w:hAnsi="Times New Roman" w:cs="Times New Roman"/>
          <w:color w:val="0070C0"/>
        </w:rPr>
        <w:t>N/A</w:t>
      </w:r>
    </w:p>
    <w:p w14:paraId="0CABD006" w14:textId="77777777" w:rsidR="00D61410" w:rsidRPr="007B0444" w:rsidRDefault="00D61410" w:rsidP="00D61410">
      <w:pPr>
        <w:autoSpaceDE w:val="0"/>
        <w:autoSpaceDN w:val="0"/>
        <w:adjustRightInd w:val="0"/>
        <w:spacing w:after="0" w:line="240" w:lineRule="auto"/>
        <w:rPr>
          <w:rFonts w:cstheme="minorHAnsi"/>
          <w:bCs/>
        </w:rPr>
      </w:pPr>
      <w:r w:rsidRPr="007B0444">
        <w:rPr>
          <w:rFonts w:cstheme="minorHAnsi"/>
          <w:bCs/>
        </w:rPr>
        <w:t>_______________________</w:t>
      </w:r>
    </w:p>
    <w:p w14:paraId="0CABD007" w14:textId="2123B75E" w:rsidR="00D61410" w:rsidRPr="007B0444" w:rsidRDefault="009C7513" w:rsidP="00D61410">
      <w:pPr>
        <w:autoSpaceDE w:val="0"/>
        <w:autoSpaceDN w:val="0"/>
        <w:adjustRightInd w:val="0"/>
        <w:spacing w:after="0" w:line="240" w:lineRule="auto"/>
        <w:rPr>
          <w:rFonts w:cstheme="minorHAnsi"/>
          <w:b/>
          <w:bCs/>
        </w:rPr>
      </w:pPr>
      <w:bookmarkStart w:id="3" w:name="section2b5"/>
      <w:bookmarkEnd w:id="3"/>
      <w:r w:rsidRPr="007B0444">
        <w:rPr>
          <w:rFonts w:cstheme="minorHAnsi"/>
          <w:b/>
          <w:bCs/>
        </w:rPr>
        <w:t>2b4</w:t>
      </w:r>
      <w:r w:rsidR="00D61410" w:rsidRPr="007B0444">
        <w:rPr>
          <w:rFonts w:cstheme="minorHAnsi"/>
          <w:b/>
          <w:bCs/>
        </w:rPr>
        <w:t>. IDENTIFICATION OF STATISTICALLY SIGNIFICANT &amp; MEANINGFUL DIFFERENCES IN PERFORMANCE</w:t>
      </w:r>
    </w:p>
    <w:p w14:paraId="30A894F7" w14:textId="73F3F389" w:rsidR="009C0B3A" w:rsidRPr="009D0416" w:rsidRDefault="009C7513" w:rsidP="009C0B3A">
      <w:pPr>
        <w:spacing w:line="240" w:lineRule="auto"/>
        <w:rPr>
          <w:rFonts w:ascii="Times New Roman" w:hAnsi="Times New Roman" w:cs="Times New Roman"/>
          <w:bCs/>
          <w:color w:val="0070C0"/>
        </w:rPr>
      </w:pPr>
      <w:r w:rsidRPr="007B0444">
        <w:rPr>
          <w:rFonts w:cstheme="minorHAnsi"/>
          <w:b/>
          <w:bCs/>
        </w:rPr>
        <w:t>2b4</w:t>
      </w:r>
      <w:r w:rsidR="00D61410" w:rsidRPr="007B0444">
        <w:rPr>
          <w:rFonts w:cstheme="minorHAnsi"/>
          <w:b/>
          <w:bCs/>
        </w:rPr>
        <w:t>.1. Describe the method for determining if statistically significant and clinically/practically meaningful differences in performance measure scores among the measured entities can be identified</w:t>
      </w:r>
      <w:r w:rsidR="00D61410" w:rsidRPr="007B0444">
        <w:rPr>
          <w:rFonts w:cstheme="minorHAnsi"/>
          <w:bCs/>
        </w:rPr>
        <w:t xml:space="preserve"> (</w:t>
      </w:r>
      <w:r w:rsidR="00D61410" w:rsidRPr="007B0444">
        <w:rPr>
          <w:rFonts w:cstheme="minorHAnsi"/>
          <w:bCs/>
          <w:i/>
        </w:rPr>
        <w:t xml:space="preserve">describe the steps―do not just name a method; what statistical analysis was used? Do not just repeat the information provided related to performance gap in 1b) </w:t>
      </w:r>
      <w:r w:rsidR="00D61410" w:rsidRPr="007B0444">
        <w:rPr>
          <w:rFonts w:cstheme="minorHAnsi"/>
          <w:bCs/>
        </w:rPr>
        <w:br/>
      </w:r>
      <w:r w:rsidR="009C0B3A" w:rsidRPr="009D0416">
        <w:rPr>
          <w:rFonts w:ascii="Times New Roman" w:hAnsi="Times New Roman" w:cs="Times New Roman"/>
          <w:color w:val="0070C0"/>
        </w:rPr>
        <w:t xml:space="preserve">We used two methods to identify statistically significant and meaningful differences in the TPCC measure </w:t>
      </w:r>
      <w:r w:rsidR="009C0B3A" w:rsidRPr="009D0416">
        <w:rPr>
          <w:rFonts w:ascii="Times New Roman" w:hAnsi="Times New Roman" w:cs="Times New Roman"/>
          <w:color w:val="0070C0"/>
        </w:rPr>
        <w:lastRenderedPageBreak/>
        <w:t xml:space="preserve">scores. The purpose of these analyses is to ensure that there is a sufficiently large difference in measure scores among clinicians to </w:t>
      </w:r>
      <w:r w:rsidR="00880FF9">
        <w:rPr>
          <w:rFonts w:ascii="Times New Roman" w:hAnsi="Times New Roman" w:cs="Times New Roman"/>
          <w:color w:val="0070C0"/>
        </w:rPr>
        <w:t>discern</w:t>
      </w:r>
      <w:r w:rsidR="00880FF9" w:rsidRPr="009D0416">
        <w:rPr>
          <w:rFonts w:ascii="Times New Roman" w:hAnsi="Times New Roman" w:cs="Times New Roman"/>
          <w:color w:val="0070C0"/>
        </w:rPr>
        <w:t xml:space="preserve"> </w:t>
      </w:r>
      <w:r w:rsidR="009C0B3A" w:rsidRPr="009D0416">
        <w:rPr>
          <w:rFonts w:ascii="Times New Roman" w:hAnsi="Times New Roman" w:cs="Times New Roman"/>
          <w:color w:val="0070C0"/>
        </w:rPr>
        <w:t xml:space="preserve">a meaningful difference in performance. First, we analyze the distribution of measure scores for clinicians defined by these meaningful characteristics, as well as for the overall measure. We stratified the measure scores by provider characteristics to confirm that the measure behaves as expected for </w:t>
      </w:r>
      <w:r w:rsidR="00880FF9">
        <w:rPr>
          <w:rFonts w:ascii="Times New Roman" w:hAnsi="Times New Roman" w:cs="Times New Roman"/>
          <w:color w:val="0070C0"/>
        </w:rPr>
        <w:t xml:space="preserve">different types of </w:t>
      </w:r>
      <w:r w:rsidR="009C0B3A" w:rsidRPr="009D0416">
        <w:rPr>
          <w:rFonts w:ascii="Times New Roman" w:hAnsi="Times New Roman" w:cs="Times New Roman"/>
          <w:color w:val="0070C0"/>
        </w:rPr>
        <w:t xml:space="preserve">clinicians. Stratification is performed for each of the following characteristics: urban/rural, census division, census region, risk score, and the number of beneficiary-months attributed to the clinician. In our second test, 95% confidence intervals </w:t>
      </w:r>
      <w:r w:rsidR="00880FF9">
        <w:rPr>
          <w:rFonts w:ascii="Times New Roman" w:hAnsi="Times New Roman" w:cs="Times New Roman"/>
          <w:color w:val="0070C0"/>
        </w:rPr>
        <w:t xml:space="preserve">(CI) </w:t>
      </w:r>
      <w:r w:rsidR="009C0B3A" w:rsidRPr="009D0416">
        <w:rPr>
          <w:rFonts w:ascii="Times New Roman" w:hAnsi="Times New Roman" w:cs="Times New Roman"/>
          <w:color w:val="0070C0"/>
        </w:rPr>
        <w:t xml:space="preserve">were calculated using the variance of the provider mean. </w:t>
      </w:r>
      <w:r w:rsidR="009C0B3A" w:rsidRPr="009D0416">
        <w:rPr>
          <w:rFonts w:ascii="Times New Roman" w:hAnsi="Times New Roman" w:cs="Times New Roman"/>
          <w:bCs/>
          <w:color w:val="0070C0"/>
        </w:rPr>
        <w:t xml:space="preserve">We then compared each </w:t>
      </w:r>
      <w:r w:rsidR="00880FF9">
        <w:rPr>
          <w:rFonts w:ascii="Times New Roman" w:hAnsi="Times New Roman" w:cs="Times New Roman"/>
          <w:bCs/>
          <w:color w:val="0070C0"/>
        </w:rPr>
        <w:t xml:space="preserve">clinician’s </w:t>
      </w:r>
      <w:r w:rsidR="009C0B3A" w:rsidRPr="009D0416">
        <w:rPr>
          <w:rFonts w:ascii="Times New Roman" w:hAnsi="Times New Roman" w:cs="Times New Roman"/>
          <w:bCs/>
          <w:color w:val="0070C0"/>
        </w:rPr>
        <w:t>95% CI to the national average measure score to determine if the clinician’s performance was significantly different from the national mean.</w:t>
      </w:r>
    </w:p>
    <w:p w14:paraId="346B3AB8" w14:textId="77777777" w:rsidR="009D0416" w:rsidRDefault="009C7513" w:rsidP="009D0416">
      <w:pPr>
        <w:spacing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6FDFBE7F" w14:textId="650EE303" w:rsidR="009C0B3A" w:rsidRDefault="009C0B3A" w:rsidP="00361530">
      <w:pPr>
        <w:spacing w:line="240" w:lineRule="auto"/>
        <w:rPr>
          <w:rFonts w:cstheme="minorHAnsi"/>
          <w:bCs/>
        </w:rPr>
      </w:pPr>
      <w:r w:rsidRPr="009D0416">
        <w:rPr>
          <w:rFonts w:ascii="Times New Roman" w:hAnsi="Times New Roman" w:cs="Times New Roman"/>
          <w:bCs/>
          <w:color w:val="0070C0"/>
        </w:rPr>
        <w:t xml:space="preserve">As can be seen in </w:t>
      </w:r>
      <w:r w:rsidRPr="009D0416">
        <w:rPr>
          <w:rFonts w:ascii="Times New Roman" w:hAnsi="Times New Roman" w:cs="Times New Roman"/>
          <w:b/>
          <w:bCs/>
          <w:color w:val="0070C0"/>
        </w:rPr>
        <w:t>Figure</w:t>
      </w:r>
      <w:r w:rsidR="00880FF9">
        <w:rPr>
          <w:rFonts w:ascii="Times New Roman" w:hAnsi="Times New Roman" w:cs="Times New Roman"/>
          <w:b/>
          <w:bCs/>
          <w:color w:val="0070C0"/>
        </w:rPr>
        <w:t>s</w:t>
      </w:r>
      <w:r w:rsidRPr="009D0416">
        <w:rPr>
          <w:rFonts w:ascii="Times New Roman" w:hAnsi="Times New Roman" w:cs="Times New Roman"/>
          <w:b/>
          <w:bCs/>
          <w:color w:val="0070C0"/>
        </w:rPr>
        <w:t xml:space="preserve"> 1 and 2</w:t>
      </w:r>
      <w:r w:rsidRPr="009D0416">
        <w:rPr>
          <w:rFonts w:ascii="Times New Roman" w:hAnsi="Times New Roman" w:cs="Times New Roman"/>
          <w:bCs/>
          <w:color w:val="0070C0"/>
        </w:rPr>
        <w:t>, TPCC scores are distributed fairly symmetrically and have a good deal of variability. For the TINs, the standard deviation is $</w:t>
      </w:r>
      <w:r w:rsidR="000E2020" w:rsidRPr="009D0416">
        <w:rPr>
          <w:rFonts w:ascii="Times New Roman" w:hAnsi="Times New Roman" w:cs="Times New Roman"/>
          <w:bCs/>
          <w:color w:val="0070C0"/>
        </w:rPr>
        <w:t>257</w:t>
      </w:r>
      <w:r w:rsidRPr="009D0416">
        <w:rPr>
          <w:rFonts w:ascii="Times New Roman" w:hAnsi="Times New Roman" w:cs="Times New Roman"/>
          <w:bCs/>
          <w:color w:val="0070C0"/>
        </w:rPr>
        <w:t>, and 99/1, 90/10, a</w:t>
      </w:r>
      <w:r w:rsidR="000E2020" w:rsidRPr="009D0416">
        <w:rPr>
          <w:rFonts w:ascii="Times New Roman" w:hAnsi="Times New Roman" w:cs="Times New Roman"/>
          <w:bCs/>
          <w:color w:val="0070C0"/>
        </w:rPr>
        <w:t>nd 75/25 percentile ratios are 3.49</w:t>
      </w:r>
      <w:r w:rsidRPr="009D0416">
        <w:rPr>
          <w:rFonts w:ascii="Times New Roman" w:hAnsi="Times New Roman" w:cs="Times New Roman"/>
          <w:bCs/>
          <w:color w:val="0070C0"/>
        </w:rPr>
        <w:t xml:space="preserve">, </w:t>
      </w:r>
      <w:r w:rsidR="000E2020" w:rsidRPr="009D0416">
        <w:rPr>
          <w:rFonts w:ascii="Times New Roman" w:hAnsi="Times New Roman" w:cs="Times New Roman"/>
          <w:bCs/>
          <w:color w:val="0070C0"/>
        </w:rPr>
        <w:t>1.66</w:t>
      </w:r>
      <w:r w:rsidRPr="009D0416">
        <w:rPr>
          <w:rFonts w:ascii="Times New Roman" w:hAnsi="Times New Roman" w:cs="Times New Roman"/>
          <w:bCs/>
          <w:color w:val="0070C0"/>
        </w:rPr>
        <w:t>, and 1.</w:t>
      </w:r>
      <w:r w:rsidR="000E2020" w:rsidRPr="009D0416">
        <w:rPr>
          <w:rFonts w:ascii="Times New Roman" w:hAnsi="Times New Roman" w:cs="Times New Roman"/>
          <w:bCs/>
          <w:color w:val="0070C0"/>
        </w:rPr>
        <w:t>26</w:t>
      </w:r>
      <w:r w:rsidRPr="009D0416">
        <w:rPr>
          <w:rFonts w:ascii="Times New Roman" w:hAnsi="Times New Roman" w:cs="Times New Roman"/>
          <w:bCs/>
          <w:color w:val="0070C0"/>
        </w:rPr>
        <w:t>, respectively.</w:t>
      </w:r>
      <w:r w:rsidR="000E2020" w:rsidRPr="009D0416">
        <w:rPr>
          <w:rFonts w:ascii="Times New Roman" w:hAnsi="Times New Roman" w:cs="Times New Roman"/>
          <w:bCs/>
          <w:color w:val="0070C0"/>
        </w:rPr>
        <w:t xml:space="preserve"> For the TIN-NPIs, the standard deviation is $310, and 99/1, 90/10, and 75/25 percentile ratios are 3.93, 1.74, and 1.30, respectively.</w:t>
      </w:r>
    </w:p>
    <w:p w14:paraId="0B5CCC9A" w14:textId="2F7BBE9D" w:rsidR="009C0B3A" w:rsidRPr="00361530" w:rsidRDefault="000E2020" w:rsidP="000E2020">
      <w:pPr>
        <w:autoSpaceDE w:val="0"/>
        <w:autoSpaceDN w:val="0"/>
        <w:adjustRightInd w:val="0"/>
        <w:spacing w:after="0" w:line="240" w:lineRule="auto"/>
        <w:jc w:val="center"/>
        <w:rPr>
          <w:rFonts w:ascii="Times New Roman" w:hAnsi="Times New Roman" w:cs="Times New Roman"/>
          <w:b/>
          <w:color w:val="000000" w:themeColor="text1"/>
        </w:rPr>
      </w:pPr>
      <w:r w:rsidRPr="00361530">
        <w:rPr>
          <w:rFonts w:ascii="Times New Roman" w:hAnsi="Times New Roman" w:cs="Times New Roman"/>
          <w:b/>
          <w:color w:val="000000" w:themeColor="text1"/>
        </w:rPr>
        <w:t>Figure 1. Distribution of TPCC Scores for TINs</w:t>
      </w:r>
    </w:p>
    <w:p w14:paraId="394C5DBC" w14:textId="3D88DB6E" w:rsidR="000E2020" w:rsidRDefault="000E2020" w:rsidP="000E2020">
      <w:pPr>
        <w:autoSpaceDE w:val="0"/>
        <w:autoSpaceDN w:val="0"/>
        <w:adjustRightInd w:val="0"/>
        <w:spacing w:after="0" w:line="240" w:lineRule="auto"/>
        <w:jc w:val="center"/>
        <w:rPr>
          <w:rFonts w:cstheme="minorHAnsi"/>
          <w:bCs/>
        </w:rPr>
      </w:pPr>
      <w:r w:rsidRPr="000E2020">
        <w:rPr>
          <w:rFonts w:cstheme="minorHAnsi"/>
          <w:bCs/>
          <w:noProof/>
        </w:rPr>
        <w:drawing>
          <wp:inline distT="0" distB="0" distL="0" distR="0" wp14:anchorId="5E8D51E8" wp14:editId="155E56F3">
            <wp:extent cx="5486400" cy="3553807"/>
            <wp:effectExtent l="0" t="0" r="0" b="8890"/>
            <wp:docPr id="1" name="Picture 1" descr="This figure is a bar chart representing a distribution of TPCC scores for TINs. The scores are distributed fairly symmetrically and have a good deal of variability. The largest share of TINs, approximately 23%, have a score between $1036 - $1135." title="Distribution of TPCC Scores for T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n\active\Projects\CCSQ_MACRA_II\nqf_endorsement\2020_01_spring\1_intent\testing_form\working\tpcc_tin_distributi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553807"/>
                    </a:xfrm>
                    <a:prstGeom prst="rect">
                      <a:avLst/>
                    </a:prstGeom>
                    <a:noFill/>
                    <a:ln>
                      <a:noFill/>
                    </a:ln>
                  </pic:spPr>
                </pic:pic>
              </a:graphicData>
            </a:graphic>
          </wp:inline>
        </w:drawing>
      </w:r>
    </w:p>
    <w:p w14:paraId="5FE5D071" w14:textId="6F57D255" w:rsidR="000E2020" w:rsidRPr="00361530" w:rsidRDefault="000E2020" w:rsidP="008F31A6">
      <w:pPr>
        <w:keepNext/>
        <w:autoSpaceDE w:val="0"/>
        <w:autoSpaceDN w:val="0"/>
        <w:adjustRightInd w:val="0"/>
        <w:spacing w:after="0" w:line="240" w:lineRule="auto"/>
        <w:jc w:val="center"/>
        <w:rPr>
          <w:rFonts w:ascii="Times New Roman" w:hAnsi="Times New Roman" w:cs="Times New Roman"/>
          <w:bCs/>
        </w:rPr>
      </w:pPr>
      <w:r w:rsidRPr="00361530">
        <w:rPr>
          <w:rFonts w:ascii="Times New Roman" w:hAnsi="Times New Roman" w:cs="Times New Roman"/>
          <w:b/>
          <w:color w:val="000000" w:themeColor="text1"/>
        </w:rPr>
        <w:lastRenderedPageBreak/>
        <w:t>Figure 2. Distribution of TPCC Scores for TIN-NPIs</w:t>
      </w:r>
    </w:p>
    <w:p w14:paraId="2A3D576C" w14:textId="65F20B53" w:rsidR="009C0B3A" w:rsidRDefault="000E2020" w:rsidP="000E2020">
      <w:pPr>
        <w:autoSpaceDE w:val="0"/>
        <w:autoSpaceDN w:val="0"/>
        <w:adjustRightInd w:val="0"/>
        <w:spacing w:after="0" w:line="240" w:lineRule="auto"/>
        <w:jc w:val="center"/>
        <w:rPr>
          <w:rFonts w:cstheme="minorHAnsi"/>
          <w:bCs/>
        </w:rPr>
      </w:pPr>
      <w:r w:rsidRPr="000E2020">
        <w:rPr>
          <w:rFonts w:cstheme="minorHAnsi"/>
          <w:bCs/>
          <w:noProof/>
        </w:rPr>
        <w:drawing>
          <wp:inline distT="0" distB="0" distL="0" distR="0" wp14:anchorId="6F7A7E2E" wp14:editId="37FD0074">
            <wp:extent cx="5486400" cy="3690454"/>
            <wp:effectExtent l="0" t="0" r="0" b="5715"/>
            <wp:docPr id="2" name="Picture 2" descr="This figure is a bar chart representing a distribution of TPCC scores for TIN-NPIs. The scores are distributed fairly symmetrically and have a good deal of variability. The largest share of TIN-NPIs, approximately 18%, have a score between $1108 - $1207." title="Distribution of TPCC scores for TIN-N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n\active\Projects\CCSQ_MACRA_II\nqf_endorsement\2020_01_spring\1_intent\testing_form\working\tpcc_tin_npi_distributi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690454"/>
                    </a:xfrm>
                    <a:prstGeom prst="rect">
                      <a:avLst/>
                    </a:prstGeom>
                    <a:noFill/>
                    <a:ln>
                      <a:noFill/>
                    </a:ln>
                  </pic:spPr>
                </pic:pic>
              </a:graphicData>
            </a:graphic>
          </wp:inline>
        </w:drawing>
      </w:r>
    </w:p>
    <w:p w14:paraId="11A94ADE" w14:textId="77777777" w:rsidR="000E2020" w:rsidRPr="007B0444" w:rsidRDefault="000E2020" w:rsidP="00C67E5D">
      <w:pPr>
        <w:autoSpaceDE w:val="0"/>
        <w:autoSpaceDN w:val="0"/>
        <w:adjustRightInd w:val="0"/>
        <w:spacing w:after="0" w:line="240" w:lineRule="auto"/>
        <w:rPr>
          <w:rFonts w:cstheme="minorHAnsi"/>
          <w:bCs/>
        </w:rPr>
      </w:pPr>
    </w:p>
    <w:p w14:paraId="4D3D3165" w14:textId="506E4316" w:rsidR="00DE100C" w:rsidRPr="009D0416" w:rsidRDefault="00DE100C" w:rsidP="00DE100C">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These results indicate </w:t>
      </w:r>
      <w:r w:rsidR="00880FF9">
        <w:rPr>
          <w:rFonts w:ascii="Times New Roman" w:hAnsi="Times New Roman" w:cs="Times New Roman"/>
          <w:bCs/>
          <w:color w:val="0070C0"/>
        </w:rPr>
        <w:t>the measure is capturing differences in performance measure scores</w:t>
      </w:r>
      <w:r w:rsidR="00AC2849" w:rsidRPr="009D0416">
        <w:rPr>
          <w:rFonts w:ascii="Times New Roman" w:hAnsi="Times New Roman" w:cs="Times New Roman"/>
          <w:bCs/>
          <w:color w:val="0070C0"/>
        </w:rPr>
        <w:t xml:space="preserve">. </w:t>
      </w:r>
      <w:r w:rsidRPr="009D0416">
        <w:rPr>
          <w:rFonts w:ascii="Times New Roman" w:hAnsi="Times New Roman" w:cs="Times New Roman"/>
          <w:bCs/>
          <w:color w:val="0070C0"/>
        </w:rPr>
        <w:t xml:space="preserve">The results also show that there </w:t>
      </w:r>
      <w:r w:rsidR="00880FF9">
        <w:rPr>
          <w:rFonts w:ascii="Times New Roman" w:hAnsi="Times New Roman" w:cs="Times New Roman"/>
          <w:bCs/>
          <w:color w:val="0070C0"/>
        </w:rPr>
        <w:t>are</w:t>
      </w:r>
      <w:r w:rsidRPr="009D0416">
        <w:rPr>
          <w:rFonts w:ascii="Times New Roman" w:hAnsi="Times New Roman" w:cs="Times New Roman"/>
          <w:bCs/>
          <w:color w:val="0070C0"/>
        </w:rPr>
        <w:t xml:space="preserve"> not systemic difference</w:t>
      </w:r>
      <w:r w:rsidR="00880FF9">
        <w:rPr>
          <w:rFonts w:ascii="Times New Roman" w:hAnsi="Times New Roman" w:cs="Times New Roman"/>
          <w:bCs/>
          <w:color w:val="0070C0"/>
        </w:rPr>
        <w:t>s</w:t>
      </w:r>
      <w:r w:rsidRPr="009D0416">
        <w:rPr>
          <w:rFonts w:ascii="Times New Roman" w:hAnsi="Times New Roman" w:cs="Times New Roman"/>
          <w:bCs/>
          <w:color w:val="0070C0"/>
        </w:rPr>
        <w:t xml:space="preserve"> in clinician score</w:t>
      </w:r>
      <w:r w:rsidR="008B099E">
        <w:rPr>
          <w:rFonts w:ascii="Times New Roman" w:hAnsi="Times New Roman" w:cs="Times New Roman"/>
          <w:bCs/>
          <w:color w:val="0070C0"/>
        </w:rPr>
        <w:t>s</w:t>
      </w:r>
      <w:r w:rsidRPr="009D0416">
        <w:rPr>
          <w:rFonts w:ascii="Times New Roman" w:hAnsi="Times New Roman" w:cs="Times New Roman"/>
          <w:bCs/>
          <w:color w:val="0070C0"/>
        </w:rPr>
        <w:t xml:space="preserve">. For instance, the mean scores for clinicians across nine census divisions (excluding ‘Unknown’) are within a </w:t>
      </w:r>
      <w:r w:rsidR="005705E7" w:rsidRPr="009D0416">
        <w:rPr>
          <w:rFonts w:ascii="Times New Roman" w:hAnsi="Times New Roman" w:cs="Times New Roman"/>
          <w:bCs/>
          <w:color w:val="0070C0"/>
        </w:rPr>
        <w:t>less than $14</w:t>
      </w:r>
      <w:r w:rsidRPr="009D0416">
        <w:rPr>
          <w:rFonts w:ascii="Times New Roman" w:hAnsi="Times New Roman" w:cs="Times New Roman"/>
          <w:bCs/>
          <w:color w:val="0070C0"/>
        </w:rPr>
        <w:t>0 range (i.e., $1,0</w:t>
      </w:r>
      <w:r w:rsidR="00827093" w:rsidRPr="009D0416">
        <w:rPr>
          <w:rFonts w:ascii="Times New Roman" w:hAnsi="Times New Roman" w:cs="Times New Roman"/>
          <w:bCs/>
          <w:color w:val="0070C0"/>
        </w:rPr>
        <w:t>58</w:t>
      </w:r>
      <w:r w:rsidRPr="009D0416">
        <w:rPr>
          <w:rFonts w:ascii="Times New Roman" w:hAnsi="Times New Roman" w:cs="Times New Roman"/>
          <w:bCs/>
          <w:color w:val="0070C0"/>
        </w:rPr>
        <w:t xml:space="preserve"> to $1,1</w:t>
      </w:r>
      <w:r w:rsidR="00827093" w:rsidRPr="009D0416">
        <w:rPr>
          <w:rFonts w:ascii="Times New Roman" w:hAnsi="Times New Roman" w:cs="Times New Roman"/>
          <w:bCs/>
          <w:color w:val="0070C0"/>
        </w:rPr>
        <w:t>9</w:t>
      </w:r>
      <w:r w:rsidRPr="009D0416">
        <w:rPr>
          <w:rFonts w:ascii="Times New Roman" w:hAnsi="Times New Roman" w:cs="Times New Roman"/>
          <w:bCs/>
          <w:color w:val="0070C0"/>
        </w:rPr>
        <w:t>7 at the TIN level and $1,</w:t>
      </w:r>
      <w:r w:rsidR="005705E7" w:rsidRPr="009D0416">
        <w:rPr>
          <w:rFonts w:ascii="Times New Roman" w:hAnsi="Times New Roman" w:cs="Times New Roman"/>
          <w:bCs/>
          <w:color w:val="0070C0"/>
        </w:rPr>
        <w:t>136</w:t>
      </w:r>
      <w:r w:rsidRPr="009D0416">
        <w:rPr>
          <w:rFonts w:ascii="Times New Roman" w:hAnsi="Times New Roman" w:cs="Times New Roman"/>
          <w:bCs/>
          <w:color w:val="0070C0"/>
        </w:rPr>
        <w:t xml:space="preserve"> to $1,</w:t>
      </w:r>
      <w:r w:rsidR="005705E7" w:rsidRPr="009D0416">
        <w:rPr>
          <w:rFonts w:ascii="Times New Roman" w:hAnsi="Times New Roman" w:cs="Times New Roman"/>
          <w:bCs/>
          <w:color w:val="0070C0"/>
        </w:rPr>
        <w:t>233</w:t>
      </w:r>
      <w:r w:rsidRPr="009D0416">
        <w:rPr>
          <w:rFonts w:ascii="Times New Roman" w:hAnsi="Times New Roman" w:cs="Times New Roman"/>
          <w:bCs/>
          <w:color w:val="0070C0"/>
        </w:rPr>
        <w:t xml:space="preserve"> at the TIN-NPI level). Similarly, clinicians in urban areas seem to perform comparably to those in rural areas on average (i.e., $1,</w:t>
      </w:r>
      <w:r w:rsidR="005705E7" w:rsidRPr="009D0416">
        <w:rPr>
          <w:rFonts w:ascii="Times New Roman" w:hAnsi="Times New Roman" w:cs="Times New Roman"/>
          <w:bCs/>
          <w:color w:val="0070C0"/>
        </w:rPr>
        <w:t>108</w:t>
      </w:r>
      <w:r w:rsidRPr="009D0416">
        <w:rPr>
          <w:rFonts w:ascii="Times New Roman" w:hAnsi="Times New Roman" w:cs="Times New Roman"/>
          <w:bCs/>
          <w:color w:val="0070C0"/>
        </w:rPr>
        <w:t xml:space="preserve"> in urban compared to $1,</w:t>
      </w:r>
      <w:r w:rsidR="005705E7" w:rsidRPr="009D0416">
        <w:rPr>
          <w:rFonts w:ascii="Times New Roman" w:hAnsi="Times New Roman" w:cs="Times New Roman"/>
          <w:bCs/>
          <w:color w:val="0070C0"/>
        </w:rPr>
        <w:t>11</w:t>
      </w:r>
      <w:r w:rsidRPr="009D0416">
        <w:rPr>
          <w:rFonts w:ascii="Times New Roman" w:hAnsi="Times New Roman" w:cs="Times New Roman"/>
          <w:bCs/>
          <w:color w:val="0070C0"/>
        </w:rPr>
        <w:t>7 at the TIN level and $1,1</w:t>
      </w:r>
      <w:r w:rsidR="005705E7" w:rsidRPr="009D0416">
        <w:rPr>
          <w:rFonts w:ascii="Times New Roman" w:hAnsi="Times New Roman" w:cs="Times New Roman"/>
          <w:bCs/>
          <w:color w:val="0070C0"/>
        </w:rPr>
        <w:t>70</w:t>
      </w:r>
      <w:r w:rsidRPr="009D0416">
        <w:rPr>
          <w:rFonts w:ascii="Times New Roman" w:hAnsi="Times New Roman" w:cs="Times New Roman"/>
          <w:bCs/>
          <w:color w:val="0070C0"/>
        </w:rPr>
        <w:t xml:space="preserve"> in urban compared to $1,1</w:t>
      </w:r>
      <w:r w:rsidR="005705E7" w:rsidRPr="009D0416">
        <w:rPr>
          <w:rFonts w:ascii="Times New Roman" w:hAnsi="Times New Roman" w:cs="Times New Roman"/>
          <w:bCs/>
          <w:color w:val="0070C0"/>
        </w:rPr>
        <w:t>59</w:t>
      </w:r>
      <w:r w:rsidRPr="009D0416">
        <w:rPr>
          <w:rFonts w:ascii="Times New Roman" w:hAnsi="Times New Roman" w:cs="Times New Roman"/>
          <w:bCs/>
          <w:color w:val="0070C0"/>
        </w:rPr>
        <w:t xml:space="preserve"> in rural at the TIN-NPI level).  </w:t>
      </w:r>
    </w:p>
    <w:p w14:paraId="6894E087" w14:textId="77777777" w:rsidR="00DE100C" w:rsidRPr="009D0416" w:rsidRDefault="00DE100C" w:rsidP="00DE100C">
      <w:pPr>
        <w:autoSpaceDE w:val="0"/>
        <w:autoSpaceDN w:val="0"/>
        <w:adjustRightInd w:val="0"/>
        <w:spacing w:after="0" w:line="240" w:lineRule="auto"/>
        <w:rPr>
          <w:rFonts w:ascii="Times New Roman" w:hAnsi="Times New Roman" w:cs="Times New Roman"/>
          <w:bCs/>
          <w:color w:val="0070C0"/>
        </w:rPr>
      </w:pPr>
    </w:p>
    <w:p w14:paraId="7D3A7FCD" w14:textId="411C8734" w:rsidR="00AC2849" w:rsidRPr="009D0416" w:rsidRDefault="00AC2849" w:rsidP="00AC2849">
      <w:pPr>
        <w:autoSpaceDE w:val="0"/>
        <w:autoSpaceDN w:val="0"/>
        <w:adjustRightInd w:val="0"/>
        <w:spacing w:after="0" w:line="240" w:lineRule="auto"/>
        <w:rPr>
          <w:rFonts w:ascii="Times New Roman" w:hAnsi="Times New Roman" w:cs="Times New Roman"/>
          <w:b/>
          <w:bCs/>
          <w:color w:val="0070C0"/>
        </w:rPr>
      </w:pPr>
      <w:r w:rsidRPr="009D0416">
        <w:rPr>
          <w:rFonts w:ascii="Times New Roman" w:hAnsi="Times New Roman" w:cs="Times New Roman"/>
          <w:bCs/>
          <w:color w:val="0070C0"/>
        </w:rPr>
        <w:t>Analysis</w:t>
      </w:r>
      <w:r w:rsidR="00DE100C" w:rsidRPr="009D0416">
        <w:rPr>
          <w:rFonts w:ascii="Times New Roman" w:hAnsi="Times New Roman" w:cs="Times New Roman"/>
          <w:bCs/>
          <w:color w:val="0070C0"/>
        </w:rPr>
        <w:t xml:space="preserve"> of clinicians by number of beneficiary months indicates that clinicians with more beneficiaries perform similarly to those responsible for fewer beneficiaries with a </w:t>
      </w:r>
      <w:r w:rsidRPr="009D0416">
        <w:rPr>
          <w:rFonts w:ascii="Times New Roman" w:hAnsi="Times New Roman" w:cs="Times New Roman"/>
          <w:bCs/>
          <w:color w:val="0070C0"/>
        </w:rPr>
        <w:t xml:space="preserve">max </w:t>
      </w:r>
      <w:r w:rsidR="00DE100C" w:rsidRPr="009D0416">
        <w:rPr>
          <w:rFonts w:ascii="Times New Roman" w:hAnsi="Times New Roman" w:cs="Times New Roman"/>
          <w:bCs/>
          <w:color w:val="0070C0"/>
        </w:rPr>
        <w:t>difference in mean score</w:t>
      </w:r>
      <w:r w:rsidRPr="009D0416">
        <w:rPr>
          <w:rFonts w:ascii="Times New Roman" w:hAnsi="Times New Roman" w:cs="Times New Roman"/>
          <w:bCs/>
          <w:color w:val="0070C0"/>
        </w:rPr>
        <w:t xml:space="preserve"> across the various ranges of beneficiary</w:t>
      </w:r>
      <w:r w:rsidR="00DE100C" w:rsidRPr="009D0416">
        <w:rPr>
          <w:rFonts w:ascii="Times New Roman" w:hAnsi="Times New Roman" w:cs="Times New Roman"/>
          <w:bCs/>
          <w:color w:val="0070C0"/>
        </w:rPr>
        <w:t xml:space="preserve"> </w:t>
      </w:r>
      <w:r w:rsidRPr="009D0416">
        <w:rPr>
          <w:rFonts w:ascii="Times New Roman" w:hAnsi="Times New Roman" w:cs="Times New Roman"/>
          <w:bCs/>
          <w:color w:val="0070C0"/>
        </w:rPr>
        <w:t>equal to</w:t>
      </w:r>
      <w:r w:rsidR="00DE100C" w:rsidRPr="009D0416">
        <w:rPr>
          <w:rFonts w:ascii="Times New Roman" w:hAnsi="Times New Roman" w:cs="Times New Roman"/>
          <w:bCs/>
          <w:color w:val="0070C0"/>
        </w:rPr>
        <w:t xml:space="preserve"> $</w:t>
      </w:r>
      <w:r w:rsidR="005705E7" w:rsidRPr="009D0416">
        <w:rPr>
          <w:rFonts w:ascii="Times New Roman" w:hAnsi="Times New Roman" w:cs="Times New Roman"/>
          <w:bCs/>
          <w:color w:val="0070C0"/>
        </w:rPr>
        <w:t>88</w:t>
      </w:r>
      <w:r w:rsidR="00DE100C" w:rsidRPr="009D0416">
        <w:rPr>
          <w:rFonts w:ascii="Times New Roman" w:hAnsi="Times New Roman" w:cs="Times New Roman"/>
          <w:bCs/>
          <w:color w:val="0070C0"/>
        </w:rPr>
        <w:t xml:space="preserve"> at TIN </w:t>
      </w:r>
      <w:r w:rsidR="005705E7" w:rsidRPr="009D0416">
        <w:rPr>
          <w:rFonts w:ascii="Times New Roman" w:hAnsi="Times New Roman" w:cs="Times New Roman"/>
          <w:bCs/>
          <w:color w:val="0070C0"/>
        </w:rPr>
        <w:t xml:space="preserve">level </w:t>
      </w:r>
      <w:r w:rsidR="00DE100C" w:rsidRPr="009D0416">
        <w:rPr>
          <w:rFonts w:ascii="Times New Roman" w:hAnsi="Times New Roman" w:cs="Times New Roman"/>
          <w:bCs/>
          <w:color w:val="0070C0"/>
        </w:rPr>
        <w:t xml:space="preserve">and </w:t>
      </w:r>
      <w:r w:rsidR="005705E7" w:rsidRPr="009D0416">
        <w:rPr>
          <w:rFonts w:ascii="Times New Roman" w:hAnsi="Times New Roman" w:cs="Times New Roman"/>
          <w:bCs/>
          <w:color w:val="0070C0"/>
        </w:rPr>
        <w:t xml:space="preserve">$11 at </w:t>
      </w:r>
      <w:r w:rsidR="00DE100C" w:rsidRPr="009D0416">
        <w:rPr>
          <w:rFonts w:ascii="Times New Roman" w:hAnsi="Times New Roman" w:cs="Times New Roman"/>
          <w:bCs/>
          <w:color w:val="0070C0"/>
        </w:rPr>
        <w:t>TIN-NPI levels. We also analyzed clinicians by risk score decile, as variation by risk score decile could indicate that the risk adjustment model is over- or under-correcting for clinicians with systematically riskier patients. Measure scores also show little variation by risk score decile, with a range in mean TIN score of $1,0</w:t>
      </w:r>
      <w:r w:rsidR="005705E7" w:rsidRPr="009D0416">
        <w:rPr>
          <w:rFonts w:ascii="Times New Roman" w:hAnsi="Times New Roman" w:cs="Times New Roman"/>
          <w:bCs/>
          <w:color w:val="0070C0"/>
        </w:rPr>
        <w:t>74</w:t>
      </w:r>
      <w:r w:rsidR="00DE100C" w:rsidRPr="009D0416">
        <w:rPr>
          <w:rFonts w:ascii="Times New Roman" w:hAnsi="Times New Roman" w:cs="Times New Roman"/>
          <w:bCs/>
          <w:color w:val="0070C0"/>
        </w:rPr>
        <w:t xml:space="preserve"> to $1,</w:t>
      </w:r>
      <w:r w:rsidR="005705E7" w:rsidRPr="009D0416">
        <w:rPr>
          <w:rFonts w:ascii="Times New Roman" w:hAnsi="Times New Roman" w:cs="Times New Roman"/>
          <w:bCs/>
          <w:color w:val="0070C0"/>
        </w:rPr>
        <w:t>204</w:t>
      </w:r>
      <w:r w:rsidR="00DE100C" w:rsidRPr="009D0416">
        <w:rPr>
          <w:rFonts w:ascii="Times New Roman" w:hAnsi="Times New Roman" w:cs="Times New Roman"/>
          <w:bCs/>
          <w:color w:val="0070C0"/>
        </w:rPr>
        <w:t xml:space="preserve"> and a range in mean TIN-NPI score of $1,</w:t>
      </w:r>
      <w:r w:rsidR="005705E7" w:rsidRPr="009D0416">
        <w:rPr>
          <w:rFonts w:ascii="Times New Roman" w:hAnsi="Times New Roman" w:cs="Times New Roman"/>
          <w:bCs/>
          <w:color w:val="0070C0"/>
        </w:rPr>
        <w:t>131</w:t>
      </w:r>
      <w:r w:rsidR="00DE100C" w:rsidRPr="009D0416">
        <w:rPr>
          <w:rFonts w:ascii="Times New Roman" w:hAnsi="Times New Roman" w:cs="Times New Roman"/>
          <w:bCs/>
          <w:color w:val="0070C0"/>
        </w:rPr>
        <w:t xml:space="preserve"> to $1,</w:t>
      </w:r>
      <w:r w:rsidR="005705E7" w:rsidRPr="009D0416">
        <w:rPr>
          <w:rFonts w:ascii="Times New Roman" w:hAnsi="Times New Roman" w:cs="Times New Roman"/>
          <w:bCs/>
          <w:color w:val="0070C0"/>
        </w:rPr>
        <w:t>303</w:t>
      </w:r>
      <w:r w:rsidR="00DE100C" w:rsidRPr="009D0416">
        <w:rPr>
          <w:rFonts w:ascii="Times New Roman" w:hAnsi="Times New Roman" w:cs="Times New Roman"/>
          <w:bCs/>
          <w:color w:val="0070C0"/>
        </w:rPr>
        <w:t xml:space="preserve">, indicating that the risk adjustment model is overall functioning as intended. </w:t>
      </w:r>
      <w:r w:rsidRPr="009D0416">
        <w:rPr>
          <w:rFonts w:ascii="Times New Roman" w:hAnsi="Times New Roman" w:cs="Times New Roman"/>
          <w:bCs/>
          <w:color w:val="0070C0"/>
        </w:rPr>
        <w:t>Full results are provided in Appendix Table 2b4.2.</w:t>
      </w:r>
      <w:r w:rsidRPr="009D0416">
        <w:rPr>
          <w:rFonts w:ascii="Times New Roman" w:hAnsi="Times New Roman" w:cs="Times New Roman"/>
          <w:b/>
          <w:bCs/>
          <w:color w:val="0070C0"/>
        </w:rPr>
        <w:t xml:space="preserve"> </w:t>
      </w:r>
    </w:p>
    <w:p w14:paraId="3F66C4FE" w14:textId="4EBAA43E" w:rsidR="00C67E5D" w:rsidRPr="009D0416" w:rsidRDefault="00C67E5D" w:rsidP="00C67E5D">
      <w:pPr>
        <w:autoSpaceDE w:val="0"/>
        <w:autoSpaceDN w:val="0"/>
        <w:adjustRightInd w:val="0"/>
        <w:spacing w:after="0" w:line="240" w:lineRule="auto"/>
        <w:rPr>
          <w:rFonts w:ascii="Times New Roman" w:hAnsi="Times New Roman" w:cs="Times New Roman"/>
          <w:bCs/>
          <w:color w:val="0070C0"/>
        </w:rPr>
      </w:pPr>
    </w:p>
    <w:p w14:paraId="43FCD628" w14:textId="1DFF731E" w:rsidR="00AC2849" w:rsidRPr="009D0416" w:rsidRDefault="00AC2849" w:rsidP="00AC2849">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Due to the high level of reliability of the TPCC scores, demonstrated in Section 2a2, small differences in scores can be interpreted as meaningful. This is confirmed by our analysis of statistical significance: 1</w:t>
      </w:r>
      <w:r w:rsidR="00D42A6A" w:rsidRPr="009D0416">
        <w:rPr>
          <w:rFonts w:ascii="Times New Roman" w:hAnsi="Times New Roman" w:cs="Times New Roman"/>
          <w:bCs/>
          <w:color w:val="0070C0"/>
        </w:rPr>
        <w:t>7.9 percent of TINs and 11.4</w:t>
      </w:r>
      <w:r w:rsidRPr="009D0416">
        <w:rPr>
          <w:rFonts w:ascii="Times New Roman" w:hAnsi="Times New Roman" w:cs="Times New Roman"/>
          <w:bCs/>
          <w:color w:val="0070C0"/>
        </w:rPr>
        <w:t xml:space="preserve"> percent of TIN-NPIs had scores that were statistically significantly higher</w:t>
      </w:r>
      <w:r w:rsidR="00D42A6A" w:rsidRPr="009D0416">
        <w:rPr>
          <w:rFonts w:ascii="Times New Roman" w:hAnsi="Times New Roman" w:cs="Times New Roman"/>
          <w:bCs/>
          <w:color w:val="0070C0"/>
        </w:rPr>
        <w:t xml:space="preserve"> than the national mean, while 16.8</w:t>
      </w:r>
      <w:r w:rsidRPr="009D0416">
        <w:rPr>
          <w:rFonts w:ascii="Times New Roman" w:hAnsi="Times New Roman" w:cs="Times New Roman"/>
          <w:bCs/>
          <w:color w:val="0070C0"/>
        </w:rPr>
        <w:t xml:space="preserve"> percent of TINs and 1</w:t>
      </w:r>
      <w:r w:rsidR="00D42A6A" w:rsidRPr="009D0416">
        <w:rPr>
          <w:rFonts w:ascii="Times New Roman" w:hAnsi="Times New Roman" w:cs="Times New Roman"/>
          <w:bCs/>
          <w:color w:val="0070C0"/>
        </w:rPr>
        <w:t>0.9</w:t>
      </w:r>
      <w:r w:rsidRPr="009D0416">
        <w:rPr>
          <w:rFonts w:ascii="Times New Roman" w:hAnsi="Times New Roman" w:cs="Times New Roman"/>
          <w:bCs/>
          <w:color w:val="0070C0"/>
        </w:rPr>
        <w:t xml:space="preserve"> percent of TIN-NPIs had scores that were statistically significantly lower (</w:t>
      </w:r>
      <w:r w:rsidRPr="009D0416">
        <w:rPr>
          <w:rFonts w:ascii="Times New Roman" w:hAnsi="Times New Roman" w:cs="Times New Roman"/>
          <w:b/>
          <w:bCs/>
          <w:color w:val="0070C0"/>
        </w:rPr>
        <w:t xml:space="preserve">Table </w:t>
      </w:r>
      <w:r w:rsidR="00093E8F">
        <w:rPr>
          <w:rFonts w:ascii="Times New Roman" w:hAnsi="Times New Roman" w:cs="Times New Roman"/>
          <w:b/>
          <w:bCs/>
          <w:color w:val="0070C0"/>
        </w:rPr>
        <w:t>10</w:t>
      </w:r>
      <w:r w:rsidRPr="009D0416">
        <w:rPr>
          <w:rFonts w:ascii="Times New Roman" w:hAnsi="Times New Roman" w:cs="Times New Roman"/>
          <w:bCs/>
          <w:color w:val="0070C0"/>
        </w:rPr>
        <w:t>).</w:t>
      </w:r>
    </w:p>
    <w:p w14:paraId="0987B23C" w14:textId="0A5B4CF7" w:rsidR="00AC2849" w:rsidRDefault="00AC2849" w:rsidP="00AC2849">
      <w:pPr>
        <w:autoSpaceDE w:val="0"/>
        <w:autoSpaceDN w:val="0"/>
        <w:adjustRightInd w:val="0"/>
        <w:spacing w:after="0" w:line="240" w:lineRule="auto"/>
        <w:rPr>
          <w:rFonts w:cstheme="minorHAnsi"/>
          <w:bCs/>
          <w:color w:val="0070C0"/>
        </w:rPr>
      </w:pPr>
    </w:p>
    <w:p w14:paraId="57868F50" w14:textId="6BF00669" w:rsidR="00AC2849" w:rsidRPr="00361530" w:rsidRDefault="00AC2849" w:rsidP="008F31A6">
      <w:pPr>
        <w:keepNext/>
        <w:autoSpaceDE w:val="0"/>
        <w:autoSpaceDN w:val="0"/>
        <w:adjustRightInd w:val="0"/>
        <w:spacing w:after="0" w:line="240" w:lineRule="auto"/>
        <w:jc w:val="center"/>
        <w:rPr>
          <w:rFonts w:ascii="Times New Roman" w:hAnsi="Times New Roman" w:cs="Times New Roman"/>
          <w:b/>
          <w:bCs/>
          <w:color w:val="0070C0"/>
        </w:rPr>
      </w:pPr>
      <w:r w:rsidRPr="00361530">
        <w:rPr>
          <w:rFonts w:ascii="Times New Roman" w:hAnsi="Times New Roman" w:cs="Times New Roman"/>
          <w:b/>
          <w:bCs/>
          <w:iCs/>
          <w:color w:val="000000" w:themeColor="text1"/>
        </w:rPr>
        <w:lastRenderedPageBreak/>
        <w:t xml:space="preserve">Table </w:t>
      </w:r>
      <w:r w:rsidR="00093E8F">
        <w:rPr>
          <w:rFonts w:ascii="Times New Roman" w:hAnsi="Times New Roman" w:cs="Times New Roman"/>
          <w:b/>
          <w:bCs/>
          <w:iCs/>
          <w:color w:val="000000" w:themeColor="text1"/>
        </w:rPr>
        <w:t>10</w:t>
      </w:r>
      <w:r w:rsidRPr="00361530">
        <w:rPr>
          <w:rFonts w:ascii="Times New Roman" w:hAnsi="Times New Roman" w:cs="Times New Roman"/>
          <w:b/>
          <w:bCs/>
          <w:iCs/>
          <w:color w:val="000000" w:themeColor="text1"/>
        </w:rPr>
        <w:t xml:space="preserve">. </w:t>
      </w:r>
      <w:r w:rsidRPr="00361530">
        <w:rPr>
          <w:rFonts w:ascii="Times New Roman" w:hAnsi="Times New Roman" w:cs="Times New Roman"/>
          <w:b/>
        </w:rPr>
        <w:t>Proportion of Measure Scores Statistically Significantly Different From the National Average</w:t>
      </w:r>
    </w:p>
    <w:tbl>
      <w:tblPr>
        <w:tblStyle w:val="TableGrid"/>
        <w:tblW w:w="0" w:type="auto"/>
        <w:jc w:val="center"/>
        <w:tblLook w:val="04A0" w:firstRow="1" w:lastRow="0" w:firstColumn="1" w:lastColumn="0" w:noHBand="0" w:noVBand="1"/>
      </w:tblPr>
      <w:tblGrid>
        <w:gridCol w:w="2083"/>
        <w:gridCol w:w="1201"/>
        <w:gridCol w:w="1011"/>
        <w:gridCol w:w="1011"/>
        <w:gridCol w:w="1011"/>
        <w:gridCol w:w="1011"/>
        <w:gridCol w:w="1011"/>
        <w:gridCol w:w="1011"/>
      </w:tblGrid>
      <w:tr w:rsidR="00AC2849" w:rsidRPr="00664A85" w14:paraId="72AF574B" w14:textId="77777777" w:rsidTr="00AC2849">
        <w:trPr>
          <w:trHeight w:val="600"/>
          <w:jc w:val="center"/>
        </w:trPr>
        <w:tc>
          <w:tcPr>
            <w:tcW w:w="2083" w:type="dxa"/>
            <w:vMerge w:val="restart"/>
            <w:shd w:val="clear" w:color="auto" w:fill="002060"/>
            <w:vAlign w:val="center"/>
            <w:hideMark/>
          </w:tcPr>
          <w:p w14:paraId="673BC23D"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Provider Level</w:t>
            </w:r>
          </w:p>
        </w:tc>
        <w:tc>
          <w:tcPr>
            <w:tcW w:w="1201" w:type="dxa"/>
            <w:vMerge w:val="restart"/>
            <w:shd w:val="clear" w:color="auto" w:fill="002060"/>
            <w:vAlign w:val="center"/>
            <w:hideMark/>
          </w:tcPr>
          <w:p w14:paraId="7A977BBE"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 of Providers</w:t>
            </w:r>
          </w:p>
        </w:tc>
        <w:tc>
          <w:tcPr>
            <w:tcW w:w="2022" w:type="dxa"/>
            <w:gridSpan w:val="2"/>
            <w:shd w:val="clear" w:color="auto" w:fill="002060"/>
            <w:vAlign w:val="center"/>
            <w:hideMark/>
          </w:tcPr>
          <w:p w14:paraId="20732335"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lower than national mean</w:t>
            </w:r>
          </w:p>
        </w:tc>
        <w:tc>
          <w:tcPr>
            <w:tcW w:w="2022" w:type="dxa"/>
            <w:gridSpan w:val="2"/>
            <w:shd w:val="clear" w:color="auto" w:fill="002060"/>
            <w:vAlign w:val="center"/>
            <w:hideMark/>
          </w:tcPr>
          <w:p w14:paraId="7C1A7367"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Not statistically significantly different from national mean</w:t>
            </w:r>
          </w:p>
        </w:tc>
        <w:tc>
          <w:tcPr>
            <w:tcW w:w="2022" w:type="dxa"/>
            <w:gridSpan w:val="2"/>
            <w:shd w:val="clear" w:color="auto" w:fill="002060"/>
            <w:vAlign w:val="center"/>
            <w:hideMark/>
          </w:tcPr>
          <w:p w14:paraId="1DCA3DBE"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higher than national mean</w:t>
            </w:r>
          </w:p>
        </w:tc>
      </w:tr>
      <w:tr w:rsidR="00AC2849" w:rsidRPr="00664A85" w14:paraId="18861F3F" w14:textId="77777777" w:rsidTr="00AC2849">
        <w:trPr>
          <w:trHeight w:val="188"/>
          <w:jc w:val="center"/>
        </w:trPr>
        <w:tc>
          <w:tcPr>
            <w:tcW w:w="2083" w:type="dxa"/>
            <w:vMerge/>
            <w:shd w:val="clear" w:color="auto" w:fill="002060"/>
            <w:vAlign w:val="center"/>
            <w:hideMark/>
          </w:tcPr>
          <w:p w14:paraId="4BB4DE11"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p>
        </w:tc>
        <w:tc>
          <w:tcPr>
            <w:tcW w:w="1201" w:type="dxa"/>
            <w:vMerge/>
            <w:shd w:val="clear" w:color="auto" w:fill="002060"/>
            <w:vAlign w:val="center"/>
            <w:hideMark/>
          </w:tcPr>
          <w:p w14:paraId="74B81BE6"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p>
        </w:tc>
        <w:tc>
          <w:tcPr>
            <w:tcW w:w="1011" w:type="dxa"/>
            <w:shd w:val="clear" w:color="auto" w:fill="0070C0"/>
            <w:vAlign w:val="center"/>
            <w:hideMark/>
          </w:tcPr>
          <w:p w14:paraId="56132BB5"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880A0FC"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9ACC268"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3AAE7F9"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E920D47"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tcPr>
          <w:p w14:paraId="04144420" w14:textId="77777777" w:rsidR="00AC2849" w:rsidRPr="00664A85" w:rsidRDefault="00AC2849" w:rsidP="00AC2849">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r>
      <w:tr w:rsidR="00AC2849" w:rsidRPr="00664A85" w14:paraId="0A8686B0" w14:textId="77777777" w:rsidTr="00AC2849">
        <w:trPr>
          <w:trHeight w:val="255"/>
          <w:jc w:val="center"/>
        </w:trPr>
        <w:tc>
          <w:tcPr>
            <w:tcW w:w="2083" w:type="dxa"/>
            <w:noWrap/>
            <w:hideMark/>
          </w:tcPr>
          <w:p w14:paraId="6C698063" w14:textId="77777777" w:rsidR="00AC2849" w:rsidRPr="00664A85" w:rsidRDefault="00AC2849" w:rsidP="00AC2849">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w:t>
            </w:r>
          </w:p>
        </w:tc>
        <w:tc>
          <w:tcPr>
            <w:tcW w:w="1201" w:type="dxa"/>
            <w:noWrap/>
            <w:vAlign w:val="center"/>
            <w:hideMark/>
          </w:tcPr>
          <w:p w14:paraId="266F4144" w14:textId="23DF7221"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74,191</w:t>
            </w:r>
          </w:p>
        </w:tc>
        <w:tc>
          <w:tcPr>
            <w:tcW w:w="1011" w:type="dxa"/>
            <w:noWrap/>
            <w:vAlign w:val="center"/>
            <w:hideMark/>
          </w:tcPr>
          <w:p w14:paraId="15278561" w14:textId="44379980"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12,476</w:t>
            </w:r>
          </w:p>
        </w:tc>
        <w:tc>
          <w:tcPr>
            <w:tcW w:w="1011" w:type="dxa"/>
            <w:noWrap/>
            <w:vAlign w:val="center"/>
            <w:hideMark/>
          </w:tcPr>
          <w:p w14:paraId="28348C24" w14:textId="769D85E6"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16.8%</w:t>
            </w:r>
          </w:p>
        </w:tc>
        <w:tc>
          <w:tcPr>
            <w:tcW w:w="1011" w:type="dxa"/>
            <w:noWrap/>
            <w:vAlign w:val="center"/>
            <w:hideMark/>
          </w:tcPr>
          <w:p w14:paraId="02F119DF" w14:textId="2E77D1A8"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48,468</w:t>
            </w:r>
          </w:p>
        </w:tc>
        <w:tc>
          <w:tcPr>
            <w:tcW w:w="1011" w:type="dxa"/>
            <w:noWrap/>
            <w:vAlign w:val="center"/>
            <w:hideMark/>
          </w:tcPr>
          <w:p w14:paraId="767A3CDA" w14:textId="7B6DF8C3"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65.3%</w:t>
            </w:r>
          </w:p>
        </w:tc>
        <w:tc>
          <w:tcPr>
            <w:tcW w:w="1011" w:type="dxa"/>
            <w:noWrap/>
            <w:vAlign w:val="center"/>
            <w:hideMark/>
          </w:tcPr>
          <w:p w14:paraId="4A7D63EB" w14:textId="5C68260E"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13,247</w:t>
            </w:r>
          </w:p>
        </w:tc>
        <w:tc>
          <w:tcPr>
            <w:tcW w:w="1011" w:type="dxa"/>
            <w:noWrap/>
            <w:vAlign w:val="center"/>
            <w:hideMark/>
          </w:tcPr>
          <w:p w14:paraId="476F0E5B" w14:textId="7321B87C"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17.9%</w:t>
            </w:r>
          </w:p>
        </w:tc>
      </w:tr>
      <w:tr w:rsidR="00AC2849" w:rsidRPr="00664A85" w14:paraId="167B6D7E" w14:textId="77777777" w:rsidTr="00AC2849">
        <w:trPr>
          <w:trHeight w:val="270"/>
          <w:jc w:val="center"/>
        </w:trPr>
        <w:tc>
          <w:tcPr>
            <w:tcW w:w="2083" w:type="dxa"/>
            <w:noWrap/>
            <w:hideMark/>
          </w:tcPr>
          <w:p w14:paraId="65E9C84E" w14:textId="77777777" w:rsidR="00AC2849" w:rsidRPr="00664A85" w:rsidRDefault="00AC2849" w:rsidP="00AC2849">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TIN-NPI</w:t>
            </w:r>
          </w:p>
        </w:tc>
        <w:tc>
          <w:tcPr>
            <w:tcW w:w="1201" w:type="dxa"/>
            <w:noWrap/>
            <w:vAlign w:val="center"/>
            <w:hideMark/>
          </w:tcPr>
          <w:p w14:paraId="54B64548" w14:textId="33A693F9"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335,480</w:t>
            </w:r>
          </w:p>
        </w:tc>
        <w:tc>
          <w:tcPr>
            <w:tcW w:w="1011" w:type="dxa"/>
            <w:noWrap/>
            <w:vAlign w:val="center"/>
            <w:hideMark/>
          </w:tcPr>
          <w:p w14:paraId="6F8CB90A" w14:textId="2159FF41"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36,622</w:t>
            </w:r>
          </w:p>
        </w:tc>
        <w:tc>
          <w:tcPr>
            <w:tcW w:w="1011" w:type="dxa"/>
            <w:noWrap/>
            <w:vAlign w:val="center"/>
            <w:hideMark/>
          </w:tcPr>
          <w:p w14:paraId="04A3A554" w14:textId="293444AB"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10.9%</w:t>
            </w:r>
          </w:p>
        </w:tc>
        <w:tc>
          <w:tcPr>
            <w:tcW w:w="1011" w:type="dxa"/>
            <w:noWrap/>
            <w:vAlign w:val="center"/>
            <w:hideMark/>
          </w:tcPr>
          <w:p w14:paraId="150A4230" w14:textId="55BEBD52"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260,584</w:t>
            </w:r>
          </w:p>
        </w:tc>
        <w:tc>
          <w:tcPr>
            <w:tcW w:w="1011" w:type="dxa"/>
            <w:noWrap/>
            <w:vAlign w:val="center"/>
            <w:hideMark/>
          </w:tcPr>
          <w:p w14:paraId="4599E788" w14:textId="572E3DDD"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77.7%</w:t>
            </w:r>
          </w:p>
        </w:tc>
        <w:tc>
          <w:tcPr>
            <w:tcW w:w="1011" w:type="dxa"/>
            <w:noWrap/>
            <w:vAlign w:val="center"/>
            <w:hideMark/>
          </w:tcPr>
          <w:p w14:paraId="3C5419CF" w14:textId="69867C4B"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38,274</w:t>
            </w:r>
          </w:p>
        </w:tc>
        <w:tc>
          <w:tcPr>
            <w:tcW w:w="1011" w:type="dxa"/>
            <w:noWrap/>
            <w:vAlign w:val="center"/>
            <w:hideMark/>
          </w:tcPr>
          <w:p w14:paraId="016EE608" w14:textId="2EBF9045" w:rsidR="00AC2849" w:rsidRPr="00664A85" w:rsidRDefault="00AC2849" w:rsidP="00AC2849">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11.4%</w:t>
            </w:r>
          </w:p>
        </w:tc>
      </w:tr>
    </w:tbl>
    <w:p w14:paraId="6BA46782" w14:textId="77777777" w:rsidR="00AC2849" w:rsidRPr="005A15FD" w:rsidRDefault="00AC2849" w:rsidP="00AC2849">
      <w:pPr>
        <w:autoSpaceDE w:val="0"/>
        <w:autoSpaceDN w:val="0"/>
        <w:adjustRightInd w:val="0"/>
        <w:spacing w:after="0" w:line="240" w:lineRule="auto"/>
        <w:rPr>
          <w:rFonts w:cstheme="minorHAnsi"/>
          <w:bCs/>
          <w:color w:val="0070C0"/>
        </w:rPr>
      </w:pPr>
    </w:p>
    <w:p w14:paraId="135DF155" w14:textId="40D3C3E0" w:rsidR="000725A0" w:rsidRDefault="009C7513" w:rsidP="000725A0">
      <w:pPr>
        <w:autoSpaceDE w:val="0"/>
        <w:autoSpaceDN w:val="0"/>
        <w:adjustRightInd w:val="0"/>
        <w:spacing w:after="0" w:line="240" w:lineRule="auto"/>
        <w:rPr>
          <w:rFonts w:cstheme="minorHAnsi"/>
          <w:bCs/>
        </w:rPr>
      </w:pPr>
      <w:r w:rsidRPr="007B0444">
        <w:rPr>
          <w:rFonts w:cstheme="minorHAnsi"/>
          <w:b/>
          <w:bCs/>
        </w:rPr>
        <w:t>2b4</w:t>
      </w:r>
      <w:r w:rsidR="00D61410" w:rsidRPr="007B0444">
        <w:rPr>
          <w:rFonts w:cstheme="minorHAnsi"/>
          <w:b/>
          <w:bCs/>
        </w:rPr>
        <w:t>.3. What is your interpretation of the results in terms of demonstrating the ability to identify statistically significant and</w:t>
      </w:r>
      <w:r w:rsidR="005038D5" w:rsidRPr="007B0444">
        <w:rPr>
          <w:rFonts w:cstheme="minorHAnsi"/>
          <w:b/>
          <w:bCs/>
        </w:rPr>
        <w:t>/or</w:t>
      </w:r>
      <w:r w:rsidR="00D61410" w:rsidRPr="007B0444">
        <w:rPr>
          <w:rFonts w:cstheme="minorHAnsi"/>
          <w:b/>
          <w:bCs/>
        </w:rPr>
        <w:t xml:space="preserve"> clinically/practically meaningful differences in performance across measured entities?</w:t>
      </w:r>
      <w:r w:rsidR="00D61410" w:rsidRPr="007B0444">
        <w:rPr>
          <w:rFonts w:cstheme="minorHAnsi"/>
          <w:bCs/>
        </w:rPr>
        <w:t xml:space="preserve"> (i</w:t>
      </w:r>
      <w:r w:rsidR="00D61410" w:rsidRPr="007B0444">
        <w:rPr>
          <w:rFonts w:cstheme="minorHAnsi"/>
          <w:bCs/>
          <w:i/>
        </w:rPr>
        <w:t>.e., what d</w:t>
      </w:r>
      <w:r w:rsidR="004C2443" w:rsidRPr="007B0444">
        <w:rPr>
          <w:rFonts w:cstheme="minorHAnsi"/>
          <w:bCs/>
          <w:i/>
        </w:rPr>
        <w:t>o the results mean in terms of statistical and meaningful differences?</w:t>
      </w:r>
      <w:r w:rsidR="00D61410" w:rsidRPr="007B0444">
        <w:rPr>
          <w:rFonts w:cstheme="minorHAnsi"/>
          <w:bCs/>
        </w:rPr>
        <w:t>)</w:t>
      </w:r>
    </w:p>
    <w:p w14:paraId="16182BCC" w14:textId="481DB92C" w:rsidR="00C67E5D" w:rsidRPr="009D0416" w:rsidRDefault="00C67E5D" w:rsidP="002D19CD">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 xml:space="preserve">There is clinically and practically significant variation in </w:t>
      </w:r>
      <w:r w:rsidR="00DE100C" w:rsidRPr="009D0416">
        <w:rPr>
          <w:rFonts w:ascii="Times New Roman" w:hAnsi="Times New Roman" w:cs="Times New Roman"/>
          <w:bCs/>
          <w:color w:val="0070C0"/>
        </w:rPr>
        <w:t xml:space="preserve">TPCC </w:t>
      </w:r>
      <w:r w:rsidRPr="009D0416">
        <w:rPr>
          <w:rFonts w:ascii="Times New Roman" w:hAnsi="Times New Roman" w:cs="Times New Roman"/>
          <w:bCs/>
          <w:color w:val="0070C0"/>
        </w:rPr>
        <w:t>measure scores, indicating the measure’s ability to capture differences in performance. Our findings regarding variation in measure scores are consistent with expert clinician input</w:t>
      </w:r>
      <w:r w:rsidR="002D19CD" w:rsidRPr="009D0416">
        <w:rPr>
          <w:rFonts w:ascii="Times New Roman" w:hAnsi="Times New Roman" w:cs="Times New Roman"/>
          <w:bCs/>
          <w:color w:val="0070C0"/>
        </w:rPr>
        <w:t xml:space="preserve"> and a </w:t>
      </w:r>
      <w:r w:rsidR="00DE100C" w:rsidRPr="009D0416">
        <w:rPr>
          <w:rFonts w:ascii="Times New Roman" w:hAnsi="Times New Roman" w:cs="Times New Roman"/>
          <w:bCs/>
          <w:color w:val="0070C0"/>
        </w:rPr>
        <w:t xml:space="preserve">moderate to </w:t>
      </w:r>
      <w:r w:rsidR="002D19CD" w:rsidRPr="009D0416">
        <w:rPr>
          <w:rFonts w:ascii="Times New Roman" w:hAnsi="Times New Roman" w:cs="Times New Roman"/>
          <w:bCs/>
          <w:color w:val="0070C0"/>
        </w:rPr>
        <w:t xml:space="preserve">high face validity rating from expert clinicians that that scores obtained from the measure specification </w:t>
      </w:r>
      <w:r w:rsidR="002D19CD" w:rsidRPr="009D0416">
        <w:rPr>
          <w:rFonts w:ascii="Times New Roman" w:hAnsi="Times New Roman" w:cs="Times New Roman"/>
          <w:iCs/>
          <w:color w:val="0070C0"/>
        </w:rPr>
        <w:t xml:space="preserve">will provide an accurate reflection of the costs for </w:t>
      </w:r>
      <w:r w:rsidR="00DE100C" w:rsidRPr="009D0416">
        <w:rPr>
          <w:rFonts w:ascii="Times New Roman" w:hAnsi="Times New Roman" w:cs="Times New Roman"/>
          <w:iCs/>
          <w:color w:val="0070C0"/>
        </w:rPr>
        <w:t>managing primary care</w:t>
      </w:r>
      <w:r w:rsidR="002D19CD" w:rsidRPr="009D0416">
        <w:rPr>
          <w:rFonts w:ascii="Times New Roman" w:hAnsi="Times New Roman" w:cs="Times New Roman"/>
          <w:iCs/>
          <w:color w:val="0070C0"/>
        </w:rPr>
        <w:t>, and can be used to distinguish good and poor performance on cost effectiveness</w:t>
      </w:r>
      <w:r w:rsidR="002D19CD" w:rsidRPr="009D0416">
        <w:rPr>
          <w:rFonts w:ascii="Times New Roman" w:hAnsi="Times New Roman" w:cs="Times New Roman"/>
          <w:bCs/>
          <w:color w:val="0070C0"/>
        </w:rPr>
        <w:t xml:space="preserve"> (see Section 2b1.2)</w:t>
      </w:r>
      <w:r w:rsidRPr="009D0416">
        <w:rPr>
          <w:rFonts w:ascii="Times New Roman" w:hAnsi="Times New Roman" w:cs="Times New Roman"/>
          <w:bCs/>
          <w:color w:val="0070C0"/>
        </w:rPr>
        <w:t xml:space="preserve">. </w:t>
      </w:r>
      <w:r w:rsidR="002D19CD" w:rsidRPr="009D0416">
        <w:rPr>
          <w:rFonts w:ascii="Times New Roman" w:hAnsi="Times New Roman" w:cs="Times New Roman"/>
          <w:bCs/>
          <w:color w:val="0070C0"/>
        </w:rPr>
        <w:t>For example, empirical r</w:t>
      </w:r>
      <w:r w:rsidRPr="009D0416">
        <w:rPr>
          <w:rFonts w:ascii="Times New Roman" w:hAnsi="Times New Roman" w:cs="Times New Roman"/>
          <w:bCs/>
          <w:color w:val="0070C0"/>
        </w:rPr>
        <w:t xml:space="preserve">esults indicate </w:t>
      </w:r>
      <w:r w:rsidR="00880FF9">
        <w:rPr>
          <w:rFonts w:ascii="Times New Roman" w:hAnsi="Times New Roman" w:cs="Times New Roman"/>
          <w:bCs/>
          <w:color w:val="0070C0"/>
        </w:rPr>
        <w:t>the measure is appropriately accounting for different risk profiles of patient case-mix. Further, the measure is performing comparably across clinicians with different characteristics, such as geographic location and rurality. These suggest that differences in scores are due to meaningful differences in performance, rather than patient or clinician effects. In this way, the measure</w:t>
      </w:r>
      <w:r w:rsidRPr="009D0416">
        <w:rPr>
          <w:rFonts w:ascii="Times New Roman" w:hAnsi="Times New Roman" w:cs="Times New Roman"/>
          <w:bCs/>
          <w:color w:val="0070C0"/>
        </w:rPr>
        <w:t xml:space="preserve"> </w:t>
      </w:r>
      <w:r w:rsidR="00880FF9">
        <w:rPr>
          <w:rFonts w:ascii="Times New Roman" w:hAnsi="Times New Roman" w:cs="Times New Roman"/>
          <w:bCs/>
          <w:color w:val="0070C0"/>
        </w:rPr>
        <w:t xml:space="preserve">can </w:t>
      </w:r>
      <w:r w:rsidRPr="009D0416">
        <w:rPr>
          <w:rFonts w:ascii="Times New Roman" w:hAnsi="Times New Roman" w:cs="Times New Roman"/>
          <w:bCs/>
          <w:color w:val="0070C0"/>
        </w:rPr>
        <w:t>capture meaningful differences in resource use and, thus, provide actionable feedback to clinicians on how to improve their performance through care practice.</w:t>
      </w:r>
      <w:r w:rsidR="002D19CD" w:rsidRPr="009D0416">
        <w:rPr>
          <w:rFonts w:ascii="Times New Roman" w:hAnsi="Times New Roman" w:cs="Times New Roman"/>
          <w:bCs/>
          <w:color w:val="0070C0"/>
        </w:rPr>
        <w:t xml:space="preserve"> </w:t>
      </w:r>
    </w:p>
    <w:p w14:paraId="2DD1C925" w14:textId="641E652F" w:rsidR="00C67E5D" w:rsidRPr="009D0416" w:rsidRDefault="00C67E5D" w:rsidP="00C67E5D">
      <w:pPr>
        <w:autoSpaceDE w:val="0"/>
        <w:autoSpaceDN w:val="0"/>
        <w:adjustRightInd w:val="0"/>
        <w:spacing w:after="0" w:line="240" w:lineRule="auto"/>
        <w:rPr>
          <w:rFonts w:ascii="Times New Roman" w:hAnsi="Times New Roman" w:cs="Times New Roman"/>
          <w:bCs/>
          <w:color w:val="0070C0"/>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9C4055"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sidRPr="009C4055">
        <w:rPr>
          <w:rFonts w:cstheme="minorHAnsi"/>
          <w:b/>
          <w:bCs/>
        </w:rPr>
        <w:t>WHEN</w:t>
      </w:r>
      <w:r w:rsidR="002B2116" w:rsidRPr="009C4055">
        <w:rPr>
          <w:rFonts w:cstheme="minorHAnsi"/>
          <w:b/>
          <w:bCs/>
        </w:rPr>
        <w:t xml:space="preserve"> MORE THAN ONE SET OF SPECIFICATIONS </w:t>
      </w:r>
    </w:p>
    <w:p w14:paraId="0CABD00F" w14:textId="77777777" w:rsidR="00567D12" w:rsidRPr="009C4055" w:rsidRDefault="00567D12" w:rsidP="00567D12">
      <w:pPr>
        <w:spacing w:after="0" w:line="240" w:lineRule="auto"/>
        <w:rPr>
          <w:rFonts w:cstheme="minorHAnsi"/>
          <w:b/>
          <w:bCs/>
        </w:rPr>
      </w:pPr>
      <w:r w:rsidRPr="009C4055">
        <w:rPr>
          <w:rFonts w:cstheme="minorHAnsi"/>
          <w:b/>
          <w:bCs/>
          <w:i/>
        </w:rPr>
        <w:t xml:space="preserve">If only one set of specifications, this section can be </w:t>
      </w:r>
      <w:r w:rsidR="00BE592D" w:rsidRPr="009C4055">
        <w:rPr>
          <w:rFonts w:cstheme="minorHAnsi"/>
          <w:b/>
          <w:bCs/>
          <w:i/>
        </w:rPr>
        <w:t>skipped.</w:t>
      </w:r>
    </w:p>
    <w:p w14:paraId="0CABD010" w14:textId="77777777" w:rsidR="00567D12" w:rsidRPr="009C4055" w:rsidRDefault="00567D12" w:rsidP="00DB3627">
      <w:pPr>
        <w:autoSpaceDE w:val="0"/>
        <w:autoSpaceDN w:val="0"/>
        <w:adjustRightInd w:val="0"/>
        <w:spacing w:after="0" w:line="240" w:lineRule="auto"/>
        <w:rPr>
          <w:rFonts w:cstheme="minorHAnsi"/>
          <w:b/>
          <w:bCs/>
        </w:rPr>
      </w:pPr>
    </w:p>
    <w:p w14:paraId="0CABD011" w14:textId="23D2C0F9" w:rsidR="00052A6F" w:rsidRDefault="002B2116" w:rsidP="00DB3627">
      <w:pPr>
        <w:autoSpaceDE w:val="0"/>
        <w:autoSpaceDN w:val="0"/>
        <w:adjustRightInd w:val="0"/>
        <w:spacing w:after="0" w:line="240" w:lineRule="auto"/>
        <w:rPr>
          <w:rFonts w:cstheme="minorHAnsi"/>
          <w:bCs/>
          <w:i/>
        </w:rPr>
      </w:pPr>
      <w:r w:rsidRPr="009C4055">
        <w:rPr>
          <w:rFonts w:cstheme="minorHAnsi"/>
          <w:b/>
          <w:bCs/>
          <w:u w:val="single"/>
        </w:rPr>
        <w:t>Note</w:t>
      </w:r>
      <w:r w:rsidRPr="009C4055">
        <w:rPr>
          <w:rFonts w:cstheme="minorHAnsi"/>
          <w:bCs/>
          <w:i/>
        </w:rPr>
        <w:t xml:space="preserve">: </w:t>
      </w:r>
      <w:r w:rsidR="00F1412B" w:rsidRPr="009C4055">
        <w:rPr>
          <w:rFonts w:ascii="Calibri-Italic" w:eastAsiaTheme="minorHAnsi" w:hAnsi="Calibri-Italic" w:cs="Calibri-Italic"/>
          <w:i/>
          <w:iCs/>
        </w:rPr>
        <w:t xml:space="preserve">This item is directed to measures that are risk-adjusted (with or without </w:t>
      </w:r>
      <w:r w:rsidR="00AF2D68" w:rsidRPr="009C4055">
        <w:rPr>
          <w:rFonts w:ascii="Calibri-Italic" w:eastAsiaTheme="minorHAnsi" w:hAnsi="Calibri-Italic" w:cs="Calibri-Italic"/>
          <w:i/>
          <w:iCs/>
        </w:rPr>
        <w:t>social risk</w:t>
      </w:r>
      <w:r w:rsidR="00F1412B" w:rsidRPr="009C4055">
        <w:rPr>
          <w:rFonts w:ascii="Calibri-Italic" w:eastAsiaTheme="minorHAnsi" w:hAnsi="Calibri-Italic" w:cs="Calibri-Italic"/>
          <w:i/>
          <w:iCs/>
        </w:rPr>
        <w:t xml:space="preserve"> factors) </w:t>
      </w:r>
      <w:r w:rsidR="00F1412B" w:rsidRPr="009C4055">
        <w:rPr>
          <w:rFonts w:ascii="Calibri-Italic" w:eastAsiaTheme="minorHAnsi" w:hAnsi="Calibri-Italic" w:cs="Calibri-Italic"/>
          <w:b/>
          <w:i/>
          <w:iCs/>
        </w:rPr>
        <w:t>OR</w:t>
      </w:r>
      <w:r w:rsidR="00F1412B" w:rsidRPr="009C4055">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9C4055">
        <w:rPr>
          <w:rFonts w:ascii="Calibri-BoldItalic" w:eastAsiaTheme="minorHAnsi" w:hAnsi="Calibri-BoldItalic" w:cs="Calibri-BoldItalic"/>
          <w:b/>
          <w:bCs/>
          <w:i/>
          <w:iCs/>
        </w:rPr>
        <w:t xml:space="preserve">Comparability is not required when comparing performance scores with and without </w:t>
      </w:r>
      <w:r w:rsidR="00AF2D68" w:rsidRPr="009C4055">
        <w:rPr>
          <w:rFonts w:ascii="Calibri-BoldItalic" w:eastAsiaTheme="minorHAnsi" w:hAnsi="Calibri-BoldItalic" w:cs="Calibri-BoldItalic"/>
          <w:b/>
          <w:bCs/>
          <w:i/>
          <w:iCs/>
        </w:rPr>
        <w:t>social risk</w:t>
      </w:r>
      <w:r w:rsidR="00F1412B" w:rsidRPr="009C4055">
        <w:rPr>
          <w:rFonts w:ascii="Calibri-BoldItalic" w:eastAsiaTheme="minorHAnsi" w:hAnsi="Calibri-BoldItalic" w:cs="Calibri-BoldItalic"/>
          <w:b/>
          <w:bCs/>
          <w:i/>
          <w:iCs/>
        </w:rPr>
        <w:t xml:space="preserve"> factors</w:t>
      </w:r>
      <w:r w:rsidR="00F1412B" w:rsidRPr="005133A2">
        <w:rPr>
          <w:rFonts w:ascii="Calibri-BoldItalic" w:eastAsiaTheme="minorHAnsi" w:hAnsi="Calibri-BoldItalic" w:cs="Calibri-BoldItalic"/>
          <w:b/>
          <w:bCs/>
          <w:i/>
          <w:iCs/>
        </w:rPr>
        <w:t xml:space="preserve"> in the risk adjustment model</w:t>
      </w:r>
      <w:r w:rsidR="00781267">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4" w14:textId="3755AB52" w:rsidR="000F06B5" w:rsidRPr="00A25024" w:rsidRDefault="009C7513" w:rsidP="0078126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E0698F" w:rsidRPr="004B5AC8">
        <w:rPr>
          <w:rFonts w:ascii="Times New Roman" w:hAnsi="Times New Roman" w:cs="Times New Roman"/>
          <w:bCs/>
          <w:color w:val="0070C0"/>
        </w:rPr>
        <w:t>N/A</w:t>
      </w:r>
    </w:p>
    <w:p w14:paraId="0CABD016" w14:textId="321056C6" w:rsidR="00E1508F" w:rsidRPr="00E150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E0698F" w:rsidRPr="00445802">
        <w:rPr>
          <w:rFonts w:ascii="Times New Roman" w:hAnsi="Times New Roman" w:cs="Times New Roman"/>
          <w:bCs/>
          <w:color w:val="0070C0"/>
        </w:rPr>
        <w:t>N/A</w:t>
      </w:r>
    </w:p>
    <w:p w14:paraId="01E22D2B" w14:textId="25FEF382" w:rsidR="00781267" w:rsidRDefault="009C7513" w:rsidP="00781267">
      <w:pPr>
        <w:autoSpaceDE w:val="0"/>
        <w:autoSpaceDN w:val="0"/>
        <w:adjustRightInd w:val="0"/>
        <w:spacing w:after="0" w:line="240" w:lineRule="auto"/>
        <w:rPr>
          <w:rFonts w:cstheme="minorHAnsi"/>
          <w:b/>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w:t>
      </w:r>
      <w:r w:rsidR="002B0C3A" w:rsidRPr="00A25024">
        <w:rPr>
          <w:rFonts w:cstheme="minorHAnsi"/>
          <w:bCs/>
          <w:i/>
        </w:rPr>
        <w:lastRenderedPageBreak/>
        <w:t>mean and what are the norms for the test conducted</w:t>
      </w:r>
      <w:r w:rsidR="002B0C3A" w:rsidRPr="00A25024">
        <w:rPr>
          <w:rFonts w:cstheme="minorHAnsi"/>
          <w:bCs/>
        </w:rPr>
        <w:t>)</w:t>
      </w:r>
      <w:r w:rsidR="00A35F8F" w:rsidRPr="00DB3627">
        <w:rPr>
          <w:rFonts w:cstheme="minorHAnsi"/>
          <w:bCs/>
        </w:rPr>
        <w:br/>
      </w:r>
      <w:r w:rsidR="00E0698F" w:rsidRPr="00445802">
        <w:rPr>
          <w:rFonts w:ascii="Times New Roman" w:hAnsi="Times New Roman" w:cs="Times New Roman"/>
          <w:bCs/>
          <w:color w:val="0070C0"/>
        </w:rPr>
        <w:t>N/A</w:t>
      </w:r>
    </w:p>
    <w:p w14:paraId="0CABD018" w14:textId="5CEB7F85" w:rsidR="008F7E67" w:rsidRDefault="008F7E67" w:rsidP="00781267">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4D95FE0E" w14:textId="77777777" w:rsidR="00C67E5D"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73DAC50B" w14:textId="732C20FB" w:rsidR="00DE100C" w:rsidRPr="009D0416" w:rsidRDefault="00DE100C" w:rsidP="008F7E67">
      <w:pPr>
        <w:autoSpaceDE w:val="0"/>
        <w:autoSpaceDN w:val="0"/>
        <w:adjustRightInd w:val="0"/>
        <w:spacing w:after="0" w:line="240" w:lineRule="auto"/>
        <w:rPr>
          <w:rFonts w:ascii="Times New Roman" w:hAnsi="Times New Roman" w:cs="Times New Roman"/>
          <w:color w:val="0070C0"/>
        </w:rPr>
      </w:pPr>
      <w:r w:rsidRPr="009D0416">
        <w:rPr>
          <w:rFonts w:ascii="Times New Roman" w:hAnsi="Times New Roman" w:cs="Times New Roman"/>
          <w:color w:val="0070C0"/>
        </w:rPr>
        <w:t>Since the TPCC measure</w:t>
      </w:r>
      <w:r w:rsidR="00E0698F">
        <w:rPr>
          <w:rFonts w:ascii="Times New Roman" w:hAnsi="Times New Roman" w:cs="Times New Roman"/>
          <w:color w:val="0070C0"/>
        </w:rPr>
        <w:t xml:space="preserve"> is calculated using Medicare claims data</w:t>
      </w:r>
      <w:r w:rsidRPr="009D0416">
        <w:rPr>
          <w:rFonts w:ascii="Times New Roman" w:hAnsi="Times New Roman" w:cs="Times New Roman"/>
          <w:color w:val="0070C0"/>
        </w:rPr>
        <w:t xml:space="preserve">, </w:t>
      </w:r>
      <w:r w:rsidR="00785101" w:rsidRPr="009D0416">
        <w:rPr>
          <w:rFonts w:ascii="Times New Roman" w:hAnsi="Times New Roman" w:cs="Times New Roman"/>
          <w:color w:val="0070C0"/>
        </w:rPr>
        <w:t xml:space="preserve">we </w:t>
      </w:r>
      <w:r w:rsidRPr="009D0416">
        <w:rPr>
          <w:rFonts w:ascii="Times New Roman" w:hAnsi="Times New Roman" w:cs="Times New Roman"/>
          <w:color w:val="0070C0"/>
        </w:rPr>
        <w:t xml:space="preserve">expect a high degree of data completeness. To ensure further that we have complete and accurate data </w:t>
      </w:r>
      <w:r w:rsidR="00785101" w:rsidRPr="009D0416">
        <w:rPr>
          <w:rFonts w:ascii="Times New Roman" w:hAnsi="Times New Roman" w:cs="Times New Roman"/>
          <w:color w:val="0070C0"/>
        </w:rPr>
        <w:t xml:space="preserve">we </w:t>
      </w:r>
      <w:r w:rsidRPr="009D0416">
        <w:rPr>
          <w:rFonts w:ascii="Times New Roman" w:hAnsi="Times New Roman" w:cs="Times New Roman"/>
          <w:color w:val="0070C0"/>
        </w:rPr>
        <w:t>excludes beneficiaries enrolled in Medicare Part C or who have a primary payer other than Medicare during the measurement period. In such situations, Medicare Parts A and B claims data may not contain sufficient information to capture the beneficiary’s complete clinical risk profile, which is required for risk adjustment. Furthermore, Parts A and B claims data may not capture all Medicare resource use if some portion of the beneficiary’s care is covered under Medicare Part C.</w:t>
      </w:r>
    </w:p>
    <w:p w14:paraId="4AE444F2" w14:textId="7EFA21F5" w:rsidR="00C67E5D" w:rsidRPr="009D0416" w:rsidRDefault="008F7E67" w:rsidP="00CF15FE">
      <w:pPr>
        <w:autoSpaceDE w:val="0"/>
        <w:autoSpaceDN w:val="0"/>
        <w:adjustRightInd w:val="0"/>
        <w:spacing w:after="0" w:line="240" w:lineRule="auto"/>
        <w:rPr>
          <w:rFonts w:ascii="Times New Roman" w:hAnsi="Times New Roman" w:cs="Times New Roman"/>
          <w:bCs/>
        </w:rPr>
      </w:pPr>
      <w:r w:rsidRPr="009D0416">
        <w:rPr>
          <w:rFonts w:ascii="Times New Roman" w:hAnsi="Times New Roman" w:cs="Times New Roman"/>
          <w:bCs/>
        </w:rPr>
        <w:br/>
      </w:r>
      <w:r w:rsidR="009C7513">
        <w:rPr>
          <w:rFonts w:cstheme="minorHAnsi"/>
          <w:b/>
          <w:bCs/>
        </w:rPr>
        <w:t>2b6</w:t>
      </w:r>
      <w:r>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CF15FE" w:rsidRPr="009D0416">
        <w:rPr>
          <w:rFonts w:ascii="Times New Roman" w:hAnsi="Times New Roman" w:cs="Times New Roman"/>
          <w:b/>
          <w:color w:val="0070C0"/>
        </w:rPr>
        <w:t xml:space="preserve">Table </w:t>
      </w:r>
      <w:r w:rsidR="00361530">
        <w:rPr>
          <w:rFonts w:ascii="Times New Roman" w:hAnsi="Times New Roman" w:cs="Times New Roman"/>
          <w:b/>
          <w:color w:val="0070C0"/>
        </w:rPr>
        <w:t>1</w:t>
      </w:r>
      <w:r w:rsidR="00093E8F">
        <w:rPr>
          <w:rFonts w:ascii="Times New Roman" w:hAnsi="Times New Roman" w:cs="Times New Roman"/>
          <w:b/>
          <w:color w:val="0070C0"/>
        </w:rPr>
        <w:t>1</w:t>
      </w:r>
      <w:r w:rsidR="00F16771" w:rsidRPr="009D0416">
        <w:rPr>
          <w:rFonts w:ascii="Times New Roman" w:hAnsi="Times New Roman" w:cs="Times New Roman"/>
          <w:color w:val="0070C0"/>
        </w:rPr>
        <w:t xml:space="preserve"> below presents the frequency of missing data across the three categories of missing data which caused beneficiaries to be excluded from the TPCC measure. Frequency is presented in terms of the number of beneficiaries excluded due to missing data, as well as the number of TINs and TIN-NPIs who had at least one beneficiary excluded due to missing data. The missing data exclusions are</w:t>
      </w:r>
      <w:r w:rsidR="00C67E5D" w:rsidRPr="009D0416">
        <w:rPr>
          <w:rFonts w:ascii="Times New Roman" w:hAnsi="Times New Roman" w:cs="Times New Roman"/>
          <w:color w:val="0070C0"/>
        </w:rPr>
        <w:t>:</w:t>
      </w:r>
    </w:p>
    <w:p w14:paraId="7B3926EE" w14:textId="73092437" w:rsidR="00C67E5D" w:rsidRPr="009D0416" w:rsidRDefault="00C67E5D" w:rsidP="00C67E5D">
      <w:pPr>
        <w:pStyle w:val="ListParagraph"/>
        <w:numPr>
          <w:ilvl w:val="0"/>
          <w:numId w:val="35"/>
        </w:numPr>
        <w:spacing w:after="120" w:line="240" w:lineRule="auto"/>
        <w:rPr>
          <w:rFonts w:ascii="Times New Roman" w:hAnsi="Times New Roman" w:cs="Times New Roman"/>
          <w:color w:val="0070C0"/>
        </w:rPr>
      </w:pPr>
      <w:r w:rsidRPr="009D0416">
        <w:rPr>
          <w:rFonts w:ascii="Times New Roman" w:hAnsi="Times New Roman" w:cs="Times New Roman"/>
          <w:color w:val="0070C0"/>
        </w:rPr>
        <w:t xml:space="preserve">Beneficiary was not enrolled in Medicare Parts A and B, or was enrolled in Part C, during the </w:t>
      </w:r>
      <w:r w:rsidR="00F16771" w:rsidRPr="009D0416">
        <w:rPr>
          <w:rFonts w:ascii="Times New Roman" w:hAnsi="Times New Roman" w:cs="Times New Roman"/>
          <w:color w:val="0070C0"/>
        </w:rPr>
        <w:t>measurement period</w:t>
      </w:r>
    </w:p>
    <w:p w14:paraId="40BF4CDD" w14:textId="38C79944" w:rsidR="00F16771" w:rsidRPr="009D0416" w:rsidRDefault="00F16771" w:rsidP="00C67E5D">
      <w:pPr>
        <w:pStyle w:val="ListParagraph"/>
        <w:numPr>
          <w:ilvl w:val="0"/>
          <w:numId w:val="35"/>
        </w:numPr>
        <w:spacing w:after="120" w:line="240" w:lineRule="auto"/>
        <w:rPr>
          <w:rFonts w:ascii="Times New Roman" w:hAnsi="Times New Roman" w:cs="Times New Roman"/>
          <w:color w:val="0070C0"/>
        </w:rPr>
      </w:pPr>
      <w:r w:rsidRPr="009D0416">
        <w:rPr>
          <w:rFonts w:ascii="Times New Roman" w:hAnsi="Times New Roman" w:cs="Times New Roman"/>
          <w:color w:val="0070C0"/>
        </w:rPr>
        <w:t>Beneficiary resides outside of the U.S. or Territories</w:t>
      </w:r>
    </w:p>
    <w:p w14:paraId="5C4FA396" w14:textId="4B34BB8E" w:rsidR="00F16771" w:rsidRPr="009D0416" w:rsidRDefault="00F16771" w:rsidP="00C67E5D">
      <w:pPr>
        <w:pStyle w:val="ListParagraph"/>
        <w:numPr>
          <w:ilvl w:val="0"/>
          <w:numId w:val="35"/>
        </w:numPr>
        <w:spacing w:after="120" w:line="240" w:lineRule="auto"/>
        <w:rPr>
          <w:rFonts w:ascii="Times New Roman" w:hAnsi="Times New Roman" w:cs="Times New Roman"/>
          <w:color w:val="0070C0"/>
        </w:rPr>
      </w:pPr>
      <w:r w:rsidRPr="009D0416">
        <w:rPr>
          <w:rFonts w:ascii="Times New Roman" w:hAnsi="Times New Roman" w:cs="Times New Roman"/>
          <w:color w:val="0070C0"/>
        </w:rPr>
        <w:t>Beneficiary Enrollment in Medicare for Railroad Workers and their Families</w:t>
      </w:r>
    </w:p>
    <w:p w14:paraId="5A97699A" w14:textId="5CF5C00B" w:rsidR="00C67E5D" w:rsidRPr="00361530" w:rsidRDefault="00C67E5D" w:rsidP="00C67E5D">
      <w:pPr>
        <w:pStyle w:val="Caption"/>
        <w:spacing w:after="0"/>
        <w:jc w:val="center"/>
        <w:rPr>
          <w:rFonts w:ascii="Times New Roman" w:hAnsi="Times New Roman" w:cs="Times New Roman"/>
          <w:b w:val="0"/>
          <w:color w:val="000000" w:themeColor="text1"/>
          <w:sz w:val="22"/>
          <w:szCs w:val="22"/>
        </w:rPr>
      </w:pPr>
      <w:r w:rsidRPr="00361530">
        <w:rPr>
          <w:rFonts w:ascii="Times New Roman" w:hAnsi="Times New Roman" w:cs="Times New Roman"/>
          <w:color w:val="000000" w:themeColor="text1"/>
          <w:sz w:val="22"/>
          <w:szCs w:val="22"/>
        </w:rPr>
        <w:t xml:space="preserve">Table </w:t>
      </w:r>
      <w:r w:rsidR="00361530" w:rsidRPr="00361530">
        <w:rPr>
          <w:rFonts w:ascii="Times New Roman" w:hAnsi="Times New Roman" w:cs="Times New Roman"/>
          <w:color w:val="000000" w:themeColor="text1"/>
          <w:sz w:val="22"/>
          <w:szCs w:val="22"/>
        </w:rPr>
        <w:t>1</w:t>
      </w:r>
      <w:r w:rsidR="00093E8F">
        <w:rPr>
          <w:rFonts w:ascii="Times New Roman" w:hAnsi="Times New Roman" w:cs="Times New Roman"/>
          <w:color w:val="000000" w:themeColor="text1"/>
          <w:sz w:val="22"/>
          <w:szCs w:val="22"/>
        </w:rPr>
        <w:t>1</w:t>
      </w:r>
      <w:r w:rsidR="00361530" w:rsidRPr="00361530">
        <w:rPr>
          <w:rFonts w:ascii="Times New Roman" w:hAnsi="Times New Roman" w:cs="Times New Roman"/>
          <w:color w:val="000000" w:themeColor="text1"/>
          <w:sz w:val="22"/>
          <w:szCs w:val="22"/>
        </w:rPr>
        <w:t>.</w:t>
      </w:r>
      <w:r w:rsidRPr="00361530">
        <w:rPr>
          <w:rFonts w:ascii="Times New Roman" w:hAnsi="Times New Roman" w:cs="Times New Roman"/>
          <w:color w:val="000000" w:themeColor="text1"/>
          <w:sz w:val="22"/>
          <w:szCs w:val="22"/>
        </w:rPr>
        <w:t xml:space="preserve"> Missing Data Categories for the </w:t>
      </w:r>
      <w:r w:rsidR="00F34EC3" w:rsidRPr="00361530">
        <w:rPr>
          <w:rFonts w:ascii="Times New Roman" w:hAnsi="Times New Roman" w:cs="Times New Roman"/>
          <w:color w:val="000000" w:themeColor="text1"/>
          <w:sz w:val="22"/>
          <w:szCs w:val="22"/>
        </w:rPr>
        <w:t>TPCC</w:t>
      </w:r>
      <w:r w:rsidRPr="00361530">
        <w:rPr>
          <w:rFonts w:ascii="Times New Roman" w:hAnsi="Times New Roman" w:cs="Times New Roman"/>
          <w:color w:val="000000" w:themeColor="text1"/>
          <w:sz w:val="22"/>
          <w:szCs w:val="22"/>
        </w:rPr>
        <w:t xml:space="preserve"> Measure</w:t>
      </w:r>
    </w:p>
    <w:tbl>
      <w:tblPr>
        <w:tblStyle w:val="TableGrid"/>
        <w:tblW w:w="0" w:type="auto"/>
        <w:jc w:val="center"/>
        <w:tblLook w:val="04A0" w:firstRow="1" w:lastRow="0" w:firstColumn="1" w:lastColumn="0" w:noHBand="0" w:noVBand="1"/>
      </w:tblPr>
      <w:tblGrid>
        <w:gridCol w:w="2965"/>
        <w:gridCol w:w="1742"/>
        <w:gridCol w:w="1276"/>
        <w:gridCol w:w="1276"/>
      </w:tblGrid>
      <w:tr w:rsidR="00C67E5D" w:rsidRPr="00361530" w14:paraId="37437CB7" w14:textId="77777777" w:rsidTr="00F67541">
        <w:trPr>
          <w:trHeight w:val="305"/>
          <w:jc w:val="center"/>
        </w:trPr>
        <w:tc>
          <w:tcPr>
            <w:tcW w:w="2965" w:type="dxa"/>
            <w:shd w:val="clear" w:color="auto" w:fill="17365D" w:themeFill="text2" w:themeFillShade="BF"/>
            <w:vAlign w:val="center"/>
          </w:tcPr>
          <w:p w14:paraId="7DBB1D92" w14:textId="77777777" w:rsidR="00C67E5D" w:rsidRPr="00361530" w:rsidRDefault="00C67E5D" w:rsidP="00D3095E">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Exclusion</w:t>
            </w:r>
          </w:p>
        </w:tc>
        <w:tc>
          <w:tcPr>
            <w:tcW w:w="1742" w:type="dxa"/>
            <w:shd w:val="clear" w:color="auto" w:fill="17365D" w:themeFill="text2" w:themeFillShade="BF"/>
            <w:vAlign w:val="center"/>
          </w:tcPr>
          <w:p w14:paraId="0E6A6812" w14:textId="6EF22329" w:rsidR="00C67E5D" w:rsidRPr="00361530" w:rsidDel="00B53C04" w:rsidRDefault="00C67E5D" w:rsidP="00552CC0">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 xml:space="preserve"># </w:t>
            </w:r>
            <w:r w:rsidR="00552CC0" w:rsidRPr="00361530">
              <w:rPr>
                <w:rFonts w:ascii="Arial" w:hAnsi="Arial" w:cs="Arial"/>
                <w:b/>
                <w:bCs/>
                <w:color w:val="FFFFFF" w:themeColor="background1"/>
                <w:sz w:val="20"/>
                <w:szCs w:val="20"/>
              </w:rPr>
              <w:t>Beneficiaries</w:t>
            </w:r>
          </w:p>
        </w:tc>
        <w:tc>
          <w:tcPr>
            <w:tcW w:w="1276" w:type="dxa"/>
            <w:shd w:val="clear" w:color="auto" w:fill="17365D" w:themeFill="text2" w:themeFillShade="BF"/>
            <w:vAlign w:val="center"/>
          </w:tcPr>
          <w:p w14:paraId="23274219" w14:textId="77777777" w:rsidR="00C67E5D" w:rsidRPr="00361530" w:rsidDel="00B53C04" w:rsidRDefault="00C67E5D" w:rsidP="00D3095E">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 TINs</w:t>
            </w:r>
          </w:p>
        </w:tc>
        <w:tc>
          <w:tcPr>
            <w:tcW w:w="1276" w:type="dxa"/>
            <w:shd w:val="clear" w:color="auto" w:fill="17365D" w:themeFill="text2" w:themeFillShade="BF"/>
            <w:vAlign w:val="center"/>
          </w:tcPr>
          <w:p w14:paraId="341F7E77" w14:textId="77777777" w:rsidR="00C67E5D" w:rsidRPr="00361530" w:rsidDel="00B53C04" w:rsidRDefault="00C67E5D" w:rsidP="00D3095E">
            <w:pPr>
              <w:autoSpaceDE w:val="0"/>
              <w:autoSpaceDN w:val="0"/>
              <w:adjustRightInd w:val="0"/>
              <w:jc w:val="center"/>
              <w:rPr>
                <w:rFonts w:ascii="Arial" w:hAnsi="Arial" w:cs="Arial"/>
                <w:b/>
                <w:bCs/>
                <w:color w:val="FFFFFF" w:themeColor="background1"/>
                <w:sz w:val="20"/>
                <w:szCs w:val="20"/>
              </w:rPr>
            </w:pPr>
            <w:r w:rsidRPr="00361530">
              <w:rPr>
                <w:rFonts w:ascii="Arial" w:hAnsi="Arial" w:cs="Arial"/>
                <w:b/>
                <w:bCs/>
                <w:color w:val="FFFFFF" w:themeColor="background1"/>
                <w:sz w:val="20"/>
                <w:szCs w:val="20"/>
              </w:rPr>
              <w:t># TIN-NPIs</w:t>
            </w:r>
          </w:p>
        </w:tc>
      </w:tr>
      <w:tr w:rsidR="00CF15FE" w:rsidRPr="00361530" w14:paraId="0DC33721" w14:textId="77777777" w:rsidTr="00F67541">
        <w:trPr>
          <w:jc w:val="center"/>
        </w:trPr>
        <w:tc>
          <w:tcPr>
            <w:tcW w:w="2965" w:type="dxa"/>
          </w:tcPr>
          <w:p w14:paraId="33143805" w14:textId="70C2FE98" w:rsidR="00CF15FE" w:rsidRPr="00361530" w:rsidRDefault="00CF15FE" w:rsidP="00CF15FE">
            <w:pPr>
              <w:autoSpaceDE w:val="0"/>
              <w:autoSpaceDN w:val="0"/>
              <w:adjustRightInd w:val="0"/>
              <w:rPr>
                <w:rFonts w:ascii="Arial" w:hAnsi="Arial" w:cs="Arial"/>
                <w:bCs/>
                <w:sz w:val="20"/>
                <w:szCs w:val="20"/>
              </w:rPr>
            </w:pPr>
            <w:r w:rsidRPr="00361530">
              <w:rPr>
                <w:rFonts w:ascii="Arial" w:hAnsi="Arial" w:cs="Arial"/>
                <w:bCs/>
                <w:sz w:val="20"/>
                <w:szCs w:val="20"/>
              </w:rPr>
              <w:t>No Continuous Enrollment in Medicare Parts A and B, and Any Enrollment in Part C</w:t>
            </w:r>
          </w:p>
        </w:tc>
        <w:tc>
          <w:tcPr>
            <w:tcW w:w="1742" w:type="dxa"/>
            <w:vAlign w:val="center"/>
          </w:tcPr>
          <w:p w14:paraId="29B5F2DB" w14:textId="32009541" w:rsidR="00CF15FE" w:rsidRPr="00361530"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5,053,189</w:t>
            </w:r>
          </w:p>
        </w:tc>
        <w:tc>
          <w:tcPr>
            <w:tcW w:w="1276" w:type="dxa"/>
            <w:vAlign w:val="center"/>
          </w:tcPr>
          <w:p w14:paraId="443289A2" w14:textId="245ED7EA" w:rsidR="00CF15FE" w:rsidRPr="00361530"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153,440</w:t>
            </w:r>
          </w:p>
        </w:tc>
        <w:tc>
          <w:tcPr>
            <w:tcW w:w="1276" w:type="dxa"/>
            <w:vAlign w:val="center"/>
          </w:tcPr>
          <w:p w14:paraId="61D6F007" w14:textId="1252A0BA" w:rsidR="00CF15FE" w:rsidRPr="00361530"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802,144</w:t>
            </w:r>
          </w:p>
        </w:tc>
      </w:tr>
      <w:tr w:rsidR="00CF15FE" w:rsidRPr="00361530" w14:paraId="0E93DBD9" w14:textId="77777777" w:rsidTr="00F67541">
        <w:trPr>
          <w:jc w:val="center"/>
        </w:trPr>
        <w:tc>
          <w:tcPr>
            <w:tcW w:w="2965" w:type="dxa"/>
          </w:tcPr>
          <w:p w14:paraId="1526A6C3" w14:textId="5251088B" w:rsidR="00CF15FE" w:rsidRPr="00361530" w:rsidRDefault="00CF15FE" w:rsidP="00CF15FE">
            <w:pPr>
              <w:autoSpaceDE w:val="0"/>
              <w:autoSpaceDN w:val="0"/>
              <w:adjustRightInd w:val="0"/>
              <w:rPr>
                <w:rFonts w:ascii="Arial" w:hAnsi="Arial" w:cs="Arial"/>
                <w:bCs/>
                <w:sz w:val="20"/>
                <w:szCs w:val="20"/>
              </w:rPr>
            </w:pPr>
            <w:r w:rsidRPr="00361530">
              <w:rPr>
                <w:rFonts w:ascii="Arial" w:hAnsi="Arial" w:cs="Arial"/>
                <w:bCs/>
                <w:sz w:val="20"/>
                <w:szCs w:val="20"/>
              </w:rPr>
              <w:t xml:space="preserve">Beneficiary Resides Outside of U.S. or Territories  </w:t>
            </w:r>
          </w:p>
        </w:tc>
        <w:tc>
          <w:tcPr>
            <w:tcW w:w="1742" w:type="dxa"/>
            <w:vAlign w:val="center"/>
          </w:tcPr>
          <w:p w14:paraId="06D83C0B" w14:textId="413EC94D" w:rsidR="00CF15FE" w:rsidRPr="00361530" w:rsidDel="00B53C04"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14,879</w:t>
            </w:r>
          </w:p>
        </w:tc>
        <w:tc>
          <w:tcPr>
            <w:tcW w:w="1276" w:type="dxa"/>
            <w:vAlign w:val="center"/>
          </w:tcPr>
          <w:p w14:paraId="30842420" w14:textId="1ABBC425" w:rsidR="00CF15FE" w:rsidRPr="00361530" w:rsidDel="00B53C04"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17,384</w:t>
            </w:r>
          </w:p>
        </w:tc>
        <w:tc>
          <w:tcPr>
            <w:tcW w:w="1276" w:type="dxa"/>
            <w:vAlign w:val="center"/>
          </w:tcPr>
          <w:p w14:paraId="586AA6F5" w14:textId="02F3E735" w:rsidR="00CF15FE" w:rsidRPr="00361530" w:rsidDel="00B53C04"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38,890</w:t>
            </w:r>
          </w:p>
        </w:tc>
      </w:tr>
      <w:tr w:rsidR="00CF15FE" w:rsidRPr="00361530" w14:paraId="72BD6ECA" w14:textId="77777777" w:rsidTr="00F67541">
        <w:trPr>
          <w:jc w:val="center"/>
        </w:trPr>
        <w:tc>
          <w:tcPr>
            <w:tcW w:w="2965" w:type="dxa"/>
          </w:tcPr>
          <w:p w14:paraId="5965DB50" w14:textId="7DAFCE66" w:rsidR="00CF15FE" w:rsidRPr="00361530" w:rsidRDefault="00CF15FE" w:rsidP="00CF15FE">
            <w:pPr>
              <w:autoSpaceDE w:val="0"/>
              <w:autoSpaceDN w:val="0"/>
              <w:adjustRightInd w:val="0"/>
              <w:rPr>
                <w:rFonts w:ascii="Arial" w:hAnsi="Arial" w:cs="Arial"/>
                <w:bCs/>
                <w:sz w:val="20"/>
                <w:szCs w:val="20"/>
              </w:rPr>
            </w:pPr>
            <w:r w:rsidRPr="00361530">
              <w:rPr>
                <w:rFonts w:ascii="Arial" w:hAnsi="Arial" w:cs="Arial"/>
                <w:bCs/>
                <w:sz w:val="20"/>
                <w:szCs w:val="20"/>
              </w:rPr>
              <w:t>Beneficiary Enrollment in Medicare for Railroad Workers and their Families</w:t>
            </w:r>
          </w:p>
        </w:tc>
        <w:tc>
          <w:tcPr>
            <w:tcW w:w="1742" w:type="dxa"/>
            <w:vAlign w:val="center"/>
          </w:tcPr>
          <w:p w14:paraId="339B70D8" w14:textId="3B9646EE" w:rsidR="00CF15FE" w:rsidRPr="00361530" w:rsidDel="00B53C04"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326,588</w:t>
            </w:r>
          </w:p>
        </w:tc>
        <w:tc>
          <w:tcPr>
            <w:tcW w:w="1276" w:type="dxa"/>
            <w:vAlign w:val="center"/>
          </w:tcPr>
          <w:p w14:paraId="6D44CDB5" w14:textId="24A1FE25" w:rsidR="00CF15FE" w:rsidRPr="00361530" w:rsidDel="00B53C04"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79,390</w:t>
            </w:r>
          </w:p>
        </w:tc>
        <w:tc>
          <w:tcPr>
            <w:tcW w:w="1276" w:type="dxa"/>
            <w:vAlign w:val="center"/>
          </w:tcPr>
          <w:p w14:paraId="03947E49" w14:textId="08164ADE" w:rsidR="00CF15FE" w:rsidRPr="00361530" w:rsidDel="00B53C04" w:rsidRDefault="00CF15FE" w:rsidP="00CF15FE">
            <w:pPr>
              <w:autoSpaceDE w:val="0"/>
              <w:autoSpaceDN w:val="0"/>
              <w:adjustRightInd w:val="0"/>
              <w:jc w:val="right"/>
              <w:rPr>
                <w:rFonts w:ascii="Arial" w:hAnsi="Arial" w:cs="Arial"/>
                <w:bCs/>
                <w:sz w:val="20"/>
                <w:szCs w:val="20"/>
                <w:highlight w:val="yellow"/>
              </w:rPr>
            </w:pPr>
            <w:r w:rsidRPr="00361530">
              <w:rPr>
                <w:rFonts w:ascii="Arial" w:hAnsi="Arial" w:cs="Arial"/>
                <w:color w:val="000000"/>
                <w:sz w:val="20"/>
                <w:szCs w:val="20"/>
              </w:rPr>
              <w:t>392,036</w:t>
            </w:r>
          </w:p>
        </w:tc>
      </w:tr>
    </w:tbl>
    <w:p w14:paraId="161597FC" w14:textId="77777777" w:rsidR="00CF15FE" w:rsidRPr="009D0416" w:rsidRDefault="00C67E5D" w:rsidP="00F16771">
      <w:pPr>
        <w:autoSpaceDE w:val="0"/>
        <w:autoSpaceDN w:val="0"/>
        <w:spacing w:after="0"/>
        <w:rPr>
          <w:rFonts w:ascii="Times New Roman" w:hAnsi="Times New Roman" w:cs="Times New Roman"/>
        </w:rPr>
      </w:pPr>
      <w:r w:rsidRPr="009D0416">
        <w:rPr>
          <w:rFonts w:ascii="Times New Roman" w:hAnsi="Times New Roman" w:cs="Times New Roman"/>
        </w:rPr>
        <w:tab/>
      </w:r>
    </w:p>
    <w:p w14:paraId="7B5B39E3" w14:textId="77777777" w:rsidR="009D0416" w:rsidRDefault="00CF15FE" w:rsidP="009D0416">
      <w:pPr>
        <w:autoSpaceDE w:val="0"/>
        <w:autoSpaceDN w:val="0"/>
        <w:adjustRightInd w:val="0"/>
        <w:spacing w:after="0" w:line="240" w:lineRule="auto"/>
        <w:rPr>
          <w:rFonts w:ascii="Times New Roman" w:hAnsi="Times New Roman" w:cs="Times New Roman"/>
          <w:bCs/>
          <w:color w:val="0070C0"/>
        </w:rPr>
      </w:pPr>
      <w:r w:rsidRPr="009D0416">
        <w:rPr>
          <w:rFonts w:ascii="Times New Roman" w:hAnsi="Times New Roman" w:cs="Times New Roman"/>
          <w:bCs/>
          <w:color w:val="0070C0"/>
        </w:rPr>
        <w:t>Additional</w:t>
      </w:r>
      <w:r w:rsidR="00FB264F" w:rsidRPr="009D0416">
        <w:rPr>
          <w:rFonts w:ascii="Times New Roman" w:hAnsi="Times New Roman" w:cs="Times New Roman"/>
          <w:bCs/>
          <w:color w:val="0070C0"/>
        </w:rPr>
        <w:t xml:space="preserve"> descriptive statistics for exclusions related to missing data </w:t>
      </w:r>
      <w:r w:rsidRPr="009D0416">
        <w:rPr>
          <w:rFonts w:ascii="Times New Roman" w:hAnsi="Times New Roman" w:cs="Times New Roman"/>
          <w:bCs/>
          <w:color w:val="0070C0"/>
        </w:rPr>
        <w:t>are provided in Appendix Table 2b2.2.</w:t>
      </w:r>
    </w:p>
    <w:p w14:paraId="31EE2AE3" w14:textId="7D387E89" w:rsidR="009A2F1E" w:rsidRPr="009D0416" w:rsidRDefault="00C67E5D" w:rsidP="009D0416">
      <w:pPr>
        <w:autoSpaceDE w:val="0"/>
        <w:autoSpaceDN w:val="0"/>
        <w:adjustRightInd w:val="0"/>
        <w:spacing w:after="0" w:line="240" w:lineRule="auto"/>
        <w:rPr>
          <w:rFonts w:ascii="Times New Roman" w:hAnsi="Times New Roman" w:cs="Times New Roman"/>
          <w:b/>
          <w:bCs/>
        </w:rPr>
      </w:pPr>
      <w:r w:rsidRPr="009D0416">
        <w:rPr>
          <w:rFonts w:ascii="Times New Roman" w:hAnsi="Times New Roman" w:cs="Times New Roman"/>
          <w:sz w:val="20"/>
        </w:rPr>
        <w:tab/>
      </w:r>
    </w:p>
    <w:p w14:paraId="0CABD01F" w14:textId="3ADC5679" w:rsidR="008B604D" w:rsidRPr="00781267"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w:t>
      </w:r>
      <w:r w:rsidR="00771B2A" w:rsidRPr="00781267">
        <w:rPr>
          <w:rFonts w:ascii="Calibri" w:eastAsia="Calibri" w:hAnsi="Calibri" w:cs="Calibri"/>
        </w:rPr>
        <w:t>specified handling of missing data minimizes bias</w:t>
      </w:r>
      <w:r w:rsidR="008F7E67" w:rsidRPr="00781267">
        <w:rPr>
          <w:rFonts w:cstheme="minorHAnsi"/>
          <w:b/>
          <w:bCs/>
        </w:rPr>
        <w:t>?</w:t>
      </w:r>
      <w:r w:rsidR="008F7E67" w:rsidRPr="00781267">
        <w:rPr>
          <w:rFonts w:cstheme="minorHAnsi"/>
          <w:bCs/>
        </w:rPr>
        <w:t xml:space="preserve"> (i</w:t>
      </w:r>
      <w:r w:rsidR="008F7E67" w:rsidRPr="00781267">
        <w:rPr>
          <w:rFonts w:cstheme="minorHAnsi"/>
          <w:bCs/>
          <w:i/>
        </w:rPr>
        <w:t xml:space="preserve">.e., what do the results mean </w:t>
      </w:r>
      <w:r w:rsidR="00145D4F" w:rsidRPr="00781267">
        <w:rPr>
          <w:rFonts w:cstheme="minorHAnsi"/>
          <w:bCs/>
          <w:i/>
        </w:rPr>
        <w:t xml:space="preserve">in terms of supporting the selected approach for missing data </w:t>
      </w:r>
      <w:r w:rsidR="008F7E67" w:rsidRPr="00781267">
        <w:rPr>
          <w:rFonts w:cstheme="minorHAnsi"/>
          <w:bCs/>
          <w:i/>
        </w:rPr>
        <w:t>and what are the norms for the test conducted</w:t>
      </w:r>
      <w:r w:rsidR="00145D4F" w:rsidRPr="00781267">
        <w:rPr>
          <w:rFonts w:cstheme="minorHAnsi"/>
          <w:bCs/>
          <w:i/>
        </w:rPr>
        <w:t xml:space="preserve">; </w:t>
      </w:r>
      <w:r w:rsidR="00145D4F" w:rsidRPr="00781267">
        <w:rPr>
          <w:rFonts w:cstheme="minorHAnsi"/>
          <w:bCs/>
          <w:i/>
          <w:u w:val="single"/>
        </w:rPr>
        <w:t>if no empirical analysis</w:t>
      </w:r>
      <w:r w:rsidR="00145D4F" w:rsidRPr="00781267">
        <w:rPr>
          <w:rFonts w:cstheme="minorHAnsi"/>
          <w:bCs/>
          <w:i/>
        </w:rPr>
        <w:t>, provide rationale for the selected approach for missing data</w:t>
      </w:r>
      <w:r w:rsidR="008F7E67" w:rsidRPr="00781267">
        <w:rPr>
          <w:rFonts w:cstheme="minorHAnsi"/>
          <w:bCs/>
        </w:rPr>
        <w:t>)</w:t>
      </w:r>
    </w:p>
    <w:p w14:paraId="2E8F94D4" w14:textId="16D21291" w:rsidR="00C67E5D" w:rsidRPr="009D0416" w:rsidRDefault="00F16771">
      <w:pPr>
        <w:autoSpaceDE w:val="0"/>
        <w:autoSpaceDN w:val="0"/>
        <w:adjustRightInd w:val="0"/>
        <w:spacing w:after="0" w:line="240" w:lineRule="auto"/>
        <w:rPr>
          <w:rFonts w:ascii="Times New Roman" w:hAnsi="Times New Roman" w:cs="Times New Roman"/>
          <w:bCs/>
        </w:rPr>
      </w:pPr>
      <w:r w:rsidRPr="009D0416">
        <w:rPr>
          <w:rFonts w:ascii="Times New Roman" w:hAnsi="Times New Roman" w:cs="Times New Roman"/>
          <w:bCs/>
          <w:color w:val="0070C0"/>
        </w:rPr>
        <w:lastRenderedPageBreak/>
        <w:t xml:space="preserve">As the TPCC measure is calculated with Medicare claims data, </w:t>
      </w:r>
      <w:r w:rsidR="00785101" w:rsidRPr="009D0416">
        <w:rPr>
          <w:rFonts w:ascii="Times New Roman" w:hAnsi="Times New Roman" w:cs="Times New Roman"/>
          <w:bCs/>
          <w:color w:val="0070C0"/>
        </w:rPr>
        <w:t xml:space="preserve">we </w:t>
      </w:r>
      <w:r w:rsidRPr="009D0416">
        <w:rPr>
          <w:rFonts w:ascii="Times New Roman" w:hAnsi="Times New Roman" w:cs="Times New Roman"/>
          <w:bCs/>
          <w:color w:val="0070C0"/>
        </w:rPr>
        <w:t xml:space="preserve">expects a high degree of data completeness for those beneficiaries with Medicare Part A and B coverage and removes beneficiaries that may have gaps in the Medicare claims history due to alternate enrollment. </w:t>
      </w:r>
      <w:r w:rsidR="00E0698F">
        <w:rPr>
          <w:rFonts w:ascii="Times New Roman" w:hAnsi="Times New Roman" w:cs="Times New Roman"/>
          <w:bCs/>
          <w:color w:val="0070C0"/>
        </w:rPr>
        <w:t xml:space="preserve">This data processing step ensures that we have complete and accurate information needed to calculate the measure. </w:t>
      </w:r>
    </w:p>
    <w:sectPr w:rsidR="00C67E5D" w:rsidRPr="009D0416"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EC665F" w16cid:durableId="2192434D"/>
  <w16cid:commentId w16cid:paraId="0883E461" w16cid:durableId="218FBD83"/>
  <w16cid:commentId w16cid:paraId="1411FC4B" w16cid:durableId="2190DEC9"/>
  <w16cid:commentId w16cid:paraId="45057827" w16cid:durableId="2193685B"/>
  <w16cid:commentId w16cid:paraId="6E3978E1" w16cid:durableId="218FC0AE"/>
  <w16cid:commentId w16cid:paraId="2D5F6FD5" w16cid:durableId="2190BA16"/>
  <w16cid:commentId w16cid:paraId="23DA1F37" w16cid:durableId="21923497"/>
  <w16cid:commentId w16cid:paraId="791160C4" w16cid:durableId="219366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BC9C0" w14:textId="77777777" w:rsidR="00E71DDC" w:rsidRDefault="00E71DDC" w:rsidP="005C73CA">
      <w:pPr>
        <w:spacing w:after="0" w:line="240" w:lineRule="auto"/>
      </w:pPr>
      <w:r>
        <w:separator/>
      </w:r>
    </w:p>
  </w:endnote>
  <w:endnote w:type="continuationSeparator" w:id="0">
    <w:p w14:paraId="0EAB4E08" w14:textId="77777777" w:rsidR="00E71DDC" w:rsidRDefault="00E71DD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51CF40E3" w:rsidR="00E71DDC" w:rsidRDefault="00E71DDC">
    <w:pPr>
      <w:pStyle w:val="Footer"/>
    </w:pPr>
    <w:r>
      <w:t xml:space="preserve">Version 0.6 </w:t>
    </w:r>
    <w:r w:rsidR="000D3E39">
      <w:t>4/29</w:t>
    </w:r>
    <w: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4FD20" w14:textId="77777777" w:rsidR="00E71DDC" w:rsidRDefault="00E71DDC" w:rsidP="005C73CA">
      <w:pPr>
        <w:spacing w:after="0" w:line="240" w:lineRule="auto"/>
      </w:pPr>
      <w:r>
        <w:separator/>
      </w:r>
    </w:p>
  </w:footnote>
  <w:footnote w:type="continuationSeparator" w:id="0">
    <w:p w14:paraId="5882DFAC" w14:textId="77777777" w:rsidR="00E71DDC" w:rsidRDefault="00E71DDC" w:rsidP="005C73CA">
      <w:pPr>
        <w:spacing w:after="0" w:line="240" w:lineRule="auto"/>
      </w:pPr>
      <w:r>
        <w:continuationSeparator/>
      </w:r>
    </w:p>
  </w:footnote>
  <w:footnote w:id="1">
    <w:p w14:paraId="1FF3AE21" w14:textId="77777777" w:rsidR="00E71DDC" w:rsidRPr="004B5AC8" w:rsidRDefault="00E71DDC" w:rsidP="00D05D38">
      <w:pPr>
        <w:pStyle w:val="FootnoteText"/>
      </w:pPr>
      <w:r w:rsidRPr="00162E70">
        <w:rPr>
          <w:rStyle w:val="FootnoteReference"/>
        </w:rPr>
        <w:footnoteRef/>
      </w:r>
      <w:r w:rsidRPr="00162E70">
        <w:t xml:space="preserve"> Agency for Healthcare Research &amp; Quality, Centers for Medicare &amp; Medicaid Services, and RTI International. “Creation of New Race-Ethnicity Codes and Socioeconomic Status (SES) Indicators for Medicare Beneficiaries.” Research </w:t>
      </w:r>
      <w:r w:rsidRPr="004B5AC8">
        <w:t xml:space="preserve">Triangle Park, 2008. </w:t>
      </w:r>
      <w:hyperlink r:id="rId1" w:history="1">
        <w:r w:rsidRPr="004B5AC8">
          <w:rPr>
            <w:rStyle w:val="Hyperlink"/>
            <w:color w:val="auto"/>
          </w:rPr>
          <w:t>https://archive.ahrq.gov/research/findings/final-reports/medicareindicators/index.html</w:t>
        </w:r>
      </w:hyperlink>
    </w:p>
  </w:footnote>
  <w:footnote w:id="2">
    <w:p w14:paraId="626BFE14" w14:textId="054717F6" w:rsidR="00E71DDC" w:rsidRDefault="00E71DDC" w:rsidP="00D05D38">
      <w:pPr>
        <w:pStyle w:val="FootnoteText"/>
      </w:pPr>
      <w:r w:rsidRPr="004B5AC8">
        <w:rPr>
          <w:rStyle w:val="FootnoteReference"/>
        </w:rPr>
        <w:footnoteRef/>
      </w:r>
      <w:r w:rsidRPr="004B5AC8">
        <w:t xml:space="preserve"> SES Index Score = 50 + (-0.07 *</w:t>
      </w:r>
      <w:r w:rsidRPr="004B5AC8">
        <w:rPr>
          <w:noProof/>
        </w:rPr>
        <w:t xml:space="preserve"> [% of households containing one or more person per room]) + (0.08 * [median value of owner-occupied dwelling, standardized range from 0-100] + (-.010 * [% of persons below the federally defined poverty line]) + (0.11 * [median household income, standardized range from 0-100]) + (0.10 * [% of persons aged ≥ 25 years with at least 4 years of college] + (-0.11 * [% of persons aged ≥ 25 years with less than a 12</w:t>
      </w:r>
      <w:r w:rsidRPr="004B5AC8">
        <w:rPr>
          <w:noProof/>
          <w:vertAlign w:val="superscript"/>
        </w:rPr>
        <w:t>th</w:t>
      </w:r>
      <w:r w:rsidRPr="004B5AC8">
        <w:rPr>
          <w:noProof/>
        </w:rPr>
        <w:t xml:space="preserve"> grade education]) + (-0.08 * [% of persons aged 16 or older in the labor force who are unemployed])</w:t>
      </w:r>
    </w:p>
  </w:footnote>
  <w:footnote w:id="3">
    <w:p w14:paraId="0EA9D561" w14:textId="0984C724" w:rsidR="00E71DDC" w:rsidRDefault="00E71DDC">
      <w:pPr>
        <w:pStyle w:val="FootnoteText"/>
      </w:pPr>
      <w:r>
        <w:rPr>
          <w:rStyle w:val="FootnoteReference"/>
        </w:rPr>
        <w:footnoteRef/>
      </w:r>
      <w:r>
        <w:t xml:space="preserve"> </w:t>
      </w:r>
      <w:r w:rsidRPr="00E80A7C">
        <w:t xml:space="preserve">Mathematica, Inc. “Memorandum: Reporting Period and Reliability of AHRQ, CMS 30-Day and HAC Quality Measures – Revised.” </w:t>
      </w:r>
      <w:hyperlink r:id="rId2" w:history="1">
        <w:r w:rsidRPr="00E80A7C">
          <w:rPr>
            <w:rStyle w:val="Hyperlink"/>
          </w:rPr>
          <w:t>http://www.cms.gov/Medicare/Quality-Initiatives-Patient-Assessment-Instruments/hospital-value-based-purchasing/Downloads/HVBP_Measure_Reliability-.pdf</w:t>
        </w:r>
      </w:hyperlink>
    </w:p>
  </w:footnote>
  <w:footnote w:id="4">
    <w:p w14:paraId="6CFC2BA4" w14:textId="0DC1F873" w:rsidR="00E71DDC" w:rsidRPr="00B91A90" w:rsidRDefault="00E71DDC" w:rsidP="00F83F9F">
      <w:pPr>
        <w:pStyle w:val="FootnoteText"/>
      </w:pPr>
      <w:r w:rsidRPr="00B91A90">
        <w:rPr>
          <w:rStyle w:val="FootnoteReference"/>
        </w:rPr>
        <w:footnoteRef/>
      </w:r>
      <w:r w:rsidRPr="00B91A90">
        <w:t xml:space="preserve"> Thresholds for sufficient measure reliability (including the ICC and other reliability methods) vary across sources (see, for example, Portney and Watkins, 2000, for a discussion). Authors provide a range of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Nunnally (1978) is often cited to justify a threshold of 0.7 for “sufficient” reliability. CMS provides the following thresholds: “</w:t>
      </w:r>
      <w:r w:rsidRPr="00B91A90">
        <w:rPr>
          <w:i/>
        </w:rPr>
        <w:t>We generally consider reliability levels between 0.4 and 0.7 to indicate “moderate” reliability and levels above 0.7 to indicate “high” reliability.</w:t>
      </w:r>
      <w:r w:rsidRPr="00B91A90">
        <w:t>” (Quality Payment Program 2017 Final Rule: 81 FR 77169). The Department of Education provides the following thresholds: “</w:t>
      </w:r>
      <w:r w:rsidRPr="00B91A90">
        <w:rPr>
          <w:i/>
        </w:rPr>
        <w:t>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w:t>
      </w:r>
      <w:r w:rsidRPr="00B91A90">
        <w:t>” (What Works Clearinghouse (WWC) Standards Handbook v4, p.78).</w:t>
      </w:r>
    </w:p>
  </w:footnote>
  <w:footnote w:id="5">
    <w:p w14:paraId="4CE2F7F2" w14:textId="77777777" w:rsidR="00E71DDC" w:rsidRDefault="00E71DDC" w:rsidP="008B099E">
      <w:pPr>
        <w:pStyle w:val="FootnoteText"/>
      </w:pPr>
      <w:r>
        <w:rPr>
          <w:rStyle w:val="FootnoteReference"/>
        </w:rPr>
        <w:footnoteRef/>
      </w:r>
      <w:r>
        <w:t xml:space="preserve"> </w:t>
      </w:r>
      <w:r w:rsidRPr="00BF6418">
        <w:rPr>
          <w:bCs/>
        </w:rPr>
        <w:t>CMS, 2017 Quality Payment Program Experience Report – Appendix</w:t>
      </w:r>
      <w:r>
        <w:rPr>
          <w:color w:val="C55A11"/>
        </w:rPr>
        <w:t> </w:t>
      </w:r>
    </w:p>
  </w:footnote>
  <w:footnote w:id="6">
    <w:p w14:paraId="2C4128DC" w14:textId="77777777" w:rsidR="00E71DDC" w:rsidRPr="00B91A90" w:rsidRDefault="00E71DDC" w:rsidP="00AE0FF1">
      <w:pPr>
        <w:pStyle w:val="FootnoteText"/>
      </w:pPr>
      <w:r w:rsidRPr="00B91A90">
        <w:rPr>
          <w:rStyle w:val="FootnoteReference"/>
        </w:rPr>
        <w:footnoteRef/>
      </w:r>
      <w:r w:rsidRPr="00B91A90">
        <w:t xml:space="preserve"> The mean rating is a simple average. It is calculated by multiplying the number of responses for each rating by the rating, and dividing by the total number of responses.  </w:t>
      </w:r>
    </w:p>
  </w:footnote>
  <w:footnote w:id="7">
    <w:p w14:paraId="6DB7D927" w14:textId="77777777" w:rsidR="00E71DDC" w:rsidRDefault="00E71DDC" w:rsidP="005D224F">
      <w:pPr>
        <w:pStyle w:val="FootnoteText"/>
      </w:pPr>
      <w:r>
        <w:rPr>
          <w:rStyle w:val="FootnoteReference"/>
        </w:rPr>
        <w:footnoteRef/>
      </w:r>
      <w:r>
        <w:t xml:space="preserve"> Conventional standards consider a Pearson correlation of 0.37 or larger to be a large association (Cohen, 1988 and 1992). 1. Cohen J, Statistical Power Analysis for the Behavioral Sciences, 2nd ed., 1988. 2. Cohen J, A power primer, Psychol Bull, 1992;112(1):155-159.</w:t>
      </w:r>
    </w:p>
  </w:footnote>
  <w:footnote w:id="8">
    <w:p w14:paraId="49744B33" w14:textId="498EAF20" w:rsidR="00E71DDC" w:rsidRDefault="00E71DDC">
      <w:pPr>
        <w:pStyle w:val="FootnoteText"/>
      </w:pPr>
      <w:r w:rsidRPr="00B12B1A">
        <w:rPr>
          <w:rStyle w:val="FootnoteReference"/>
          <w:color w:val="000000" w:themeColor="text1"/>
        </w:rPr>
        <w:footnoteRef/>
      </w:r>
      <w:r w:rsidRPr="00B12B1A">
        <w:rPr>
          <w:color w:val="000000" w:themeColor="text1"/>
        </w:rPr>
        <w:t xml:space="preserve"> CMS, "Report to Congress: Risk Adjustment in Medicare Advantage December 2018,” https://www.cms.gov/Medicare/Health-Plans/MedicareAdvtgSpecRateStats/Downloads/RTC-Dec2018.pdf</w:t>
      </w:r>
    </w:p>
  </w:footnote>
  <w:footnote w:id="9">
    <w:p w14:paraId="39E07E33" w14:textId="74AC1303" w:rsidR="00E71DDC" w:rsidRPr="00B91A90" w:rsidRDefault="00E71DDC">
      <w:pPr>
        <w:pStyle w:val="FootnoteText"/>
      </w:pPr>
      <w:r w:rsidRPr="00B91A90">
        <w:rPr>
          <w:rStyle w:val="FootnoteReference"/>
        </w:rPr>
        <w:footnoteRef/>
      </w:r>
      <w:r w:rsidRPr="00B91A90">
        <w:t xml:space="preserve"> </w:t>
      </w:r>
      <w:r w:rsidRPr="00B91A90">
        <w:rPr>
          <w:bCs/>
        </w:rPr>
        <w:t xml:space="preserve">In 2018, </w:t>
      </w:r>
      <w:r w:rsidRPr="00B91A90">
        <w:t xml:space="preserve">20 million beneficiaries were enrolled in Medicare Part C plans and incurred $230 billion of Medicare Part A and Part B costs (MEDPAC Data Book </w:t>
      </w:r>
      <w:r w:rsidRPr="00B91A90">
        <w:rPr>
          <w:i/>
        </w:rPr>
        <w:t>Healthcare Spending and the Medicare Program</w:t>
      </w:r>
      <w:r w:rsidRPr="00B91A90">
        <w:t xml:space="preserve">, June 2019, </w:t>
      </w:r>
      <w:hyperlink r:id="rId3" w:history="1">
        <w:r w:rsidRPr="00B91A90">
          <w:rPr>
            <w:rStyle w:val="Hyperlink"/>
          </w:rPr>
          <w:t>http://www.medpac.gov/docs/default-source/data-book/jun19_databook_entirereport_sec.pdf?sfvrsn=0</w:t>
        </w:r>
      </w:hyperlink>
    </w:p>
  </w:footnote>
  <w:footnote w:id="10">
    <w:p w14:paraId="22CA1246" w14:textId="77777777" w:rsidR="00E71DDC" w:rsidRPr="00B91A90" w:rsidRDefault="00E71DDC" w:rsidP="001F79E7">
      <w:pPr>
        <w:pStyle w:val="FootnoteText"/>
      </w:pPr>
      <w:r w:rsidRPr="00B91A90">
        <w:rPr>
          <w:rStyle w:val="FootnoteReference"/>
        </w:rPr>
        <w:footnoteRef/>
      </w:r>
      <w:r w:rsidRPr="00B91A90">
        <w:t xml:space="preserve"> National Quality Forum. “Risk Adjustment for Socioeconomic Status or Other Sociodemographic Factors: Technical Report.” National Quality Forum: August 2014</w:t>
      </w:r>
    </w:p>
  </w:footnote>
  <w:footnote w:id="11">
    <w:p w14:paraId="3D2BD847" w14:textId="77777777" w:rsidR="00E71DDC" w:rsidRPr="00B91A90" w:rsidRDefault="00E71DDC" w:rsidP="001F79E7">
      <w:pPr>
        <w:spacing w:after="0" w:line="240" w:lineRule="auto"/>
        <w:rPr>
          <w:rFonts w:ascii="Times New Roman" w:hAnsi="Times New Roman" w:cs="Times New Roman"/>
          <w:sz w:val="20"/>
          <w:szCs w:val="20"/>
        </w:rPr>
      </w:pPr>
      <w:r w:rsidRPr="00B91A90">
        <w:rPr>
          <w:rStyle w:val="FootnoteReference"/>
          <w:rFonts w:ascii="Times New Roman" w:hAnsi="Times New Roman"/>
          <w:sz w:val="20"/>
          <w:szCs w:val="20"/>
        </w:rPr>
        <w:footnoteRef/>
      </w:r>
      <w:r w:rsidRPr="00B91A90">
        <w:rPr>
          <w:rFonts w:ascii="Times New Roman" w:hAnsi="Times New Roman" w:cs="Times New Roman"/>
          <w:sz w:val="20"/>
          <w:szCs w:val="20"/>
        </w:rPr>
        <w:t xml:space="preserve"> </w:t>
      </w:r>
      <w:r w:rsidRPr="00B91A90">
        <w:rPr>
          <w:rFonts w:ascii="Times New Roman" w:eastAsia="Calibri" w:hAnsi="Times New Roman" w:cs="Times New Roman"/>
          <w:sz w:val="20"/>
          <w:szCs w:val="20"/>
        </w:rPr>
        <w:t>National Academies of Sciences Engineering and Medicine (U.S.). Committee on Accounting for Socioeconomic Status in Medicare Payment Programs, Kwan LY, Stratton K, Steinwachs DM. Accounting for social risk factors in medicare payment : a report of the National Academies of Sciences, Engineering, Medicine. Washington, DC: The National Academies Press; 2017</w:t>
      </w:r>
    </w:p>
  </w:footnote>
  <w:footnote w:id="12">
    <w:p w14:paraId="5614F542" w14:textId="77777777" w:rsidR="00E71DDC" w:rsidRPr="00B91A90" w:rsidRDefault="00E71DDC" w:rsidP="001F79E7">
      <w:pPr>
        <w:spacing w:after="0"/>
        <w:rPr>
          <w:rFonts w:ascii="Times New Roman" w:hAnsi="Times New Roman" w:cs="Times New Roman"/>
          <w:sz w:val="20"/>
          <w:szCs w:val="20"/>
        </w:rPr>
      </w:pPr>
      <w:r w:rsidRPr="00B91A90">
        <w:rPr>
          <w:rStyle w:val="FootnoteReference"/>
          <w:rFonts w:ascii="Times New Roman" w:hAnsi="Times New Roman"/>
          <w:sz w:val="20"/>
          <w:szCs w:val="20"/>
        </w:rPr>
        <w:footnoteRef/>
      </w:r>
      <w:r w:rsidRPr="00B91A90">
        <w:rPr>
          <w:rFonts w:ascii="Times New Roman" w:hAnsi="Times New Roman" w:cs="Times New Roman"/>
          <w:sz w:val="20"/>
          <w:szCs w:val="20"/>
        </w:rPr>
        <w:t xml:space="preserve"> </w:t>
      </w:r>
      <w:r w:rsidRPr="00B91A90">
        <w:rPr>
          <w:rFonts w:ascii="Times New Roman" w:eastAsia="Calibri" w:hAnsi="Times New Roman" w:cs="Times New Roman"/>
          <w:sz w:val="20"/>
          <w:szCs w:val="20"/>
        </w:rPr>
        <w:t>Assistant Secretary of Health and Human Services for Planning and Evaluation. Report to Congress: Social Risk Factors and Performance Under Medicare’s Value-Based Purchasing Programs. Washington, D.C. December 2016</w:t>
      </w:r>
    </w:p>
  </w:footnote>
  <w:footnote w:id="13">
    <w:p w14:paraId="7D11BA2B" w14:textId="77777777" w:rsidR="00E71DDC" w:rsidRPr="00B91A90" w:rsidRDefault="00E71DDC" w:rsidP="001F79E7">
      <w:pPr>
        <w:pStyle w:val="FootnoteText"/>
      </w:pPr>
      <w:r w:rsidRPr="00B91A90">
        <w:rPr>
          <w:rStyle w:val="FootnoteReference"/>
        </w:rPr>
        <w:footnoteRef/>
      </w:r>
      <w:r w:rsidRPr="00B91A90">
        <w:t xml:space="preserve"> Medicare Payment Advisory Commission. Beneficiaries Dually Eligible for Medicare and Medicaid. 2018</w:t>
      </w:r>
    </w:p>
  </w:footnote>
  <w:footnote w:id="14">
    <w:p w14:paraId="442D5E0E" w14:textId="77777777" w:rsidR="00E71DDC" w:rsidRPr="00B91A90" w:rsidRDefault="00E71DDC" w:rsidP="00D12E9C">
      <w:pPr>
        <w:pStyle w:val="FootnoteText"/>
      </w:pPr>
      <w:r w:rsidRPr="00B91A90">
        <w:rPr>
          <w:rStyle w:val="FootnoteReference"/>
        </w:rPr>
        <w:footnoteRef/>
      </w:r>
      <w:r w:rsidRPr="00B91A90">
        <w:t xml:space="preserve"> Pope, Gregory C., John Kautter, Melvin J. Ingber, Sara Freeman, Rishi Sekar, and Cordon Newhart. “Evaluation of the CMS-HCC Risk-Adjustment Model: Final Report.” RTI International: March 2011.</w:t>
      </w:r>
    </w:p>
  </w:footnote>
  <w:footnote w:id="15">
    <w:p w14:paraId="1B7E2969" w14:textId="77777777" w:rsidR="00E71DDC" w:rsidRDefault="00E71DDC" w:rsidP="00D12E9C">
      <w:pPr>
        <w:pStyle w:val="FootnoteText"/>
      </w:pPr>
      <w:r w:rsidRPr="00B91A90">
        <w:rPr>
          <w:rStyle w:val="FootnoteReference"/>
        </w:rPr>
        <w:footnoteRef/>
      </w:r>
      <w:r w:rsidRPr="00B91A90">
        <w:t xml:space="preserve"> “Report to Congress: Risk Adjustment in Medicare Advantage”, </w:t>
      </w:r>
      <w:r w:rsidRPr="00B91A90">
        <w:rPr>
          <w:i/>
        </w:rPr>
        <w:t>CMS</w:t>
      </w:r>
      <w:r w:rsidRPr="00B91A90">
        <w:t xml:space="preserve"> </w:t>
      </w:r>
      <w:hyperlink r:id="rId4" w:history="1">
        <w:r w:rsidRPr="00B91A90">
          <w:rPr>
            <w:rStyle w:val="Hyperlink"/>
          </w:rPr>
          <w:t>https://www.cms.gov/Medicare/Health-Plans/MedicareAdvtgSpecRateStats/Downloads/RTC-Dec2018.pdf</w:t>
        </w:r>
      </w:hyperlink>
      <w:r w:rsidRPr="00B91A90">
        <w:rPr>
          <w:rStyle w:val="Hyperlink"/>
        </w:rPr>
        <w:t>.</w:t>
      </w:r>
    </w:p>
  </w:footnote>
  <w:footnote w:id="16">
    <w:p w14:paraId="3DFECC8A" w14:textId="77777777" w:rsidR="00E71DDC" w:rsidRPr="00890CC6" w:rsidRDefault="00E71DDC" w:rsidP="004B6D96">
      <w:pPr>
        <w:pStyle w:val="FootnoteText"/>
      </w:pPr>
      <w:r w:rsidRPr="00890CC6">
        <w:rPr>
          <w:rStyle w:val="FootnoteReference"/>
        </w:rPr>
        <w:footnoteRef/>
      </w:r>
      <w:r w:rsidRPr="00890CC6">
        <w:t xml:space="preserve"> Pope, Gregory C., John Kautter, Melvin J. Ingber, Sara Freeman, Rishi Sekar, and Cordon Newhart. “Evaluation of the CMS-HCC Risk-Adjustment Model: Final Report.” RTI International: March 2011.</w:t>
      </w:r>
    </w:p>
  </w:footnote>
  <w:footnote w:id="17">
    <w:p w14:paraId="72F98EEA" w14:textId="77777777" w:rsidR="00E71DDC" w:rsidRDefault="00E71DDC" w:rsidP="004B6D96">
      <w:pPr>
        <w:pStyle w:val="FootnoteText"/>
      </w:pPr>
      <w:r>
        <w:rPr>
          <w:rStyle w:val="FootnoteReference"/>
        </w:rPr>
        <w:footnoteRef/>
      </w:r>
      <w:r>
        <w:t xml:space="preserve"> “Report to Congress: Risk Adjustment in Medicare Advantage”, </w:t>
      </w:r>
      <w:r w:rsidRPr="00C050BA">
        <w:rPr>
          <w:i/>
        </w:rPr>
        <w:t>CMS</w:t>
      </w:r>
      <w:r w:rsidRPr="00E0348E">
        <w:t xml:space="preserve"> </w:t>
      </w:r>
      <w:hyperlink r:id="rId5" w:history="1">
        <w:r>
          <w:rPr>
            <w:rStyle w:val="Hyperlink"/>
          </w:rPr>
          <w:t>https://www.cms.gov/Medicare/Health-Plans/MedicareAdvtgSpecRateStats/Downloads/RTC-Dec2018.pdf</w:t>
        </w:r>
      </w:hyperlink>
      <w:r>
        <w:rPr>
          <w:rStyle w:val="Hyperlink"/>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E71DDC" w:rsidRPr="00105D8B" w:rsidRDefault="00E71DDC"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F5A"/>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F7DC0"/>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B523A5"/>
    <w:multiLevelType w:val="hybridMultilevel"/>
    <w:tmpl w:val="4D20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80D89"/>
    <w:multiLevelType w:val="hybridMultilevel"/>
    <w:tmpl w:val="53320AFA"/>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70167E"/>
    <w:multiLevelType w:val="hybridMultilevel"/>
    <w:tmpl w:val="2EB43F18"/>
    <w:lvl w:ilvl="0" w:tplc="36C447B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7316D7"/>
    <w:multiLevelType w:val="hybridMultilevel"/>
    <w:tmpl w:val="F636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A0802"/>
    <w:multiLevelType w:val="hybridMultilevel"/>
    <w:tmpl w:val="A7AAC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C6C82"/>
    <w:multiLevelType w:val="hybridMultilevel"/>
    <w:tmpl w:val="FD48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A4F91"/>
    <w:multiLevelType w:val="hybridMultilevel"/>
    <w:tmpl w:val="19320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46DC"/>
    <w:multiLevelType w:val="hybridMultilevel"/>
    <w:tmpl w:val="5676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50F72"/>
    <w:multiLevelType w:val="hybridMultilevel"/>
    <w:tmpl w:val="8F80B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D020857"/>
    <w:multiLevelType w:val="hybridMultilevel"/>
    <w:tmpl w:val="411092DE"/>
    <w:lvl w:ilvl="0" w:tplc="B7AE181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D212A49"/>
    <w:multiLevelType w:val="hybridMultilevel"/>
    <w:tmpl w:val="F0103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A6E5C"/>
    <w:multiLevelType w:val="hybridMultilevel"/>
    <w:tmpl w:val="213AE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D0DE4"/>
    <w:multiLevelType w:val="hybridMultilevel"/>
    <w:tmpl w:val="4B18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41AB5"/>
    <w:multiLevelType w:val="hybridMultilevel"/>
    <w:tmpl w:val="9DC292B6"/>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560E6"/>
    <w:multiLevelType w:val="hybridMultilevel"/>
    <w:tmpl w:val="240A017A"/>
    <w:lvl w:ilvl="0" w:tplc="920437E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15:restartNumberingAfterBreak="0">
    <w:nsid w:val="32D8390D"/>
    <w:multiLevelType w:val="hybridMultilevel"/>
    <w:tmpl w:val="E5EE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3445B"/>
    <w:multiLevelType w:val="hybridMultilevel"/>
    <w:tmpl w:val="4B268522"/>
    <w:lvl w:ilvl="0" w:tplc="36C447BA">
      <w:start w:val="1"/>
      <w:numFmt w:val="lowerRoman"/>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0" w15:restartNumberingAfterBreak="0">
    <w:nsid w:val="37B0168F"/>
    <w:multiLevelType w:val="hybridMultilevel"/>
    <w:tmpl w:val="30DE3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343E61"/>
    <w:multiLevelType w:val="hybridMultilevel"/>
    <w:tmpl w:val="56F69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1340B9"/>
    <w:multiLevelType w:val="hybridMultilevel"/>
    <w:tmpl w:val="F6744A60"/>
    <w:lvl w:ilvl="0" w:tplc="D13EC98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806ED"/>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907D16"/>
    <w:multiLevelType w:val="hybridMultilevel"/>
    <w:tmpl w:val="6D8E7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4F42CD"/>
    <w:multiLevelType w:val="hybridMultilevel"/>
    <w:tmpl w:val="D45A40E6"/>
    <w:lvl w:ilvl="0" w:tplc="320A1B9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344D5"/>
    <w:multiLevelType w:val="hybridMultilevel"/>
    <w:tmpl w:val="B5C6F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07BC1"/>
    <w:multiLevelType w:val="hybridMultilevel"/>
    <w:tmpl w:val="A80C4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41440"/>
    <w:multiLevelType w:val="hybridMultilevel"/>
    <w:tmpl w:val="403E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A30AD"/>
    <w:multiLevelType w:val="hybridMultilevel"/>
    <w:tmpl w:val="1CE26710"/>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97B2B"/>
    <w:multiLevelType w:val="hybridMultilevel"/>
    <w:tmpl w:val="FFFC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D08CF"/>
    <w:multiLevelType w:val="hybridMultilevel"/>
    <w:tmpl w:val="28F0DD16"/>
    <w:lvl w:ilvl="0" w:tplc="7DCEBD64">
      <w:start w:val="10"/>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675A1"/>
    <w:multiLevelType w:val="hybridMultilevel"/>
    <w:tmpl w:val="E286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C1D0C"/>
    <w:multiLevelType w:val="hybridMultilevel"/>
    <w:tmpl w:val="1D58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27448"/>
    <w:multiLevelType w:val="hybridMultilevel"/>
    <w:tmpl w:val="A20408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A56887"/>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B1125"/>
    <w:multiLevelType w:val="hybridMultilevel"/>
    <w:tmpl w:val="C958AA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76C6B54"/>
    <w:multiLevelType w:val="hybridMultilevel"/>
    <w:tmpl w:val="84D2D2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CF3BAF"/>
    <w:multiLevelType w:val="hybridMultilevel"/>
    <w:tmpl w:val="F732FF9E"/>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6C2F9E"/>
    <w:multiLevelType w:val="hybridMultilevel"/>
    <w:tmpl w:val="13C6E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6736F1"/>
    <w:multiLevelType w:val="multilevel"/>
    <w:tmpl w:val="E2B6015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CB90B52"/>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B1342"/>
    <w:multiLevelType w:val="hybridMultilevel"/>
    <w:tmpl w:val="E9947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8"/>
  </w:num>
  <w:num w:numId="3">
    <w:abstractNumId w:val="15"/>
  </w:num>
  <w:num w:numId="4">
    <w:abstractNumId w:val="13"/>
  </w:num>
  <w:num w:numId="5">
    <w:abstractNumId w:val="8"/>
  </w:num>
  <w:num w:numId="6">
    <w:abstractNumId w:val="18"/>
  </w:num>
  <w:num w:numId="7">
    <w:abstractNumId w:val="27"/>
  </w:num>
  <w:num w:numId="8">
    <w:abstractNumId w:val="31"/>
  </w:num>
  <w:num w:numId="9">
    <w:abstractNumId w:val="1"/>
  </w:num>
  <w:num w:numId="10">
    <w:abstractNumId w:val="32"/>
  </w:num>
  <w:num w:numId="11">
    <w:abstractNumId w:val="20"/>
  </w:num>
  <w:num w:numId="12">
    <w:abstractNumId w:val="29"/>
  </w:num>
  <w:num w:numId="13">
    <w:abstractNumId w:val="16"/>
  </w:num>
  <w:num w:numId="14">
    <w:abstractNumId w:val="23"/>
  </w:num>
  <w:num w:numId="15">
    <w:abstractNumId w:val="3"/>
  </w:num>
  <w:num w:numId="16">
    <w:abstractNumId w:val="42"/>
  </w:num>
  <w:num w:numId="17">
    <w:abstractNumId w:val="10"/>
  </w:num>
  <w:num w:numId="18">
    <w:abstractNumId w:val="17"/>
  </w:num>
  <w:num w:numId="19">
    <w:abstractNumId w:val="19"/>
  </w:num>
  <w:num w:numId="20">
    <w:abstractNumId w:val="35"/>
  </w:num>
  <w:num w:numId="21">
    <w:abstractNumId w:val="39"/>
  </w:num>
  <w:num w:numId="22">
    <w:abstractNumId w:val="28"/>
  </w:num>
  <w:num w:numId="23">
    <w:abstractNumId w:val="21"/>
  </w:num>
  <w:num w:numId="24">
    <w:abstractNumId w:val="13"/>
  </w:num>
  <w:num w:numId="25">
    <w:abstractNumId w:val="0"/>
  </w:num>
  <w:num w:numId="26">
    <w:abstractNumId w:val="7"/>
  </w:num>
  <w:num w:numId="27">
    <w:abstractNumId w:val="24"/>
  </w:num>
  <w:num w:numId="28">
    <w:abstractNumId w:val="12"/>
  </w:num>
  <w:num w:numId="29">
    <w:abstractNumId w:val="33"/>
  </w:num>
  <w:num w:numId="30">
    <w:abstractNumId w:val="9"/>
  </w:num>
  <w:num w:numId="31">
    <w:abstractNumId w:val="40"/>
  </w:num>
  <w:num w:numId="32">
    <w:abstractNumId w:val="26"/>
  </w:num>
  <w:num w:numId="33">
    <w:abstractNumId w:val="4"/>
  </w:num>
  <w:num w:numId="34">
    <w:abstractNumId w:val="5"/>
  </w:num>
  <w:num w:numId="35">
    <w:abstractNumId w:val="14"/>
  </w:num>
  <w:num w:numId="36">
    <w:abstractNumId w:val="34"/>
  </w:num>
  <w:num w:numId="37">
    <w:abstractNumId w:val="11"/>
  </w:num>
  <w:num w:numId="38">
    <w:abstractNumId w:val="22"/>
  </w:num>
  <w:num w:numId="39">
    <w:abstractNumId w:val="30"/>
  </w:num>
  <w:num w:numId="40">
    <w:abstractNumId w:val="36"/>
  </w:num>
  <w:num w:numId="41">
    <w:abstractNumId w:val="6"/>
  </w:num>
  <w:num w:numId="42">
    <w:abstractNumId w:val="43"/>
  </w:num>
  <w:num w:numId="43">
    <w:abstractNumId w:val="25"/>
  </w:num>
  <w:num w:numId="44">
    <w:abstractNumId w:val="41"/>
  </w:num>
  <w:num w:numId="45">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ailMerge>
    <w:mainDocumentType w:val="formLetters"/>
    <w:dataType w:val="textFile"/>
    <w:activeRecord w:val="-1"/>
  </w:mailMerge>
  <w:defaultTabStop w:val="720"/>
  <w:characterSpacingControl w:val="doNotCompress"/>
  <w:hdrShapeDefaults>
    <o:shapedefaults v:ext="edit" spidmax="135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2061"/>
    <w:rsid w:val="000027FA"/>
    <w:rsid w:val="00003469"/>
    <w:rsid w:val="00003D57"/>
    <w:rsid w:val="00005D15"/>
    <w:rsid w:val="00007F5F"/>
    <w:rsid w:val="0001094F"/>
    <w:rsid w:val="0001440F"/>
    <w:rsid w:val="00014B77"/>
    <w:rsid w:val="00017873"/>
    <w:rsid w:val="00021170"/>
    <w:rsid w:val="0002128B"/>
    <w:rsid w:val="00021EF2"/>
    <w:rsid w:val="0002351A"/>
    <w:rsid w:val="00024DFD"/>
    <w:rsid w:val="000250DC"/>
    <w:rsid w:val="00027AB8"/>
    <w:rsid w:val="00030462"/>
    <w:rsid w:val="000309DD"/>
    <w:rsid w:val="000311FE"/>
    <w:rsid w:val="00031414"/>
    <w:rsid w:val="000316DB"/>
    <w:rsid w:val="00033038"/>
    <w:rsid w:val="000339AD"/>
    <w:rsid w:val="00033D63"/>
    <w:rsid w:val="0003436F"/>
    <w:rsid w:val="00036344"/>
    <w:rsid w:val="000370D7"/>
    <w:rsid w:val="00040DA0"/>
    <w:rsid w:val="00041221"/>
    <w:rsid w:val="00041324"/>
    <w:rsid w:val="000414E8"/>
    <w:rsid w:val="00042107"/>
    <w:rsid w:val="000426CC"/>
    <w:rsid w:val="0004556B"/>
    <w:rsid w:val="0004593A"/>
    <w:rsid w:val="00046764"/>
    <w:rsid w:val="00047193"/>
    <w:rsid w:val="00047BD6"/>
    <w:rsid w:val="00050A3E"/>
    <w:rsid w:val="00052A6F"/>
    <w:rsid w:val="00053C90"/>
    <w:rsid w:val="00053F02"/>
    <w:rsid w:val="0005612B"/>
    <w:rsid w:val="000564C6"/>
    <w:rsid w:val="000574AB"/>
    <w:rsid w:val="0006147A"/>
    <w:rsid w:val="0006234F"/>
    <w:rsid w:val="000639D0"/>
    <w:rsid w:val="00063AF5"/>
    <w:rsid w:val="00064B02"/>
    <w:rsid w:val="000663DC"/>
    <w:rsid w:val="00067CA3"/>
    <w:rsid w:val="00067E05"/>
    <w:rsid w:val="00070E86"/>
    <w:rsid w:val="00071DEB"/>
    <w:rsid w:val="00071F80"/>
    <w:rsid w:val="000725A0"/>
    <w:rsid w:val="000737E9"/>
    <w:rsid w:val="000745D9"/>
    <w:rsid w:val="000775F8"/>
    <w:rsid w:val="000806FE"/>
    <w:rsid w:val="00080CF7"/>
    <w:rsid w:val="000818C9"/>
    <w:rsid w:val="000851B2"/>
    <w:rsid w:val="000863A2"/>
    <w:rsid w:val="00087629"/>
    <w:rsid w:val="00092566"/>
    <w:rsid w:val="00093BD8"/>
    <w:rsid w:val="00093E8F"/>
    <w:rsid w:val="00094C72"/>
    <w:rsid w:val="0009533D"/>
    <w:rsid w:val="00095948"/>
    <w:rsid w:val="000968F8"/>
    <w:rsid w:val="00097012"/>
    <w:rsid w:val="000A058F"/>
    <w:rsid w:val="000A1E1E"/>
    <w:rsid w:val="000A5A5E"/>
    <w:rsid w:val="000A6691"/>
    <w:rsid w:val="000A6ADD"/>
    <w:rsid w:val="000A75B7"/>
    <w:rsid w:val="000B032A"/>
    <w:rsid w:val="000B12B1"/>
    <w:rsid w:val="000B22BF"/>
    <w:rsid w:val="000B2DF7"/>
    <w:rsid w:val="000B3880"/>
    <w:rsid w:val="000B3E16"/>
    <w:rsid w:val="000B7D57"/>
    <w:rsid w:val="000C036D"/>
    <w:rsid w:val="000C0FF8"/>
    <w:rsid w:val="000C5AEE"/>
    <w:rsid w:val="000D2722"/>
    <w:rsid w:val="000D3E39"/>
    <w:rsid w:val="000D489F"/>
    <w:rsid w:val="000D53EB"/>
    <w:rsid w:val="000D69CD"/>
    <w:rsid w:val="000D7948"/>
    <w:rsid w:val="000D7C84"/>
    <w:rsid w:val="000E04FE"/>
    <w:rsid w:val="000E2020"/>
    <w:rsid w:val="000E36C2"/>
    <w:rsid w:val="000E4E13"/>
    <w:rsid w:val="000E6DA8"/>
    <w:rsid w:val="000E78F6"/>
    <w:rsid w:val="000F034A"/>
    <w:rsid w:val="000F06B5"/>
    <w:rsid w:val="000F08AF"/>
    <w:rsid w:val="000F1B7A"/>
    <w:rsid w:val="000F39E9"/>
    <w:rsid w:val="000F4A20"/>
    <w:rsid w:val="000F58BD"/>
    <w:rsid w:val="00100CFD"/>
    <w:rsid w:val="001025F4"/>
    <w:rsid w:val="0010299E"/>
    <w:rsid w:val="00104001"/>
    <w:rsid w:val="00104449"/>
    <w:rsid w:val="00104B45"/>
    <w:rsid w:val="00105D8B"/>
    <w:rsid w:val="001071C7"/>
    <w:rsid w:val="0011342F"/>
    <w:rsid w:val="001139FE"/>
    <w:rsid w:val="00115267"/>
    <w:rsid w:val="0011626C"/>
    <w:rsid w:val="00117145"/>
    <w:rsid w:val="001202E9"/>
    <w:rsid w:val="00121030"/>
    <w:rsid w:val="0012454F"/>
    <w:rsid w:val="001248AA"/>
    <w:rsid w:val="001250ED"/>
    <w:rsid w:val="00125273"/>
    <w:rsid w:val="0012575E"/>
    <w:rsid w:val="0012666A"/>
    <w:rsid w:val="00127C06"/>
    <w:rsid w:val="00135D35"/>
    <w:rsid w:val="00142FAD"/>
    <w:rsid w:val="00145149"/>
    <w:rsid w:val="00145D4F"/>
    <w:rsid w:val="00145F2F"/>
    <w:rsid w:val="0014773C"/>
    <w:rsid w:val="00147BC4"/>
    <w:rsid w:val="00150CBF"/>
    <w:rsid w:val="00151625"/>
    <w:rsid w:val="0015323A"/>
    <w:rsid w:val="00153AFE"/>
    <w:rsid w:val="00154F11"/>
    <w:rsid w:val="001552C8"/>
    <w:rsid w:val="00155794"/>
    <w:rsid w:val="00156117"/>
    <w:rsid w:val="001563E8"/>
    <w:rsid w:val="00156BF3"/>
    <w:rsid w:val="00156F32"/>
    <w:rsid w:val="00156FFD"/>
    <w:rsid w:val="001611C7"/>
    <w:rsid w:val="00165DDF"/>
    <w:rsid w:val="00165F76"/>
    <w:rsid w:val="0017027C"/>
    <w:rsid w:val="001705ED"/>
    <w:rsid w:val="00172E48"/>
    <w:rsid w:val="001761BF"/>
    <w:rsid w:val="001767C0"/>
    <w:rsid w:val="0017696D"/>
    <w:rsid w:val="001775F2"/>
    <w:rsid w:val="0018016E"/>
    <w:rsid w:val="001824A8"/>
    <w:rsid w:val="00182D2F"/>
    <w:rsid w:val="001838A9"/>
    <w:rsid w:val="00184700"/>
    <w:rsid w:val="001848FC"/>
    <w:rsid w:val="0018695B"/>
    <w:rsid w:val="00187115"/>
    <w:rsid w:val="00187D22"/>
    <w:rsid w:val="00193F21"/>
    <w:rsid w:val="001969C5"/>
    <w:rsid w:val="001A3BBA"/>
    <w:rsid w:val="001A3C1A"/>
    <w:rsid w:val="001A646F"/>
    <w:rsid w:val="001A6CDD"/>
    <w:rsid w:val="001A7B5B"/>
    <w:rsid w:val="001B1A12"/>
    <w:rsid w:val="001B1D2D"/>
    <w:rsid w:val="001B5128"/>
    <w:rsid w:val="001B7CB4"/>
    <w:rsid w:val="001C12EE"/>
    <w:rsid w:val="001C35BA"/>
    <w:rsid w:val="001C7B02"/>
    <w:rsid w:val="001D0DE3"/>
    <w:rsid w:val="001D1FDD"/>
    <w:rsid w:val="001E05E3"/>
    <w:rsid w:val="001E097F"/>
    <w:rsid w:val="001E1C10"/>
    <w:rsid w:val="001E21CF"/>
    <w:rsid w:val="001E4DD4"/>
    <w:rsid w:val="001E4ED3"/>
    <w:rsid w:val="001E541A"/>
    <w:rsid w:val="001E5A26"/>
    <w:rsid w:val="001E69DC"/>
    <w:rsid w:val="001E782D"/>
    <w:rsid w:val="001E7C69"/>
    <w:rsid w:val="001F169D"/>
    <w:rsid w:val="001F1DA1"/>
    <w:rsid w:val="001F273F"/>
    <w:rsid w:val="001F4ABD"/>
    <w:rsid w:val="001F6F93"/>
    <w:rsid w:val="001F79E7"/>
    <w:rsid w:val="001F7A20"/>
    <w:rsid w:val="00201924"/>
    <w:rsid w:val="00205FC8"/>
    <w:rsid w:val="0020601D"/>
    <w:rsid w:val="00207B36"/>
    <w:rsid w:val="0021054A"/>
    <w:rsid w:val="0021195A"/>
    <w:rsid w:val="00213383"/>
    <w:rsid w:val="00217275"/>
    <w:rsid w:val="00217ACB"/>
    <w:rsid w:val="00220250"/>
    <w:rsid w:val="00222444"/>
    <w:rsid w:val="0022691B"/>
    <w:rsid w:val="00232163"/>
    <w:rsid w:val="002376F8"/>
    <w:rsid w:val="002408E4"/>
    <w:rsid w:val="00241591"/>
    <w:rsid w:val="00241EEE"/>
    <w:rsid w:val="00243CDF"/>
    <w:rsid w:val="00246D41"/>
    <w:rsid w:val="00250B4F"/>
    <w:rsid w:val="002546E5"/>
    <w:rsid w:val="00256D33"/>
    <w:rsid w:val="0025762F"/>
    <w:rsid w:val="00264D09"/>
    <w:rsid w:val="0026544C"/>
    <w:rsid w:val="00265A76"/>
    <w:rsid w:val="00275563"/>
    <w:rsid w:val="0027594B"/>
    <w:rsid w:val="0028114D"/>
    <w:rsid w:val="0028292B"/>
    <w:rsid w:val="002856AC"/>
    <w:rsid w:val="00287649"/>
    <w:rsid w:val="00287E84"/>
    <w:rsid w:val="002920B8"/>
    <w:rsid w:val="0029286C"/>
    <w:rsid w:val="0029300E"/>
    <w:rsid w:val="002935E1"/>
    <w:rsid w:val="00294120"/>
    <w:rsid w:val="00294EFB"/>
    <w:rsid w:val="002A1C52"/>
    <w:rsid w:val="002A3702"/>
    <w:rsid w:val="002A6D4C"/>
    <w:rsid w:val="002B0C3A"/>
    <w:rsid w:val="002B2116"/>
    <w:rsid w:val="002B2D9B"/>
    <w:rsid w:val="002B5016"/>
    <w:rsid w:val="002B69C6"/>
    <w:rsid w:val="002B742C"/>
    <w:rsid w:val="002B7F4D"/>
    <w:rsid w:val="002C1ECE"/>
    <w:rsid w:val="002C2436"/>
    <w:rsid w:val="002C285C"/>
    <w:rsid w:val="002C4F17"/>
    <w:rsid w:val="002C7BE4"/>
    <w:rsid w:val="002D19CD"/>
    <w:rsid w:val="002D21D4"/>
    <w:rsid w:val="002D417D"/>
    <w:rsid w:val="002D5E5D"/>
    <w:rsid w:val="002D7022"/>
    <w:rsid w:val="002D7370"/>
    <w:rsid w:val="002E182C"/>
    <w:rsid w:val="002E18ED"/>
    <w:rsid w:val="002E55DE"/>
    <w:rsid w:val="002E676F"/>
    <w:rsid w:val="002E6E16"/>
    <w:rsid w:val="002E7577"/>
    <w:rsid w:val="002E78A0"/>
    <w:rsid w:val="002F01CA"/>
    <w:rsid w:val="002F1B1A"/>
    <w:rsid w:val="002F2687"/>
    <w:rsid w:val="002F48E1"/>
    <w:rsid w:val="002F4F3B"/>
    <w:rsid w:val="002F6EE8"/>
    <w:rsid w:val="002F7107"/>
    <w:rsid w:val="00302BDC"/>
    <w:rsid w:val="00304C86"/>
    <w:rsid w:val="003059EB"/>
    <w:rsid w:val="003076FE"/>
    <w:rsid w:val="003114CF"/>
    <w:rsid w:val="003116AC"/>
    <w:rsid w:val="00312187"/>
    <w:rsid w:val="00314A2B"/>
    <w:rsid w:val="00315567"/>
    <w:rsid w:val="00317279"/>
    <w:rsid w:val="00320831"/>
    <w:rsid w:val="00321172"/>
    <w:rsid w:val="00322239"/>
    <w:rsid w:val="00330144"/>
    <w:rsid w:val="003302E0"/>
    <w:rsid w:val="0033107F"/>
    <w:rsid w:val="00334329"/>
    <w:rsid w:val="00334E8D"/>
    <w:rsid w:val="003409E8"/>
    <w:rsid w:val="00341CF9"/>
    <w:rsid w:val="00344F91"/>
    <w:rsid w:val="00345038"/>
    <w:rsid w:val="00345CBA"/>
    <w:rsid w:val="00346245"/>
    <w:rsid w:val="003472DB"/>
    <w:rsid w:val="003521B0"/>
    <w:rsid w:val="003538E8"/>
    <w:rsid w:val="0035452D"/>
    <w:rsid w:val="00356267"/>
    <w:rsid w:val="00356BAD"/>
    <w:rsid w:val="00356CEB"/>
    <w:rsid w:val="00357E9A"/>
    <w:rsid w:val="003605B4"/>
    <w:rsid w:val="00361530"/>
    <w:rsid w:val="003627AC"/>
    <w:rsid w:val="00362C08"/>
    <w:rsid w:val="003648D8"/>
    <w:rsid w:val="00365922"/>
    <w:rsid w:val="00366914"/>
    <w:rsid w:val="0037022C"/>
    <w:rsid w:val="00372FE3"/>
    <w:rsid w:val="0037350F"/>
    <w:rsid w:val="00373788"/>
    <w:rsid w:val="003747E9"/>
    <w:rsid w:val="00375058"/>
    <w:rsid w:val="003755CB"/>
    <w:rsid w:val="00381811"/>
    <w:rsid w:val="0038256D"/>
    <w:rsid w:val="003827E8"/>
    <w:rsid w:val="00383A94"/>
    <w:rsid w:val="00383F85"/>
    <w:rsid w:val="00384E5A"/>
    <w:rsid w:val="00385DC9"/>
    <w:rsid w:val="003876B1"/>
    <w:rsid w:val="00387BA1"/>
    <w:rsid w:val="00392D55"/>
    <w:rsid w:val="00393E3A"/>
    <w:rsid w:val="00395691"/>
    <w:rsid w:val="003A306C"/>
    <w:rsid w:val="003A7DE7"/>
    <w:rsid w:val="003B0216"/>
    <w:rsid w:val="003B1006"/>
    <w:rsid w:val="003B526C"/>
    <w:rsid w:val="003B675B"/>
    <w:rsid w:val="003B73A8"/>
    <w:rsid w:val="003B7BB0"/>
    <w:rsid w:val="003B7D78"/>
    <w:rsid w:val="003C01F1"/>
    <w:rsid w:val="003C320A"/>
    <w:rsid w:val="003C58A3"/>
    <w:rsid w:val="003C5F11"/>
    <w:rsid w:val="003C60E4"/>
    <w:rsid w:val="003D1D85"/>
    <w:rsid w:val="003D294B"/>
    <w:rsid w:val="003D6401"/>
    <w:rsid w:val="003E1863"/>
    <w:rsid w:val="003E3870"/>
    <w:rsid w:val="003E3B6A"/>
    <w:rsid w:val="003E4A49"/>
    <w:rsid w:val="003E5577"/>
    <w:rsid w:val="003E5DEA"/>
    <w:rsid w:val="003E73E8"/>
    <w:rsid w:val="003F25C5"/>
    <w:rsid w:val="003F2FC1"/>
    <w:rsid w:val="003F3B8A"/>
    <w:rsid w:val="003F3DEA"/>
    <w:rsid w:val="003F6613"/>
    <w:rsid w:val="00403210"/>
    <w:rsid w:val="0040590F"/>
    <w:rsid w:val="004101D7"/>
    <w:rsid w:val="004115B4"/>
    <w:rsid w:val="004136C4"/>
    <w:rsid w:val="00414CF6"/>
    <w:rsid w:val="0041606D"/>
    <w:rsid w:val="00416962"/>
    <w:rsid w:val="00417389"/>
    <w:rsid w:val="00417CC8"/>
    <w:rsid w:val="004206A8"/>
    <w:rsid w:val="00420DDB"/>
    <w:rsid w:val="004238A3"/>
    <w:rsid w:val="0043399D"/>
    <w:rsid w:val="0043437B"/>
    <w:rsid w:val="004348CC"/>
    <w:rsid w:val="004402C0"/>
    <w:rsid w:val="00440C63"/>
    <w:rsid w:val="00443057"/>
    <w:rsid w:val="00446953"/>
    <w:rsid w:val="00446C12"/>
    <w:rsid w:val="00447B6D"/>
    <w:rsid w:val="00450C58"/>
    <w:rsid w:val="00451401"/>
    <w:rsid w:val="00452062"/>
    <w:rsid w:val="00452904"/>
    <w:rsid w:val="0046071B"/>
    <w:rsid w:val="004609D1"/>
    <w:rsid w:val="00460A8E"/>
    <w:rsid w:val="0046138D"/>
    <w:rsid w:val="004658FF"/>
    <w:rsid w:val="00466186"/>
    <w:rsid w:val="004669BD"/>
    <w:rsid w:val="00470A6E"/>
    <w:rsid w:val="00474DA3"/>
    <w:rsid w:val="00474ED7"/>
    <w:rsid w:val="004756E1"/>
    <w:rsid w:val="0047776E"/>
    <w:rsid w:val="0048008A"/>
    <w:rsid w:val="00480E7F"/>
    <w:rsid w:val="00481A3A"/>
    <w:rsid w:val="0048271D"/>
    <w:rsid w:val="00483E94"/>
    <w:rsid w:val="00484120"/>
    <w:rsid w:val="00484A66"/>
    <w:rsid w:val="004853A0"/>
    <w:rsid w:val="00485DDC"/>
    <w:rsid w:val="004920CB"/>
    <w:rsid w:val="00496B5F"/>
    <w:rsid w:val="004A1351"/>
    <w:rsid w:val="004A2D53"/>
    <w:rsid w:val="004A2E10"/>
    <w:rsid w:val="004A3229"/>
    <w:rsid w:val="004A39EF"/>
    <w:rsid w:val="004A4285"/>
    <w:rsid w:val="004A63F5"/>
    <w:rsid w:val="004A6745"/>
    <w:rsid w:val="004A6CA2"/>
    <w:rsid w:val="004A71C6"/>
    <w:rsid w:val="004B17FF"/>
    <w:rsid w:val="004B1BA0"/>
    <w:rsid w:val="004B5AC8"/>
    <w:rsid w:val="004B5B59"/>
    <w:rsid w:val="004B6CEE"/>
    <w:rsid w:val="004B6D96"/>
    <w:rsid w:val="004C0090"/>
    <w:rsid w:val="004C14F2"/>
    <w:rsid w:val="004C2443"/>
    <w:rsid w:val="004C2A5E"/>
    <w:rsid w:val="004C358F"/>
    <w:rsid w:val="004C3599"/>
    <w:rsid w:val="004C35AE"/>
    <w:rsid w:val="004C39A2"/>
    <w:rsid w:val="004C498F"/>
    <w:rsid w:val="004C49FA"/>
    <w:rsid w:val="004C4DCA"/>
    <w:rsid w:val="004C58AD"/>
    <w:rsid w:val="004C5D29"/>
    <w:rsid w:val="004C6783"/>
    <w:rsid w:val="004C681A"/>
    <w:rsid w:val="004D4C32"/>
    <w:rsid w:val="004D4D8A"/>
    <w:rsid w:val="004E2373"/>
    <w:rsid w:val="004E4E38"/>
    <w:rsid w:val="004F0ABE"/>
    <w:rsid w:val="004F191E"/>
    <w:rsid w:val="004F4613"/>
    <w:rsid w:val="004F495A"/>
    <w:rsid w:val="004F68AD"/>
    <w:rsid w:val="004F68EE"/>
    <w:rsid w:val="004F6C7A"/>
    <w:rsid w:val="005010BD"/>
    <w:rsid w:val="00502B45"/>
    <w:rsid w:val="005038D5"/>
    <w:rsid w:val="00504C3E"/>
    <w:rsid w:val="00510B36"/>
    <w:rsid w:val="00511BA4"/>
    <w:rsid w:val="005149E7"/>
    <w:rsid w:val="00517792"/>
    <w:rsid w:val="005225B5"/>
    <w:rsid w:val="005232D6"/>
    <w:rsid w:val="00523677"/>
    <w:rsid w:val="00524C81"/>
    <w:rsid w:val="0052523D"/>
    <w:rsid w:val="00527F96"/>
    <w:rsid w:val="005305D6"/>
    <w:rsid w:val="00531010"/>
    <w:rsid w:val="0053241A"/>
    <w:rsid w:val="00532FDD"/>
    <w:rsid w:val="005333CC"/>
    <w:rsid w:val="00534548"/>
    <w:rsid w:val="00534EC4"/>
    <w:rsid w:val="005363F1"/>
    <w:rsid w:val="005368A4"/>
    <w:rsid w:val="00537C1B"/>
    <w:rsid w:val="00537CFA"/>
    <w:rsid w:val="005406C4"/>
    <w:rsid w:val="00540E5B"/>
    <w:rsid w:val="00542891"/>
    <w:rsid w:val="00544D70"/>
    <w:rsid w:val="0055007C"/>
    <w:rsid w:val="00552CC0"/>
    <w:rsid w:val="00553EE7"/>
    <w:rsid w:val="00554922"/>
    <w:rsid w:val="00555282"/>
    <w:rsid w:val="005560E7"/>
    <w:rsid w:val="00556EDB"/>
    <w:rsid w:val="00556F41"/>
    <w:rsid w:val="005606C8"/>
    <w:rsid w:val="0056084E"/>
    <w:rsid w:val="005612CC"/>
    <w:rsid w:val="00562E84"/>
    <w:rsid w:val="00563029"/>
    <w:rsid w:val="005635A2"/>
    <w:rsid w:val="005642FF"/>
    <w:rsid w:val="00564625"/>
    <w:rsid w:val="00565946"/>
    <w:rsid w:val="00567D12"/>
    <w:rsid w:val="005705E7"/>
    <w:rsid w:val="005711BC"/>
    <w:rsid w:val="0057262D"/>
    <w:rsid w:val="00572998"/>
    <w:rsid w:val="00574741"/>
    <w:rsid w:val="00576062"/>
    <w:rsid w:val="0058139C"/>
    <w:rsid w:val="00584301"/>
    <w:rsid w:val="00585670"/>
    <w:rsid w:val="005858C6"/>
    <w:rsid w:val="00590E46"/>
    <w:rsid w:val="00591BE2"/>
    <w:rsid w:val="00592D77"/>
    <w:rsid w:val="00593A58"/>
    <w:rsid w:val="0059559F"/>
    <w:rsid w:val="00597519"/>
    <w:rsid w:val="005A068D"/>
    <w:rsid w:val="005A296E"/>
    <w:rsid w:val="005A2CB3"/>
    <w:rsid w:val="005A368B"/>
    <w:rsid w:val="005A3A00"/>
    <w:rsid w:val="005A49FF"/>
    <w:rsid w:val="005A57EB"/>
    <w:rsid w:val="005A7163"/>
    <w:rsid w:val="005A7634"/>
    <w:rsid w:val="005A7B54"/>
    <w:rsid w:val="005B5DBF"/>
    <w:rsid w:val="005B6F04"/>
    <w:rsid w:val="005B748D"/>
    <w:rsid w:val="005C0447"/>
    <w:rsid w:val="005C1FC5"/>
    <w:rsid w:val="005C2B45"/>
    <w:rsid w:val="005C32C6"/>
    <w:rsid w:val="005C739F"/>
    <w:rsid w:val="005C73CA"/>
    <w:rsid w:val="005C7601"/>
    <w:rsid w:val="005C784A"/>
    <w:rsid w:val="005D09EB"/>
    <w:rsid w:val="005D224F"/>
    <w:rsid w:val="005D3655"/>
    <w:rsid w:val="005D4768"/>
    <w:rsid w:val="005D5AD5"/>
    <w:rsid w:val="005E139B"/>
    <w:rsid w:val="005E2CAB"/>
    <w:rsid w:val="005E429E"/>
    <w:rsid w:val="005E45D9"/>
    <w:rsid w:val="005E507F"/>
    <w:rsid w:val="005E7549"/>
    <w:rsid w:val="005F3873"/>
    <w:rsid w:val="005F4BD0"/>
    <w:rsid w:val="005F5491"/>
    <w:rsid w:val="005F676A"/>
    <w:rsid w:val="005F6D90"/>
    <w:rsid w:val="005F79D1"/>
    <w:rsid w:val="00600279"/>
    <w:rsid w:val="0060034F"/>
    <w:rsid w:val="00601236"/>
    <w:rsid w:val="00601ED4"/>
    <w:rsid w:val="006030BC"/>
    <w:rsid w:val="00604B7A"/>
    <w:rsid w:val="0060509E"/>
    <w:rsid w:val="00611BC6"/>
    <w:rsid w:val="00612866"/>
    <w:rsid w:val="00613B5F"/>
    <w:rsid w:val="00616EB5"/>
    <w:rsid w:val="00617180"/>
    <w:rsid w:val="00620B4E"/>
    <w:rsid w:val="00621F8D"/>
    <w:rsid w:val="00622D0F"/>
    <w:rsid w:val="006247F4"/>
    <w:rsid w:val="0062507A"/>
    <w:rsid w:val="006269D4"/>
    <w:rsid w:val="00627DD8"/>
    <w:rsid w:val="0063191D"/>
    <w:rsid w:val="006327D8"/>
    <w:rsid w:val="00633C20"/>
    <w:rsid w:val="0063495E"/>
    <w:rsid w:val="006362A4"/>
    <w:rsid w:val="0063679C"/>
    <w:rsid w:val="00637DC6"/>
    <w:rsid w:val="0064070A"/>
    <w:rsid w:val="00641069"/>
    <w:rsid w:val="006417DC"/>
    <w:rsid w:val="006427A3"/>
    <w:rsid w:val="0064319B"/>
    <w:rsid w:val="00643A01"/>
    <w:rsid w:val="00644614"/>
    <w:rsid w:val="00646CF6"/>
    <w:rsid w:val="0064766C"/>
    <w:rsid w:val="0065164F"/>
    <w:rsid w:val="00651D44"/>
    <w:rsid w:val="0065272A"/>
    <w:rsid w:val="006531A9"/>
    <w:rsid w:val="00655604"/>
    <w:rsid w:val="00656E56"/>
    <w:rsid w:val="006574D2"/>
    <w:rsid w:val="00660AB0"/>
    <w:rsid w:val="00663563"/>
    <w:rsid w:val="0066387B"/>
    <w:rsid w:val="00665430"/>
    <w:rsid w:val="006666CB"/>
    <w:rsid w:val="006670E1"/>
    <w:rsid w:val="006676D4"/>
    <w:rsid w:val="00670B76"/>
    <w:rsid w:val="00670F8E"/>
    <w:rsid w:val="00675535"/>
    <w:rsid w:val="00680BC4"/>
    <w:rsid w:val="00681359"/>
    <w:rsid w:val="00686C53"/>
    <w:rsid w:val="00687326"/>
    <w:rsid w:val="0069157C"/>
    <w:rsid w:val="00691881"/>
    <w:rsid w:val="006927BF"/>
    <w:rsid w:val="00694ACA"/>
    <w:rsid w:val="00694CEF"/>
    <w:rsid w:val="00696262"/>
    <w:rsid w:val="006966FA"/>
    <w:rsid w:val="006A5822"/>
    <w:rsid w:val="006A6B1C"/>
    <w:rsid w:val="006B091E"/>
    <w:rsid w:val="006B484B"/>
    <w:rsid w:val="006B604F"/>
    <w:rsid w:val="006C207C"/>
    <w:rsid w:val="006C3007"/>
    <w:rsid w:val="006C3A4F"/>
    <w:rsid w:val="006C4845"/>
    <w:rsid w:val="006C683E"/>
    <w:rsid w:val="006D16E3"/>
    <w:rsid w:val="006D5EF9"/>
    <w:rsid w:val="006D6653"/>
    <w:rsid w:val="006D6BC1"/>
    <w:rsid w:val="006E2426"/>
    <w:rsid w:val="006E2BFC"/>
    <w:rsid w:val="006E408E"/>
    <w:rsid w:val="006E4CB9"/>
    <w:rsid w:val="006E538B"/>
    <w:rsid w:val="006E5C57"/>
    <w:rsid w:val="006F08B6"/>
    <w:rsid w:val="006F22A5"/>
    <w:rsid w:val="006F5A36"/>
    <w:rsid w:val="006F70BE"/>
    <w:rsid w:val="00701336"/>
    <w:rsid w:val="00702C73"/>
    <w:rsid w:val="00713394"/>
    <w:rsid w:val="007144DA"/>
    <w:rsid w:val="0071512C"/>
    <w:rsid w:val="00720908"/>
    <w:rsid w:val="007224F3"/>
    <w:rsid w:val="00724677"/>
    <w:rsid w:val="00724BE8"/>
    <w:rsid w:val="00725AC2"/>
    <w:rsid w:val="007275CA"/>
    <w:rsid w:val="00732880"/>
    <w:rsid w:val="00733E90"/>
    <w:rsid w:val="00735117"/>
    <w:rsid w:val="00735CBE"/>
    <w:rsid w:val="007360CF"/>
    <w:rsid w:val="00736229"/>
    <w:rsid w:val="007416B9"/>
    <w:rsid w:val="007422FD"/>
    <w:rsid w:val="007434AA"/>
    <w:rsid w:val="00743E46"/>
    <w:rsid w:val="00747C45"/>
    <w:rsid w:val="00752758"/>
    <w:rsid w:val="0075312E"/>
    <w:rsid w:val="00754926"/>
    <w:rsid w:val="00756FDB"/>
    <w:rsid w:val="00757890"/>
    <w:rsid w:val="0076011A"/>
    <w:rsid w:val="007629B6"/>
    <w:rsid w:val="007641B6"/>
    <w:rsid w:val="0076455B"/>
    <w:rsid w:val="007665BF"/>
    <w:rsid w:val="00766F5E"/>
    <w:rsid w:val="007679C9"/>
    <w:rsid w:val="00770F20"/>
    <w:rsid w:val="00771B2A"/>
    <w:rsid w:val="00771BDB"/>
    <w:rsid w:val="00774B36"/>
    <w:rsid w:val="007757CE"/>
    <w:rsid w:val="00775800"/>
    <w:rsid w:val="00781267"/>
    <w:rsid w:val="0078257A"/>
    <w:rsid w:val="00783F60"/>
    <w:rsid w:val="00784578"/>
    <w:rsid w:val="00785101"/>
    <w:rsid w:val="0078525D"/>
    <w:rsid w:val="0079085D"/>
    <w:rsid w:val="0079091A"/>
    <w:rsid w:val="0079180E"/>
    <w:rsid w:val="0079392B"/>
    <w:rsid w:val="00794FD6"/>
    <w:rsid w:val="007950CC"/>
    <w:rsid w:val="0079538B"/>
    <w:rsid w:val="007961B8"/>
    <w:rsid w:val="00797624"/>
    <w:rsid w:val="007A1AA0"/>
    <w:rsid w:val="007A4828"/>
    <w:rsid w:val="007A573C"/>
    <w:rsid w:val="007A5BAF"/>
    <w:rsid w:val="007B0444"/>
    <w:rsid w:val="007B093D"/>
    <w:rsid w:val="007B1AF8"/>
    <w:rsid w:val="007B2069"/>
    <w:rsid w:val="007B508B"/>
    <w:rsid w:val="007B5C3A"/>
    <w:rsid w:val="007C04A1"/>
    <w:rsid w:val="007C05FD"/>
    <w:rsid w:val="007C20EB"/>
    <w:rsid w:val="007C21FA"/>
    <w:rsid w:val="007C38DE"/>
    <w:rsid w:val="007C3EBB"/>
    <w:rsid w:val="007C5162"/>
    <w:rsid w:val="007C7A63"/>
    <w:rsid w:val="007D13B1"/>
    <w:rsid w:val="007D4008"/>
    <w:rsid w:val="007D4346"/>
    <w:rsid w:val="007D4351"/>
    <w:rsid w:val="007D7019"/>
    <w:rsid w:val="007E061C"/>
    <w:rsid w:val="007E18DB"/>
    <w:rsid w:val="007E6F1C"/>
    <w:rsid w:val="007F7186"/>
    <w:rsid w:val="0080440B"/>
    <w:rsid w:val="00804C69"/>
    <w:rsid w:val="00805F09"/>
    <w:rsid w:val="0080711D"/>
    <w:rsid w:val="008119A0"/>
    <w:rsid w:val="00814149"/>
    <w:rsid w:val="008155CD"/>
    <w:rsid w:val="00822AF2"/>
    <w:rsid w:val="00823B13"/>
    <w:rsid w:val="00827093"/>
    <w:rsid w:val="00831B6C"/>
    <w:rsid w:val="0083280F"/>
    <w:rsid w:val="008329C0"/>
    <w:rsid w:val="008332E5"/>
    <w:rsid w:val="00833325"/>
    <w:rsid w:val="00835CB9"/>
    <w:rsid w:val="0084044F"/>
    <w:rsid w:val="00840A41"/>
    <w:rsid w:val="00842F3C"/>
    <w:rsid w:val="00843200"/>
    <w:rsid w:val="0084369D"/>
    <w:rsid w:val="0084398A"/>
    <w:rsid w:val="008442E4"/>
    <w:rsid w:val="00845091"/>
    <w:rsid w:val="0084557C"/>
    <w:rsid w:val="00845E0A"/>
    <w:rsid w:val="008475CD"/>
    <w:rsid w:val="008505D1"/>
    <w:rsid w:val="00854D4B"/>
    <w:rsid w:val="00855158"/>
    <w:rsid w:val="008564E0"/>
    <w:rsid w:val="00857D7F"/>
    <w:rsid w:val="00857EE8"/>
    <w:rsid w:val="00862A5C"/>
    <w:rsid w:val="0086464B"/>
    <w:rsid w:val="008647FC"/>
    <w:rsid w:val="00864CA8"/>
    <w:rsid w:val="00865A2D"/>
    <w:rsid w:val="00865E2D"/>
    <w:rsid w:val="00870E6C"/>
    <w:rsid w:val="00871711"/>
    <w:rsid w:val="00873C63"/>
    <w:rsid w:val="00875846"/>
    <w:rsid w:val="00875FC4"/>
    <w:rsid w:val="00877BAF"/>
    <w:rsid w:val="00880FF9"/>
    <w:rsid w:val="00882C0B"/>
    <w:rsid w:val="0088314E"/>
    <w:rsid w:val="008841DB"/>
    <w:rsid w:val="00884486"/>
    <w:rsid w:val="00884685"/>
    <w:rsid w:val="008856D1"/>
    <w:rsid w:val="00885D0B"/>
    <w:rsid w:val="008871A9"/>
    <w:rsid w:val="00887B22"/>
    <w:rsid w:val="008916BA"/>
    <w:rsid w:val="00892176"/>
    <w:rsid w:val="00894625"/>
    <w:rsid w:val="008A1831"/>
    <w:rsid w:val="008A1DB7"/>
    <w:rsid w:val="008A28E7"/>
    <w:rsid w:val="008A403A"/>
    <w:rsid w:val="008A4C13"/>
    <w:rsid w:val="008A515A"/>
    <w:rsid w:val="008A6F30"/>
    <w:rsid w:val="008A73C7"/>
    <w:rsid w:val="008A7E07"/>
    <w:rsid w:val="008B00A9"/>
    <w:rsid w:val="008B099E"/>
    <w:rsid w:val="008B3C1C"/>
    <w:rsid w:val="008B4BFF"/>
    <w:rsid w:val="008B604D"/>
    <w:rsid w:val="008B6710"/>
    <w:rsid w:val="008C002C"/>
    <w:rsid w:val="008C46E2"/>
    <w:rsid w:val="008C5094"/>
    <w:rsid w:val="008C54A9"/>
    <w:rsid w:val="008C54C9"/>
    <w:rsid w:val="008C676C"/>
    <w:rsid w:val="008D0489"/>
    <w:rsid w:val="008D16B2"/>
    <w:rsid w:val="008D2128"/>
    <w:rsid w:val="008D3E8D"/>
    <w:rsid w:val="008D490A"/>
    <w:rsid w:val="008D4EF6"/>
    <w:rsid w:val="008E28BE"/>
    <w:rsid w:val="008E4591"/>
    <w:rsid w:val="008E531B"/>
    <w:rsid w:val="008E67C3"/>
    <w:rsid w:val="008F093A"/>
    <w:rsid w:val="008F127E"/>
    <w:rsid w:val="008F31A6"/>
    <w:rsid w:val="008F3580"/>
    <w:rsid w:val="008F442C"/>
    <w:rsid w:val="008F589F"/>
    <w:rsid w:val="008F5F2C"/>
    <w:rsid w:val="008F76A9"/>
    <w:rsid w:val="008F7E67"/>
    <w:rsid w:val="00900DBF"/>
    <w:rsid w:val="00901B77"/>
    <w:rsid w:val="00903FE5"/>
    <w:rsid w:val="009048B9"/>
    <w:rsid w:val="00904E91"/>
    <w:rsid w:val="00910431"/>
    <w:rsid w:val="00912004"/>
    <w:rsid w:val="00912D51"/>
    <w:rsid w:val="00914E5E"/>
    <w:rsid w:val="00915886"/>
    <w:rsid w:val="00916D09"/>
    <w:rsid w:val="009203B3"/>
    <w:rsid w:val="00920710"/>
    <w:rsid w:val="00920913"/>
    <w:rsid w:val="0092103C"/>
    <w:rsid w:val="009214DC"/>
    <w:rsid w:val="009223B8"/>
    <w:rsid w:val="00926D51"/>
    <w:rsid w:val="00927027"/>
    <w:rsid w:val="0092749D"/>
    <w:rsid w:val="00930D08"/>
    <w:rsid w:val="00931490"/>
    <w:rsid w:val="009318BF"/>
    <w:rsid w:val="00931FB5"/>
    <w:rsid w:val="00932F5B"/>
    <w:rsid w:val="00933AC6"/>
    <w:rsid w:val="009344BA"/>
    <w:rsid w:val="00941E51"/>
    <w:rsid w:val="00945D71"/>
    <w:rsid w:val="0094607F"/>
    <w:rsid w:val="00946E61"/>
    <w:rsid w:val="00947F78"/>
    <w:rsid w:val="00953234"/>
    <w:rsid w:val="00955AD9"/>
    <w:rsid w:val="0095679D"/>
    <w:rsid w:val="009569B7"/>
    <w:rsid w:val="00960D51"/>
    <w:rsid w:val="00961EAF"/>
    <w:rsid w:val="0096278F"/>
    <w:rsid w:val="00965AFE"/>
    <w:rsid w:val="00966242"/>
    <w:rsid w:val="009715AC"/>
    <w:rsid w:val="009726E1"/>
    <w:rsid w:val="00972A04"/>
    <w:rsid w:val="00975148"/>
    <w:rsid w:val="009751AA"/>
    <w:rsid w:val="00976C85"/>
    <w:rsid w:val="00977591"/>
    <w:rsid w:val="009809A3"/>
    <w:rsid w:val="00980E75"/>
    <w:rsid w:val="0098351D"/>
    <w:rsid w:val="00985FD6"/>
    <w:rsid w:val="00990AE0"/>
    <w:rsid w:val="009913A0"/>
    <w:rsid w:val="00991B6C"/>
    <w:rsid w:val="00992B39"/>
    <w:rsid w:val="00993002"/>
    <w:rsid w:val="00994BE0"/>
    <w:rsid w:val="00995492"/>
    <w:rsid w:val="0099575D"/>
    <w:rsid w:val="00995B35"/>
    <w:rsid w:val="009971E5"/>
    <w:rsid w:val="00997CC4"/>
    <w:rsid w:val="00997E2B"/>
    <w:rsid w:val="009A1534"/>
    <w:rsid w:val="009A216B"/>
    <w:rsid w:val="009A25B1"/>
    <w:rsid w:val="009A2F1E"/>
    <w:rsid w:val="009A4608"/>
    <w:rsid w:val="009A5A09"/>
    <w:rsid w:val="009A6A57"/>
    <w:rsid w:val="009A70BF"/>
    <w:rsid w:val="009B023D"/>
    <w:rsid w:val="009B1A15"/>
    <w:rsid w:val="009B1A7E"/>
    <w:rsid w:val="009B2E68"/>
    <w:rsid w:val="009B3043"/>
    <w:rsid w:val="009B6809"/>
    <w:rsid w:val="009B68D9"/>
    <w:rsid w:val="009C0852"/>
    <w:rsid w:val="009C0B3A"/>
    <w:rsid w:val="009C13CA"/>
    <w:rsid w:val="009C27C5"/>
    <w:rsid w:val="009C3126"/>
    <w:rsid w:val="009C32C6"/>
    <w:rsid w:val="009C39D4"/>
    <w:rsid w:val="009C4055"/>
    <w:rsid w:val="009C43A8"/>
    <w:rsid w:val="009C5625"/>
    <w:rsid w:val="009C665F"/>
    <w:rsid w:val="009C689C"/>
    <w:rsid w:val="009C72E9"/>
    <w:rsid w:val="009C7513"/>
    <w:rsid w:val="009D0416"/>
    <w:rsid w:val="009D05A1"/>
    <w:rsid w:val="009D2E8B"/>
    <w:rsid w:val="009D3882"/>
    <w:rsid w:val="009D38C7"/>
    <w:rsid w:val="009D46BD"/>
    <w:rsid w:val="009D7E38"/>
    <w:rsid w:val="009E0180"/>
    <w:rsid w:val="009E095B"/>
    <w:rsid w:val="009E0DAE"/>
    <w:rsid w:val="009E0F54"/>
    <w:rsid w:val="009E1846"/>
    <w:rsid w:val="009E6B6A"/>
    <w:rsid w:val="009E78FF"/>
    <w:rsid w:val="009E7B7C"/>
    <w:rsid w:val="009F029C"/>
    <w:rsid w:val="009F0A4B"/>
    <w:rsid w:val="009F385B"/>
    <w:rsid w:val="00A00FE9"/>
    <w:rsid w:val="00A01494"/>
    <w:rsid w:val="00A0157A"/>
    <w:rsid w:val="00A043F6"/>
    <w:rsid w:val="00A07666"/>
    <w:rsid w:val="00A07FCA"/>
    <w:rsid w:val="00A10932"/>
    <w:rsid w:val="00A12802"/>
    <w:rsid w:val="00A1427D"/>
    <w:rsid w:val="00A172B1"/>
    <w:rsid w:val="00A17FA6"/>
    <w:rsid w:val="00A21F9B"/>
    <w:rsid w:val="00A22229"/>
    <w:rsid w:val="00A22FA9"/>
    <w:rsid w:val="00A25024"/>
    <w:rsid w:val="00A2755A"/>
    <w:rsid w:val="00A275A1"/>
    <w:rsid w:val="00A27E2F"/>
    <w:rsid w:val="00A3320A"/>
    <w:rsid w:val="00A346B8"/>
    <w:rsid w:val="00A35F8F"/>
    <w:rsid w:val="00A41377"/>
    <w:rsid w:val="00A4263D"/>
    <w:rsid w:val="00A43675"/>
    <w:rsid w:val="00A45862"/>
    <w:rsid w:val="00A509B8"/>
    <w:rsid w:val="00A52AB9"/>
    <w:rsid w:val="00A5417A"/>
    <w:rsid w:val="00A5463E"/>
    <w:rsid w:val="00A54C13"/>
    <w:rsid w:val="00A5592E"/>
    <w:rsid w:val="00A6128E"/>
    <w:rsid w:val="00A6206E"/>
    <w:rsid w:val="00A6210B"/>
    <w:rsid w:val="00A62274"/>
    <w:rsid w:val="00A62FC2"/>
    <w:rsid w:val="00A64EBF"/>
    <w:rsid w:val="00A659F7"/>
    <w:rsid w:val="00A65A1D"/>
    <w:rsid w:val="00A662B0"/>
    <w:rsid w:val="00A6660C"/>
    <w:rsid w:val="00A70687"/>
    <w:rsid w:val="00A71200"/>
    <w:rsid w:val="00A71E86"/>
    <w:rsid w:val="00A71F81"/>
    <w:rsid w:val="00A72198"/>
    <w:rsid w:val="00A7323A"/>
    <w:rsid w:val="00A736BB"/>
    <w:rsid w:val="00A8280C"/>
    <w:rsid w:val="00A831B4"/>
    <w:rsid w:val="00A85F48"/>
    <w:rsid w:val="00A863DB"/>
    <w:rsid w:val="00A86570"/>
    <w:rsid w:val="00A87570"/>
    <w:rsid w:val="00A87BF5"/>
    <w:rsid w:val="00A93056"/>
    <w:rsid w:val="00A97798"/>
    <w:rsid w:val="00AA11C1"/>
    <w:rsid w:val="00AA4216"/>
    <w:rsid w:val="00AA4CE5"/>
    <w:rsid w:val="00AA5213"/>
    <w:rsid w:val="00AA605F"/>
    <w:rsid w:val="00AA65A6"/>
    <w:rsid w:val="00AA7BF9"/>
    <w:rsid w:val="00AB4326"/>
    <w:rsid w:val="00AB6E5B"/>
    <w:rsid w:val="00AC0C00"/>
    <w:rsid w:val="00AC15C2"/>
    <w:rsid w:val="00AC1D52"/>
    <w:rsid w:val="00AC1D8E"/>
    <w:rsid w:val="00AC2849"/>
    <w:rsid w:val="00AC3295"/>
    <w:rsid w:val="00AC48FA"/>
    <w:rsid w:val="00AC639F"/>
    <w:rsid w:val="00AC6D8E"/>
    <w:rsid w:val="00AC77B7"/>
    <w:rsid w:val="00AC7C2D"/>
    <w:rsid w:val="00AC7CAF"/>
    <w:rsid w:val="00AD0240"/>
    <w:rsid w:val="00AD22EA"/>
    <w:rsid w:val="00AD4137"/>
    <w:rsid w:val="00AE0FF1"/>
    <w:rsid w:val="00AF00DC"/>
    <w:rsid w:val="00AF1A1E"/>
    <w:rsid w:val="00AF2D68"/>
    <w:rsid w:val="00AF39D7"/>
    <w:rsid w:val="00AF4DAD"/>
    <w:rsid w:val="00AF6118"/>
    <w:rsid w:val="00AF6405"/>
    <w:rsid w:val="00B02679"/>
    <w:rsid w:val="00B030EE"/>
    <w:rsid w:val="00B037BA"/>
    <w:rsid w:val="00B03F2A"/>
    <w:rsid w:val="00B12B1A"/>
    <w:rsid w:val="00B14315"/>
    <w:rsid w:val="00B165EB"/>
    <w:rsid w:val="00B20139"/>
    <w:rsid w:val="00B205AE"/>
    <w:rsid w:val="00B2065C"/>
    <w:rsid w:val="00B2080C"/>
    <w:rsid w:val="00B20DD9"/>
    <w:rsid w:val="00B218DA"/>
    <w:rsid w:val="00B22F87"/>
    <w:rsid w:val="00B23E63"/>
    <w:rsid w:val="00B27DF6"/>
    <w:rsid w:val="00B342FA"/>
    <w:rsid w:val="00B37801"/>
    <w:rsid w:val="00B41171"/>
    <w:rsid w:val="00B437BB"/>
    <w:rsid w:val="00B44BC5"/>
    <w:rsid w:val="00B45A5C"/>
    <w:rsid w:val="00B45E60"/>
    <w:rsid w:val="00B460AA"/>
    <w:rsid w:val="00B505C3"/>
    <w:rsid w:val="00B53273"/>
    <w:rsid w:val="00B53E8B"/>
    <w:rsid w:val="00B54A0F"/>
    <w:rsid w:val="00B54FF9"/>
    <w:rsid w:val="00B55339"/>
    <w:rsid w:val="00B56BAF"/>
    <w:rsid w:val="00B60EE7"/>
    <w:rsid w:val="00B60F3A"/>
    <w:rsid w:val="00B62E25"/>
    <w:rsid w:val="00B658BC"/>
    <w:rsid w:val="00B66F87"/>
    <w:rsid w:val="00B72A27"/>
    <w:rsid w:val="00B774D2"/>
    <w:rsid w:val="00B80146"/>
    <w:rsid w:val="00B8015A"/>
    <w:rsid w:val="00B807AA"/>
    <w:rsid w:val="00B81CC0"/>
    <w:rsid w:val="00B82A57"/>
    <w:rsid w:val="00B835CD"/>
    <w:rsid w:val="00B85F51"/>
    <w:rsid w:val="00B871A0"/>
    <w:rsid w:val="00B8734D"/>
    <w:rsid w:val="00B90596"/>
    <w:rsid w:val="00B91A90"/>
    <w:rsid w:val="00B9343D"/>
    <w:rsid w:val="00B94D1D"/>
    <w:rsid w:val="00B94F9F"/>
    <w:rsid w:val="00B950D4"/>
    <w:rsid w:val="00B95BEE"/>
    <w:rsid w:val="00B96CC3"/>
    <w:rsid w:val="00B97B28"/>
    <w:rsid w:val="00BA016D"/>
    <w:rsid w:val="00BA053B"/>
    <w:rsid w:val="00BA3A55"/>
    <w:rsid w:val="00BA6C49"/>
    <w:rsid w:val="00BA6FF5"/>
    <w:rsid w:val="00BB1AF9"/>
    <w:rsid w:val="00BB35AE"/>
    <w:rsid w:val="00BB6B8F"/>
    <w:rsid w:val="00BB6F7C"/>
    <w:rsid w:val="00BC03A1"/>
    <w:rsid w:val="00BC0D25"/>
    <w:rsid w:val="00BC37E8"/>
    <w:rsid w:val="00BC4770"/>
    <w:rsid w:val="00BD0608"/>
    <w:rsid w:val="00BD1BAA"/>
    <w:rsid w:val="00BD2505"/>
    <w:rsid w:val="00BD4BAA"/>
    <w:rsid w:val="00BD5261"/>
    <w:rsid w:val="00BD64C5"/>
    <w:rsid w:val="00BD6C85"/>
    <w:rsid w:val="00BD7F60"/>
    <w:rsid w:val="00BE0E89"/>
    <w:rsid w:val="00BE143B"/>
    <w:rsid w:val="00BE557F"/>
    <w:rsid w:val="00BE592D"/>
    <w:rsid w:val="00BE79EA"/>
    <w:rsid w:val="00BF0079"/>
    <w:rsid w:val="00BF0A38"/>
    <w:rsid w:val="00BF3F17"/>
    <w:rsid w:val="00BF43D1"/>
    <w:rsid w:val="00BF5082"/>
    <w:rsid w:val="00BF52B0"/>
    <w:rsid w:val="00BF5697"/>
    <w:rsid w:val="00BF6D44"/>
    <w:rsid w:val="00BF7B6A"/>
    <w:rsid w:val="00BF7C6D"/>
    <w:rsid w:val="00C02914"/>
    <w:rsid w:val="00C035C8"/>
    <w:rsid w:val="00C0532E"/>
    <w:rsid w:val="00C054EF"/>
    <w:rsid w:val="00C0789D"/>
    <w:rsid w:val="00C10747"/>
    <w:rsid w:val="00C12DAF"/>
    <w:rsid w:val="00C14907"/>
    <w:rsid w:val="00C14CCC"/>
    <w:rsid w:val="00C1695E"/>
    <w:rsid w:val="00C203C3"/>
    <w:rsid w:val="00C229D3"/>
    <w:rsid w:val="00C22C1C"/>
    <w:rsid w:val="00C273D5"/>
    <w:rsid w:val="00C27D69"/>
    <w:rsid w:val="00C30241"/>
    <w:rsid w:val="00C30F65"/>
    <w:rsid w:val="00C3197D"/>
    <w:rsid w:val="00C31C0B"/>
    <w:rsid w:val="00C32531"/>
    <w:rsid w:val="00C3295F"/>
    <w:rsid w:val="00C33F2E"/>
    <w:rsid w:val="00C34936"/>
    <w:rsid w:val="00C34C14"/>
    <w:rsid w:val="00C355B9"/>
    <w:rsid w:val="00C35937"/>
    <w:rsid w:val="00C37EF1"/>
    <w:rsid w:val="00C401C4"/>
    <w:rsid w:val="00C408CB"/>
    <w:rsid w:val="00C41680"/>
    <w:rsid w:val="00C427B8"/>
    <w:rsid w:val="00C43353"/>
    <w:rsid w:val="00C43A71"/>
    <w:rsid w:val="00C443E9"/>
    <w:rsid w:val="00C46295"/>
    <w:rsid w:val="00C52020"/>
    <w:rsid w:val="00C53B48"/>
    <w:rsid w:val="00C55CF7"/>
    <w:rsid w:val="00C57ED4"/>
    <w:rsid w:val="00C60A25"/>
    <w:rsid w:val="00C6171C"/>
    <w:rsid w:val="00C61B77"/>
    <w:rsid w:val="00C62F50"/>
    <w:rsid w:val="00C67E5D"/>
    <w:rsid w:val="00C73144"/>
    <w:rsid w:val="00C75CAC"/>
    <w:rsid w:val="00C765C5"/>
    <w:rsid w:val="00C7695F"/>
    <w:rsid w:val="00C775CE"/>
    <w:rsid w:val="00C77D2F"/>
    <w:rsid w:val="00C800FC"/>
    <w:rsid w:val="00C82479"/>
    <w:rsid w:val="00C848DB"/>
    <w:rsid w:val="00C867F0"/>
    <w:rsid w:val="00C876BD"/>
    <w:rsid w:val="00C87DB8"/>
    <w:rsid w:val="00C90A98"/>
    <w:rsid w:val="00C93899"/>
    <w:rsid w:val="00C94E2A"/>
    <w:rsid w:val="00C96C52"/>
    <w:rsid w:val="00C9703A"/>
    <w:rsid w:val="00C975A9"/>
    <w:rsid w:val="00CA06D8"/>
    <w:rsid w:val="00CA0C76"/>
    <w:rsid w:val="00CA1CFE"/>
    <w:rsid w:val="00CA30EA"/>
    <w:rsid w:val="00CA345A"/>
    <w:rsid w:val="00CA40A2"/>
    <w:rsid w:val="00CA508B"/>
    <w:rsid w:val="00CA61A5"/>
    <w:rsid w:val="00CB00EB"/>
    <w:rsid w:val="00CB26C5"/>
    <w:rsid w:val="00CB277F"/>
    <w:rsid w:val="00CB2BF8"/>
    <w:rsid w:val="00CB3293"/>
    <w:rsid w:val="00CB4345"/>
    <w:rsid w:val="00CB49FF"/>
    <w:rsid w:val="00CB609D"/>
    <w:rsid w:val="00CC02CF"/>
    <w:rsid w:val="00CC086A"/>
    <w:rsid w:val="00CC4359"/>
    <w:rsid w:val="00CC60C8"/>
    <w:rsid w:val="00CC74F3"/>
    <w:rsid w:val="00CD0E24"/>
    <w:rsid w:val="00CD0F66"/>
    <w:rsid w:val="00CD2AB9"/>
    <w:rsid w:val="00CD364B"/>
    <w:rsid w:val="00CD600B"/>
    <w:rsid w:val="00CD7C2E"/>
    <w:rsid w:val="00CE0828"/>
    <w:rsid w:val="00CE0CA4"/>
    <w:rsid w:val="00CE10B8"/>
    <w:rsid w:val="00CE23B8"/>
    <w:rsid w:val="00CE2520"/>
    <w:rsid w:val="00CE284E"/>
    <w:rsid w:val="00CE356F"/>
    <w:rsid w:val="00CE406C"/>
    <w:rsid w:val="00CE50D7"/>
    <w:rsid w:val="00CF15FE"/>
    <w:rsid w:val="00CF3670"/>
    <w:rsid w:val="00CF4CBE"/>
    <w:rsid w:val="00D00344"/>
    <w:rsid w:val="00D005E9"/>
    <w:rsid w:val="00D009D6"/>
    <w:rsid w:val="00D03C3F"/>
    <w:rsid w:val="00D05D38"/>
    <w:rsid w:val="00D07AE4"/>
    <w:rsid w:val="00D12A4E"/>
    <w:rsid w:val="00D12E9C"/>
    <w:rsid w:val="00D15DB0"/>
    <w:rsid w:val="00D1754D"/>
    <w:rsid w:val="00D219CC"/>
    <w:rsid w:val="00D21A5D"/>
    <w:rsid w:val="00D2223F"/>
    <w:rsid w:val="00D2668D"/>
    <w:rsid w:val="00D268A6"/>
    <w:rsid w:val="00D2716E"/>
    <w:rsid w:val="00D274A4"/>
    <w:rsid w:val="00D27540"/>
    <w:rsid w:val="00D277AF"/>
    <w:rsid w:val="00D3095E"/>
    <w:rsid w:val="00D31163"/>
    <w:rsid w:val="00D31C3C"/>
    <w:rsid w:val="00D31F62"/>
    <w:rsid w:val="00D320B1"/>
    <w:rsid w:val="00D33AFD"/>
    <w:rsid w:val="00D36489"/>
    <w:rsid w:val="00D369E9"/>
    <w:rsid w:val="00D408DC"/>
    <w:rsid w:val="00D41146"/>
    <w:rsid w:val="00D42195"/>
    <w:rsid w:val="00D42A6A"/>
    <w:rsid w:val="00D50704"/>
    <w:rsid w:val="00D51180"/>
    <w:rsid w:val="00D557CF"/>
    <w:rsid w:val="00D571A4"/>
    <w:rsid w:val="00D5760A"/>
    <w:rsid w:val="00D61410"/>
    <w:rsid w:val="00D63612"/>
    <w:rsid w:val="00D67A5A"/>
    <w:rsid w:val="00D70827"/>
    <w:rsid w:val="00D76B73"/>
    <w:rsid w:val="00D8181D"/>
    <w:rsid w:val="00D81F55"/>
    <w:rsid w:val="00D825EE"/>
    <w:rsid w:val="00D82BBC"/>
    <w:rsid w:val="00D84EF4"/>
    <w:rsid w:val="00D85EF7"/>
    <w:rsid w:val="00D8724B"/>
    <w:rsid w:val="00D87A12"/>
    <w:rsid w:val="00D902D1"/>
    <w:rsid w:val="00D90B25"/>
    <w:rsid w:val="00D92A06"/>
    <w:rsid w:val="00D95CAB"/>
    <w:rsid w:val="00D95F17"/>
    <w:rsid w:val="00D96134"/>
    <w:rsid w:val="00D968D8"/>
    <w:rsid w:val="00DA02E6"/>
    <w:rsid w:val="00DA070C"/>
    <w:rsid w:val="00DA0D65"/>
    <w:rsid w:val="00DA563D"/>
    <w:rsid w:val="00DA65A6"/>
    <w:rsid w:val="00DA7277"/>
    <w:rsid w:val="00DA7DC3"/>
    <w:rsid w:val="00DB05E9"/>
    <w:rsid w:val="00DB34DF"/>
    <w:rsid w:val="00DB3627"/>
    <w:rsid w:val="00DB4724"/>
    <w:rsid w:val="00DB6944"/>
    <w:rsid w:val="00DB6A83"/>
    <w:rsid w:val="00DB6ED1"/>
    <w:rsid w:val="00DC0243"/>
    <w:rsid w:val="00DC3638"/>
    <w:rsid w:val="00DC4746"/>
    <w:rsid w:val="00DC74C6"/>
    <w:rsid w:val="00DD0D6D"/>
    <w:rsid w:val="00DD2114"/>
    <w:rsid w:val="00DD3D19"/>
    <w:rsid w:val="00DD48D1"/>
    <w:rsid w:val="00DD5F85"/>
    <w:rsid w:val="00DD6870"/>
    <w:rsid w:val="00DD799C"/>
    <w:rsid w:val="00DE0588"/>
    <w:rsid w:val="00DE100C"/>
    <w:rsid w:val="00DE4F42"/>
    <w:rsid w:val="00DE6F72"/>
    <w:rsid w:val="00DE7149"/>
    <w:rsid w:val="00DF5587"/>
    <w:rsid w:val="00DF5674"/>
    <w:rsid w:val="00DF6A9F"/>
    <w:rsid w:val="00DF7666"/>
    <w:rsid w:val="00E0314C"/>
    <w:rsid w:val="00E0583A"/>
    <w:rsid w:val="00E0698F"/>
    <w:rsid w:val="00E11AC8"/>
    <w:rsid w:val="00E12BAB"/>
    <w:rsid w:val="00E14E92"/>
    <w:rsid w:val="00E1508F"/>
    <w:rsid w:val="00E1516C"/>
    <w:rsid w:val="00E25907"/>
    <w:rsid w:val="00E259F7"/>
    <w:rsid w:val="00E261DF"/>
    <w:rsid w:val="00E27240"/>
    <w:rsid w:val="00E278E7"/>
    <w:rsid w:val="00E27D46"/>
    <w:rsid w:val="00E27EDD"/>
    <w:rsid w:val="00E30584"/>
    <w:rsid w:val="00E310B9"/>
    <w:rsid w:val="00E35F77"/>
    <w:rsid w:val="00E366E8"/>
    <w:rsid w:val="00E37E1B"/>
    <w:rsid w:val="00E415DF"/>
    <w:rsid w:val="00E44679"/>
    <w:rsid w:val="00E46F99"/>
    <w:rsid w:val="00E47929"/>
    <w:rsid w:val="00E5462B"/>
    <w:rsid w:val="00E54FAC"/>
    <w:rsid w:val="00E552D8"/>
    <w:rsid w:val="00E562C0"/>
    <w:rsid w:val="00E56A3F"/>
    <w:rsid w:val="00E57FAF"/>
    <w:rsid w:val="00E60138"/>
    <w:rsid w:val="00E609B1"/>
    <w:rsid w:val="00E61E27"/>
    <w:rsid w:val="00E64B91"/>
    <w:rsid w:val="00E67099"/>
    <w:rsid w:val="00E672D6"/>
    <w:rsid w:val="00E71DDC"/>
    <w:rsid w:val="00E72997"/>
    <w:rsid w:val="00E72C72"/>
    <w:rsid w:val="00E73DDE"/>
    <w:rsid w:val="00E76024"/>
    <w:rsid w:val="00E76B2D"/>
    <w:rsid w:val="00E76FC2"/>
    <w:rsid w:val="00E7774A"/>
    <w:rsid w:val="00E77AB9"/>
    <w:rsid w:val="00E77C37"/>
    <w:rsid w:val="00E81E3E"/>
    <w:rsid w:val="00E83500"/>
    <w:rsid w:val="00E856A2"/>
    <w:rsid w:val="00E86E12"/>
    <w:rsid w:val="00E91399"/>
    <w:rsid w:val="00E91AA7"/>
    <w:rsid w:val="00E9224A"/>
    <w:rsid w:val="00E93513"/>
    <w:rsid w:val="00E95493"/>
    <w:rsid w:val="00E967AD"/>
    <w:rsid w:val="00E96884"/>
    <w:rsid w:val="00EA5435"/>
    <w:rsid w:val="00EA5F47"/>
    <w:rsid w:val="00EA6D5F"/>
    <w:rsid w:val="00EB21F2"/>
    <w:rsid w:val="00EB3D56"/>
    <w:rsid w:val="00EB455E"/>
    <w:rsid w:val="00EC04D5"/>
    <w:rsid w:val="00EC1CFB"/>
    <w:rsid w:val="00EC2888"/>
    <w:rsid w:val="00EC5979"/>
    <w:rsid w:val="00EC654E"/>
    <w:rsid w:val="00EC6EAF"/>
    <w:rsid w:val="00EC79DE"/>
    <w:rsid w:val="00ED4ACE"/>
    <w:rsid w:val="00ED61B8"/>
    <w:rsid w:val="00ED7E0D"/>
    <w:rsid w:val="00EE226F"/>
    <w:rsid w:val="00EE4D35"/>
    <w:rsid w:val="00EE5A72"/>
    <w:rsid w:val="00EE6841"/>
    <w:rsid w:val="00EE76B7"/>
    <w:rsid w:val="00EF1EAB"/>
    <w:rsid w:val="00EF1F04"/>
    <w:rsid w:val="00EF2DA7"/>
    <w:rsid w:val="00EF5FC9"/>
    <w:rsid w:val="00EF615C"/>
    <w:rsid w:val="00EF64A3"/>
    <w:rsid w:val="00EF65F4"/>
    <w:rsid w:val="00EF6C4C"/>
    <w:rsid w:val="00F013EE"/>
    <w:rsid w:val="00F04F29"/>
    <w:rsid w:val="00F06F48"/>
    <w:rsid w:val="00F118BB"/>
    <w:rsid w:val="00F12914"/>
    <w:rsid w:val="00F1412B"/>
    <w:rsid w:val="00F15BFA"/>
    <w:rsid w:val="00F16771"/>
    <w:rsid w:val="00F220B2"/>
    <w:rsid w:val="00F26132"/>
    <w:rsid w:val="00F27C61"/>
    <w:rsid w:val="00F32772"/>
    <w:rsid w:val="00F33DE8"/>
    <w:rsid w:val="00F34EC3"/>
    <w:rsid w:val="00F34FAB"/>
    <w:rsid w:val="00F36C9C"/>
    <w:rsid w:val="00F4189A"/>
    <w:rsid w:val="00F435AA"/>
    <w:rsid w:val="00F445CE"/>
    <w:rsid w:val="00F44817"/>
    <w:rsid w:val="00F512A7"/>
    <w:rsid w:val="00F51A66"/>
    <w:rsid w:val="00F5247D"/>
    <w:rsid w:val="00F56947"/>
    <w:rsid w:val="00F5738A"/>
    <w:rsid w:val="00F612D4"/>
    <w:rsid w:val="00F62466"/>
    <w:rsid w:val="00F62987"/>
    <w:rsid w:val="00F63D73"/>
    <w:rsid w:val="00F66670"/>
    <w:rsid w:val="00F67541"/>
    <w:rsid w:val="00F7196D"/>
    <w:rsid w:val="00F7389E"/>
    <w:rsid w:val="00F75E96"/>
    <w:rsid w:val="00F76DE8"/>
    <w:rsid w:val="00F77D7B"/>
    <w:rsid w:val="00F77F1D"/>
    <w:rsid w:val="00F833BB"/>
    <w:rsid w:val="00F83F9F"/>
    <w:rsid w:val="00F84E09"/>
    <w:rsid w:val="00F8715C"/>
    <w:rsid w:val="00F87CCB"/>
    <w:rsid w:val="00F92D66"/>
    <w:rsid w:val="00F93FD2"/>
    <w:rsid w:val="00F96EDE"/>
    <w:rsid w:val="00FA0901"/>
    <w:rsid w:val="00FA30D3"/>
    <w:rsid w:val="00FA48C7"/>
    <w:rsid w:val="00FA598F"/>
    <w:rsid w:val="00FA6673"/>
    <w:rsid w:val="00FA7832"/>
    <w:rsid w:val="00FB11F5"/>
    <w:rsid w:val="00FB264F"/>
    <w:rsid w:val="00FB2D16"/>
    <w:rsid w:val="00FB3F3B"/>
    <w:rsid w:val="00FB51FB"/>
    <w:rsid w:val="00FB6026"/>
    <w:rsid w:val="00FB676B"/>
    <w:rsid w:val="00FB73C1"/>
    <w:rsid w:val="00FC1739"/>
    <w:rsid w:val="00FC1E44"/>
    <w:rsid w:val="00FC33EA"/>
    <w:rsid w:val="00FC361F"/>
    <w:rsid w:val="00FC5BD6"/>
    <w:rsid w:val="00FD0BFF"/>
    <w:rsid w:val="00FD0E9C"/>
    <w:rsid w:val="00FD4AE2"/>
    <w:rsid w:val="00FE216D"/>
    <w:rsid w:val="00FE2A26"/>
    <w:rsid w:val="00FE3DAF"/>
    <w:rsid w:val="00FE56FE"/>
    <w:rsid w:val="00FE75C6"/>
    <w:rsid w:val="00FF0891"/>
    <w:rsid w:val="00FF294F"/>
    <w:rsid w:val="00FF49E1"/>
    <w:rsid w:val="00FF57C8"/>
    <w:rsid w:val="00FF6ED6"/>
    <w:rsid w:val="00FF75C6"/>
    <w:rsid w:val="00FF7717"/>
    <w:rsid w:val="00FF7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516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aliases w:val="Acumen,AcuSPHERE"/>
    <w:basedOn w:val="TableNormal"/>
    <w:uiPriority w:val="39"/>
    <w:qFormat/>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aliases w:val="Bullet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Body125">
    <w:name w:val="Body 1.25"/>
    <w:basedOn w:val="BodyText"/>
    <w:link w:val="Body125Char"/>
    <w:uiPriority w:val="6"/>
    <w:qFormat/>
    <w:rsid w:val="005C1FC5"/>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5C1FC5"/>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5C1FC5"/>
    <w:pPr>
      <w:spacing w:after="120"/>
    </w:pPr>
  </w:style>
  <w:style w:type="character" w:customStyle="1" w:styleId="BodyTextChar">
    <w:name w:val="Body Text Char"/>
    <w:basedOn w:val="DefaultParagraphFont"/>
    <w:link w:val="BodyText"/>
    <w:uiPriority w:val="99"/>
    <w:semiHidden/>
    <w:rsid w:val="005C1FC5"/>
  </w:style>
  <w:style w:type="paragraph" w:customStyle="1" w:styleId="Body125Left">
    <w:name w:val="Body 1.25 Left"/>
    <w:basedOn w:val="Body125"/>
    <w:link w:val="Body125LeftChar"/>
    <w:uiPriority w:val="7"/>
    <w:qFormat/>
    <w:rsid w:val="00931FB5"/>
    <w:pPr>
      <w:spacing w:before="120" w:after="120" w:line="300" w:lineRule="auto"/>
      <w:ind w:firstLine="0"/>
    </w:pPr>
    <w:rPr>
      <w:rFonts w:eastAsia="Times New Roman"/>
    </w:rPr>
  </w:style>
  <w:style w:type="character" w:customStyle="1" w:styleId="Body125LeftChar">
    <w:name w:val="Body 1.25 Left Char"/>
    <w:basedOn w:val="Body125Char"/>
    <w:link w:val="Body125Left"/>
    <w:uiPriority w:val="7"/>
    <w:rsid w:val="00931FB5"/>
    <w:rPr>
      <w:rFonts w:ascii="Times New Roman" w:eastAsia="Times New Roman" w:hAnsi="Times New Roman" w:cs="Times New Roman"/>
      <w:spacing w:val="-10"/>
      <w:sz w:val="24"/>
      <w:szCs w:val="24"/>
    </w:rPr>
  </w:style>
  <w:style w:type="paragraph" w:customStyle="1" w:styleId="Default">
    <w:name w:val="Default"/>
    <w:rsid w:val="00155794"/>
    <w:pPr>
      <w:autoSpaceDE w:val="0"/>
      <w:autoSpaceDN w:val="0"/>
      <w:adjustRightInd w:val="0"/>
      <w:spacing w:after="0" w:line="240" w:lineRule="auto"/>
    </w:pPr>
    <w:rPr>
      <w:rFonts w:ascii="Arial" w:eastAsiaTheme="minorHAnsi" w:hAnsi="Arial" w:cs="Arial"/>
      <w:color w:val="000000"/>
      <w:sz w:val="24"/>
      <w:szCs w:val="24"/>
    </w:rPr>
  </w:style>
  <w:style w:type="character" w:customStyle="1" w:styleId="UnresolvedMention1">
    <w:name w:val="Unresolved Mention1"/>
    <w:basedOn w:val="DefaultParagraphFont"/>
    <w:uiPriority w:val="99"/>
    <w:semiHidden/>
    <w:unhideWhenUsed/>
    <w:rsid w:val="003C58A3"/>
    <w:rPr>
      <w:color w:val="605E5C"/>
      <w:shd w:val="clear" w:color="auto" w:fill="E1DFDD"/>
    </w:rPr>
  </w:style>
  <w:style w:type="paragraph" w:styleId="Caption">
    <w:name w:val="caption"/>
    <w:basedOn w:val="Normal"/>
    <w:next w:val="Normal"/>
    <w:uiPriority w:val="99"/>
    <w:qFormat/>
    <w:rsid w:val="00C67E5D"/>
    <w:pPr>
      <w:spacing w:line="240" w:lineRule="auto"/>
    </w:pPr>
    <w:rPr>
      <w:rFonts w:ascii="Arial" w:eastAsiaTheme="minorHAnsi" w:hAnsi="Arial" w:cs="Arial"/>
      <w:b/>
      <w:iCs/>
      <w:color w:val="243766"/>
      <w:sz w:val="21"/>
      <w:szCs w:val="18"/>
    </w:rPr>
  </w:style>
  <w:style w:type="table" w:styleId="TableGridLight">
    <w:name w:val="Grid Table Light"/>
    <w:basedOn w:val="TableNormal"/>
    <w:uiPriority w:val="40"/>
    <w:rsid w:val="00B22F8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unhideWhenUsed/>
    <w:rsid w:val="00FF294F"/>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FF294F"/>
    <w:rPr>
      <w:rFonts w:ascii="Calibri" w:eastAsiaTheme="minorHAnsi" w:hAnsi="Calibri"/>
      <w:szCs w:val="21"/>
    </w:rPr>
  </w:style>
  <w:style w:type="paragraph" w:customStyle="1" w:styleId="xmsonormal">
    <w:name w:val="x_msonormal"/>
    <w:basedOn w:val="Normal"/>
    <w:uiPriority w:val="99"/>
    <w:rsid w:val="000316DB"/>
    <w:pPr>
      <w:spacing w:before="100" w:beforeAutospacing="1" w:after="100" w:afterAutospacing="1" w:line="240" w:lineRule="auto"/>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20994">
      <w:bodyDiv w:val="1"/>
      <w:marLeft w:val="0"/>
      <w:marRight w:val="0"/>
      <w:marTop w:val="0"/>
      <w:marBottom w:val="0"/>
      <w:divBdr>
        <w:top w:val="none" w:sz="0" w:space="0" w:color="auto"/>
        <w:left w:val="none" w:sz="0" w:space="0" w:color="auto"/>
        <w:bottom w:val="none" w:sz="0" w:space="0" w:color="auto"/>
        <w:right w:val="none" w:sz="0" w:space="0" w:color="auto"/>
      </w:divBdr>
    </w:div>
    <w:div w:id="94596684">
      <w:bodyDiv w:val="1"/>
      <w:marLeft w:val="0"/>
      <w:marRight w:val="0"/>
      <w:marTop w:val="0"/>
      <w:marBottom w:val="0"/>
      <w:divBdr>
        <w:top w:val="none" w:sz="0" w:space="0" w:color="auto"/>
        <w:left w:val="none" w:sz="0" w:space="0" w:color="auto"/>
        <w:bottom w:val="none" w:sz="0" w:space="0" w:color="auto"/>
        <w:right w:val="none" w:sz="0" w:space="0" w:color="auto"/>
      </w:divBdr>
    </w:div>
    <w:div w:id="425075507">
      <w:bodyDiv w:val="1"/>
      <w:marLeft w:val="0"/>
      <w:marRight w:val="0"/>
      <w:marTop w:val="0"/>
      <w:marBottom w:val="0"/>
      <w:divBdr>
        <w:top w:val="none" w:sz="0" w:space="0" w:color="auto"/>
        <w:left w:val="none" w:sz="0" w:space="0" w:color="auto"/>
        <w:bottom w:val="none" w:sz="0" w:space="0" w:color="auto"/>
        <w:right w:val="none" w:sz="0" w:space="0" w:color="auto"/>
      </w:divBdr>
    </w:div>
    <w:div w:id="44947167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28915312">
      <w:bodyDiv w:val="1"/>
      <w:marLeft w:val="0"/>
      <w:marRight w:val="0"/>
      <w:marTop w:val="0"/>
      <w:marBottom w:val="0"/>
      <w:divBdr>
        <w:top w:val="none" w:sz="0" w:space="0" w:color="auto"/>
        <w:left w:val="none" w:sz="0" w:space="0" w:color="auto"/>
        <w:bottom w:val="none" w:sz="0" w:space="0" w:color="auto"/>
        <w:right w:val="none" w:sz="0" w:space="0" w:color="auto"/>
      </w:divBdr>
    </w:div>
    <w:div w:id="743769359">
      <w:bodyDiv w:val="1"/>
      <w:marLeft w:val="0"/>
      <w:marRight w:val="0"/>
      <w:marTop w:val="0"/>
      <w:marBottom w:val="0"/>
      <w:divBdr>
        <w:top w:val="none" w:sz="0" w:space="0" w:color="auto"/>
        <w:left w:val="none" w:sz="0" w:space="0" w:color="auto"/>
        <w:bottom w:val="none" w:sz="0" w:space="0" w:color="auto"/>
        <w:right w:val="none" w:sz="0" w:space="0" w:color="auto"/>
      </w:divBdr>
    </w:div>
    <w:div w:id="751510789">
      <w:bodyDiv w:val="1"/>
      <w:marLeft w:val="0"/>
      <w:marRight w:val="0"/>
      <w:marTop w:val="0"/>
      <w:marBottom w:val="0"/>
      <w:divBdr>
        <w:top w:val="none" w:sz="0" w:space="0" w:color="auto"/>
        <w:left w:val="none" w:sz="0" w:space="0" w:color="auto"/>
        <w:bottom w:val="none" w:sz="0" w:space="0" w:color="auto"/>
        <w:right w:val="none" w:sz="0" w:space="0" w:color="auto"/>
      </w:divBdr>
    </w:div>
    <w:div w:id="808091464">
      <w:bodyDiv w:val="1"/>
      <w:marLeft w:val="0"/>
      <w:marRight w:val="0"/>
      <w:marTop w:val="0"/>
      <w:marBottom w:val="0"/>
      <w:divBdr>
        <w:top w:val="none" w:sz="0" w:space="0" w:color="auto"/>
        <w:left w:val="none" w:sz="0" w:space="0" w:color="auto"/>
        <w:bottom w:val="none" w:sz="0" w:space="0" w:color="auto"/>
        <w:right w:val="none" w:sz="0" w:space="0" w:color="auto"/>
      </w:divBdr>
    </w:div>
    <w:div w:id="906889342">
      <w:bodyDiv w:val="1"/>
      <w:marLeft w:val="0"/>
      <w:marRight w:val="0"/>
      <w:marTop w:val="0"/>
      <w:marBottom w:val="0"/>
      <w:divBdr>
        <w:top w:val="none" w:sz="0" w:space="0" w:color="auto"/>
        <w:left w:val="none" w:sz="0" w:space="0" w:color="auto"/>
        <w:bottom w:val="none" w:sz="0" w:space="0" w:color="auto"/>
        <w:right w:val="none" w:sz="0" w:space="0" w:color="auto"/>
      </w:divBdr>
    </w:div>
    <w:div w:id="1094201849">
      <w:bodyDiv w:val="1"/>
      <w:marLeft w:val="0"/>
      <w:marRight w:val="0"/>
      <w:marTop w:val="0"/>
      <w:marBottom w:val="0"/>
      <w:divBdr>
        <w:top w:val="none" w:sz="0" w:space="0" w:color="auto"/>
        <w:left w:val="none" w:sz="0" w:space="0" w:color="auto"/>
        <w:bottom w:val="none" w:sz="0" w:space="0" w:color="auto"/>
        <w:right w:val="none" w:sz="0" w:space="0" w:color="auto"/>
      </w:divBdr>
    </w:div>
    <w:div w:id="1104806812">
      <w:bodyDiv w:val="1"/>
      <w:marLeft w:val="0"/>
      <w:marRight w:val="0"/>
      <w:marTop w:val="0"/>
      <w:marBottom w:val="0"/>
      <w:divBdr>
        <w:top w:val="none" w:sz="0" w:space="0" w:color="auto"/>
        <w:left w:val="none" w:sz="0" w:space="0" w:color="auto"/>
        <w:bottom w:val="none" w:sz="0" w:space="0" w:color="auto"/>
        <w:right w:val="none" w:sz="0" w:space="0" w:color="auto"/>
      </w:divBdr>
    </w:div>
    <w:div w:id="1181968031">
      <w:bodyDiv w:val="1"/>
      <w:marLeft w:val="0"/>
      <w:marRight w:val="0"/>
      <w:marTop w:val="0"/>
      <w:marBottom w:val="0"/>
      <w:divBdr>
        <w:top w:val="none" w:sz="0" w:space="0" w:color="auto"/>
        <w:left w:val="none" w:sz="0" w:space="0" w:color="auto"/>
        <w:bottom w:val="none" w:sz="0" w:space="0" w:color="auto"/>
        <w:right w:val="none" w:sz="0" w:space="0" w:color="auto"/>
      </w:divBdr>
    </w:div>
    <w:div w:id="141134747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9663991">
      <w:bodyDiv w:val="1"/>
      <w:marLeft w:val="0"/>
      <w:marRight w:val="0"/>
      <w:marTop w:val="0"/>
      <w:marBottom w:val="0"/>
      <w:divBdr>
        <w:top w:val="none" w:sz="0" w:space="0" w:color="auto"/>
        <w:left w:val="none" w:sz="0" w:space="0" w:color="auto"/>
        <w:bottom w:val="none" w:sz="0" w:space="0" w:color="auto"/>
        <w:right w:val="none" w:sz="0" w:space="0" w:color="auto"/>
      </w:divBdr>
    </w:div>
    <w:div w:id="153152952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60125224">
      <w:bodyDiv w:val="1"/>
      <w:marLeft w:val="0"/>
      <w:marRight w:val="0"/>
      <w:marTop w:val="0"/>
      <w:marBottom w:val="0"/>
      <w:divBdr>
        <w:top w:val="none" w:sz="0" w:space="0" w:color="auto"/>
        <w:left w:val="none" w:sz="0" w:space="0" w:color="auto"/>
        <w:bottom w:val="none" w:sz="0" w:space="0" w:color="auto"/>
        <w:right w:val="none" w:sz="0" w:space="0" w:color="auto"/>
      </w:divBdr>
    </w:div>
    <w:div w:id="1866870718">
      <w:bodyDiv w:val="1"/>
      <w:marLeft w:val="0"/>
      <w:marRight w:val="0"/>
      <w:marTop w:val="0"/>
      <w:marBottom w:val="0"/>
      <w:divBdr>
        <w:top w:val="none" w:sz="0" w:space="0" w:color="auto"/>
        <w:left w:val="none" w:sz="0" w:space="0" w:color="auto"/>
        <w:bottom w:val="none" w:sz="0" w:space="0" w:color="auto"/>
        <w:right w:val="none" w:sz="0" w:space="0" w:color="auto"/>
      </w:divBdr>
    </w:div>
    <w:div w:id="1975863282">
      <w:bodyDiv w:val="1"/>
      <w:marLeft w:val="0"/>
      <w:marRight w:val="0"/>
      <w:marTop w:val="0"/>
      <w:marBottom w:val="0"/>
      <w:divBdr>
        <w:top w:val="none" w:sz="0" w:space="0" w:color="auto"/>
        <w:left w:val="none" w:sz="0" w:space="0" w:color="auto"/>
        <w:bottom w:val="none" w:sz="0" w:space="0" w:color="auto"/>
        <w:right w:val="none" w:sz="0" w:space="0" w:color="auto"/>
      </w:divBdr>
    </w:div>
    <w:div w:id="20812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www.medpac.gov/docs/default-source/data-book/jun19_databook_entirereport_sec.pdf?sfvrsn=0" TargetMode="External"/><Relationship Id="rId2" Type="http://schemas.openxmlformats.org/officeDocument/2006/relationships/hyperlink" Target="http://www.cms.gov/Medicare/Quality-Initiatives-Patient-Assessment-Instruments/hospital-value-based-purchasing/Downloads/HVBP_Measure_Reliability-.pdf" TargetMode="External"/><Relationship Id="rId1" Type="http://schemas.openxmlformats.org/officeDocument/2006/relationships/hyperlink" Target="https://archive.ahrq.gov/research/findings/final-reports/medicareindicators/index.html" TargetMode="External"/><Relationship Id="rId5" Type="http://schemas.openxmlformats.org/officeDocument/2006/relationships/hyperlink" Target="https://www.cms.gov/Medicare/Health-Plans/MedicareAdvtgSpecRateStats/Downloads/RTC-Dec2018.pdf" TargetMode="External"/><Relationship Id="rId4" Type="http://schemas.openxmlformats.org/officeDocument/2006/relationships/hyperlink" Target="https://www.cms.gov/Medicare/Health-Plans/MedicareAdvtgSpecRateStats/Downloads/RTC-Dec20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1ACD"/>
    <w:rsid w:val="00094BD4"/>
    <w:rsid w:val="00127222"/>
    <w:rsid w:val="001736D7"/>
    <w:rsid w:val="00190AF4"/>
    <w:rsid w:val="001E4A63"/>
    <w:rsid w:val="00223FA3"/>
    <w:rsid w:val="00226AF2"/>
    <w:rsid w:val="00243EF4"/>
    <w:rsid w:val="002A288F"/>
    <w:rsid w:val="002C65A7"/>
    <w:rsid w:val="002F052A"/>
    <w:rsid w:val="0031683E"/>
    <w:rsid w:val="00321B42"/>
    <w:rsid w:val="00343A32"/>
    <w:rsid w:val="00350176"/>
    <w:rsid w:val="003840F0"/>
    <w:rsid w:val="003A27EF"/>
    <w:rsid w:val="003A2A67"/>
    <w:rsid w:val="003B2660"/>
    <w:rsid w:val="003D7918"/>
    <w:rsid w:val="003E5490"/>
    <w:rsid w:val="004240CC"/>
    <w:rsid w:val="00437537"/>
    <w:rsid w:val="00495273"/>
    <w:rsid w:val="004D785E"/>
    <w:rsid w:val="004F249D"/>
    <w:rsid w:val="00513FC9"/>
    <w:rsid w:val="0053654E"/>
    <w:rsid w:val="00550EB4"/>
    <w:rsid w:val="005D770C"/>
    <w:rsid w:val="00610196"/>
    <w:rsid w:val="00632A7E"/>
    <w:rsid w:val="00632AB6"/>
    <w:rsid w:val="006808DA"/>
    <w:rsid w:val="006A6DA3"/>
    <w:rsid w:val="00710961"/>
    <w:rsid w:val="007128D6"/>
    <w:rsid w:val="0072078A"/>
    <w:rsid w:val="00730B33"/>
    <w:rsid w:val="00734340"/>
    <w:rsid w:val="007507C2"/>
    <w:rsid w:val="00755FA2"/>
    <w:rsid w:val="00772B2A"/>
    <w:rsid w:val="007A1AF2"/>
    <w:rsid w:val="007B0694"/>
    <w:rsid w:val="007C672A"/>
    <w:rsid w:val="007D4368"/>
    <w:rsid w:val="00815619"/>
    <w:rsid w:val="00822666"/>
    <w:rsid w:val="00823ECC"/>
    <w:rsid w:val="00826796"/>
    <w:rsid w:val="00866C97"/>
    <w:rsid w:val="008B30DF"/>
    <w:rsid w:val="009017AE"/>
    <w:rsid w:val="00943002"/>
    <w:rsid w:val="00971A46"/>
    <w:rsid w:val="00972B2C"/>
    <w:rsid w:val="009C542D"/>
    <w:rsid w:val="00A01A18"/>
    <w:rsid w:val="00A36E46"/>
    <w:rsid w:val="00A61ABA"/>
    <w:rsid w:val="00A848F5"/>
    <w:rsid w:val="00A95183"/>
    <w:rsid w:val="00AB4AF7"/>
    <w:rsid w:val="00AD33EB"/>
    <w:rsid w:val="00AD7C4F"/>
    <w:rsid w:val="00B443CA"/>
    <w:rsid w:val="00B445F5"/>
    <w:rsid w:val="00BB6B29"/>
    <w:rsid w:val="00BD40CB"/>
    <w:rsid w:val="00C24E7E"/>
    <w:rsid w:val="00C26AEE"/>
    <w:rsid w:val="00C31AC5"/>
    <w:rsid w:val="00C362A2"/>
    <w:rsid w:val="00C74A8B"/>
    <w:rsid w:val="00C80406"/>
    <w:rsid w:val="00C90121"/>
    <w:rsid w:val="00C96E73"/>
    <w:rsid w:val="00CA1FE8"/>
    <w:rsid w:val="00CA344F"/>
    <w:rsid w:val="00CA660C"/>
    <w:rsid w:val="00D1676E"/>
    <w:rsid w:val="00D535B0"/>
    <w:rsid w:val="00D812FC"/>
    <w:rsid w:val="00DB6038"/>
    <w:rsid w:val="00DC0246"/>
    <w:rsid w:val="00DE736C"/>
    <w:rsid w:val="00E03139"/>
    <w:rsid w:val="00E12B8D"/>
    <w:rsid w:val="00E6518A"/>
    <w:rsid w:val="00EE107B"/>
    <w:rsid w:val="00EE4031"/>
    <w:rsid w:val="00F1181E"/>
    <w:rsid w:val="00F540AB"/>
    <w:rsid w:val="00F85817"/>
    <w:rsid w:val="00F85EAF"/>
    <w:rsid w:val="00F915BA"/>
    <w:rsid w:val="00FA337C"/>
    <w:rsid w:val="00FE6629"/>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6B29"/>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documentManagement/type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http://purl.org/dc/elements/1.1/"/>
    <ds:schemaRef ds:uri="836b82f1-340d-495e-85b5-201c5296619a"/>
    <ds:schemaRef ds:uri="http://purl.org/dc/te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DBA1DD72-D524-4BFB-B1E5-279F9CAD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12367</Words>
  <Characters>70495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Nastia Biriuchinskaia</cp:lastModifiedBy>
  <cp:revision>5</cp:revision>
  <dcterms:created xsi:type="dcterms:W3CDTF">2020-04-29T22:02:00Z</dcterms:created>
  <dcterms:modified xsi:type="dcterms:W3CDTF">2020-04-29T22:06:00Z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