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A4F235" w14:textId="77777777" w:rsidR="007A74C2" w:rsidRDefault="00184A5C">
      <w:pPr>
        <w:spacing w:after="0"/>
        <w:ind w:left="45"/>
        <w:jc w:val="center"/>
      </w:pPr>
      <w:bookmarkStart w:id="0" w:name="_Hlk52554026"/>
      <w:r>
        <w:rPr>
          <w:b/>
          <w:sz w:val="24"/>
        </w:rPr>
        <w:t>N</w:t>
      </w:r>
      <w:r>
        <w:rPr>
          <w:b/>
          <w:sz w:val="19"/>
        </w:rPr>
        <w:t xml:space="preserve">ATIONAL </w:t>
      </w:r>
      <w:r>
        <w:rPr>
          <w:b/>
          <w:sz w:val="24"/>
        </w:rPr>
        <w:t>Q</w:t>
      </w:r>
      <w:r>
        <w:rPr>
          <w:b/>
          <w:sz w:val="19"/>
        </w:rPr>
        <w:t xml:space="preserve">UALITY </w:t>
      </w:r>
      <w:r>
        <w:rPr>
          <w:b/>
          <w:sz w:val="24"/>
        </w:rPr>
        <w:t>F</w:t>
      </w:r>
      <w:r>
        <w:rPr>
          <w:b/>
          <w:sz w:val="19"/>
        </w:rPr>
        <w:t>ORUM</w:t>
      </w:r>
      <w:r>
        <w:rPr>
          <w:b/>
          <w:sz w:val="24"/>
        </w:rPr>
        <w:t>—Evidence (</w:t>
      </w:r>
      <w:proofErr w:type="spellStart"/>
      <w:r>
        <w:rPr>
          <w:b/>
          <w:sz w:val="24"/>
        </w:rPr>
        <w:t>subcriterion</w:t>
      </w:r>
      <w:proofErr w:type="spellEnd"/>
      <w:r>
        <w:rPr>
          <w:b/>
          <w:sz w:val="24"/>
        </w:rPr>
        <w:t xml:space="preserve"> 1a)  </w:t>
      </w:r>
    </w:p>
    <w:p w14:paraId="03ECC369" w14:textId="77777777" w:rsidR="007A74C2" w:rsidRDefault="00184A5C">
      <w:pPr>
        <w:spacing w:after="0"/>
        <w:ind w:left="355"/>
      </w:pPr>
      <w:r>
        <w:t xml:space="preserve"> </w:t>
      </w:r>
    </w:p>
    <w:p w14:paraId="2D1132B1" w14:textId="4C99BB2C" w:rsidR="007A74C2" w:rsidRDefault="00184A5C">
      <w:pPr>
        <w:spacing w:after="10" w:line="248" w:lineRule="auto"/>
        <w:ind w:left="350" w:right="2664" w:hanging="10"/>
      </w:pPr>
      <w:r>
        <w:rPr>
          <w:b/>
        </w:rPr>
        <w:t xml:space="preserve">Measure Number </w:t>
      </w:r>
      <w:r>
        <w:t>(</w:t>
      </w:r>
      <w:r>
        <w:rPr>
          <w:i/>
        </w:rPr>
        <w:t>if previously endorsed</w:t>
      </w:r>
      <w:r>
        <w:t>)</w:t>
      </w:r>
      <w:r>
        <w:rPr>
          <w:b/>
        </w:rPr>
        <w:t xml:space="preserve">: </w:t>
      </w:r>
      <w:r>
        <w:rPr>
          <w:color w:val="818181"/>
        </w:rPr>
        <w:t>Click here to enter NQF number</w:t>
      </w:r>
      <w:r>
        <w:rPr>
          <w:b/>
        </w:rPr>
        <w:t xml:space="preserve"> Measure Title</w:t>
      </w:r>
      <w:r>
        <w:t xml:space="preserve">: </w:t>
      </w:r>
      <w:r w:rsidR="00380455">
        <w:rPr>
          <w:rFonts w:eastAsia="Times New Roman" w:cs="Times New Roman"/>
          <w:color w:val="0000FF"/>
        </w:rPr>
        <w:t>P</w:t>
      </w:r>
      <w:r w:rsidR="0036254C" w:rsidRPr="00E73A97">
        <w:rPr>
          <w:rFonts w:eastAsia="Times New Roman" w:cs="Times New Roman"/>
          <w:color w:val="0000FF"/>
        </w:rPr>
        <w:t xml:space="preserve">rescription or administration of pharmacotherapy </w:t>
      </w:r>
      <w:r w:rsidR="00584862">
        <w:rPr>
          <w:rFonts w:eastAsia="Times New Roman" w:cs="Times New Roman"/>
          <w:color w:val="0000FF"/>
        </w:rPr>
        <w:t>to treat</w:t>
      </w:r>
      <w:r w:rsidR="0036254C" w:rsidRPr="00E73A97">
        <w:rPr>
          <w:rFonts w:eastAsia="Times New Roman" w:cs="Times New Roman"/>
          <w:color w:val="0000FF"/>
        </w:rPr>
        <w:t xml:space="preserve"> opioid use disorder (OUD)</w:t>
      </w:r>
    </w:p>
    <w:p w14:paraId="07D275D7" w14:textId="77777777" w:rsidR="007A74C2" w:rsidRDefault="00184A5C">
      <w:pPr>
        <w:spacing w:after="5" w:line="249" w:lineRule="auto"/>
        <w:ind w:left="350" w:right="209" w:hanging="10"/>
      </w:pPr>
      <w:r>
        <w:rPr>
          <w:b/>
        </w:rPr>
        <w:t xml:space="preserve">IF the measure is a component in a composite performance measure, provide the title of the </w:t>
      </w:r>
    </w:p>
    <w:p w14:paraId="2FFF5BCC" w14:textId="01B29909" w:rsidR="007A74C2" w:rsidRDefault="00184A5C">
      <w:pPr>
        <w:spacing w:after="10" w:line="248" w:lineRule="auto"/>
        <w:ind w:left="350" w:right="2664" w:hanging="10"/>
      </w:pPr>
      <w:r>
        <w:rPr>
          <w:b/>
        </w:rPr>
        <w:t>Composite Measure here:</w:t>
      </w:r>
      <w:r>
        <w:t xml:space="preserve"> </w:t>
      </w:r>
      <w:r>
        <w:rPr>
          <w:color w:val="A7A8A8"/>
        </w:rPr>
        <w:t>Click here to enter composite measure #/ title</w:t>
      </w:r>
      <w:r>
        <w:rPr>
          <w:b/>
        </w:rPr>
        <w:t xml:space="preserve"> Date of Submission</w:t>
      </w:r>
      <w:r>
        <w:t>:</w:t>
      </w:r>
      <w:r w:rsidR="0036254C">
        <w:t xml:space="preserve"> </w:t>
      </w:r>
      <w:r w:rsidR="008A7611">
        <w:t>October 29, 2020</w:t>
      </w:r>
    </w:p>
    <w:p w14:paraId="72717EC4" w14:textId="77777777" w:rsidR="007A74C2" w:rsidRDefault="00184A5C">
      <w:pPr>
        <w:spacing w:after="0"/>
        <w:ind w:left="355"/>
      </w:pPr>
      <w:r>
        <w:t xml:space="preserve"> </w:t>
      </w:r>
    </w:p>
    <w:tbl>
      <w:tblPr>
        <w:tblStyle w:val="TableGrid"/>
        <w:tblW w:w="10286" w:type="dxa"/>
        <w:tblInd w:w="-108" w:type="dxa"/>
        <w:tblCellMar>
          <w:top w:w="48" w:type="dxa"/>
          <w:left w:w="108" w:type="dxa"/>
          <w:right w:w="115" w:type="dxa"/>
        </w:tblCellMar>
        <w:tblLook w:val="04A0" w:firstRow="1" w:lastRow="0" w:firstColumn="1" w:lastColumn="0" w:noHBand="0" w:noVBand="1"/>
      </w:tblPr>
      <w:tblGrid>
        <w:gridCol w:w="10286"/>
      </w:tblGrid>
      <w:tr w:rsidR="007A74C2" w14:paraId="21C3029E" w14:textId="77777777">
        <w:trPr>
          <w:trHeight w:val="3305"/>
        </w:trPr>
        <w:tc>
          <w:tcPr>
            <w:tcW w:w="10286" w:type="dxa"/>
            <w:tcBorders>
              <w:top w:val="single" w:sz="4" w:space="0" w:color="000000"/>
              <w:left w:val="single" w:sz="4" w:space="0" w:color="000000"/>
              <w:bottom w:val="single" w:sz="4" w:space="0" w:color="000000"/>
              <w:right w:val="single" w:sz="4" w:space="0" w:color="000000"/>
            </w:tcBorders>
          </w:tcPr>
          <w:p w14:paraId="0719275B" w14:textId="77777777" w:rsidR="007A74C2" w:rsidRDefault="00184A5C">
            <w:pPr>
              <w:spacing w:after="53"/>
            </w:pPr>
            <w:r>
              <w:rPr>
                <w:b/>
              </w:rPr>
              <w:t>Instructions</w:t>
            </w:r>
            <w:r>
              <w:rPr>
                <w:b/>
                <w:i/>
              </w:rPr>
              <w:t xml:space="preserve"> </w:t>
            </w:r>
          </w:p>
          <w:p w14:paraId="6B07952A" w14:textId="77777777" w:rsidR="007A74C2" w:rsidRDefault="00184A5C">
            <w:pPr>
              <w:numPr>
                <w:ilvl w:val="0"/>
                <w:numId w:val="3"/>
              </w:numPr>
              <w:spacing w:after="40"/>
              <w:ind w:hanging="360"/>
            </w:pPr>
            <w:r>
              <w:rPr>
                <w:i/>
              </w:rPr>
              <w:t xml:space="preserve">Complete 1a.1 and 1a.2 for all measures. If instrument-based measure, complete 1a.3. </w:t>
            </w:r>
          </w:p>
          <w:p w14:paraId="1CF2548F" w14:textId="77777777" w:rsidR="007A74C2" w:rsidRDefault="00184A5C">
            <w:pPr>
              <w:numPr>
                <w:ilvl w:val="0"/>
                <w:numId w:val="3"/>
              </w:numPr>
              <w:spacing w:after="40"/>
              <w:ind w:hanging="360"/>
            </w:pPr>
            <w:r>
              <w:rPr>
                <w:i/>
              </w:rPr>
              <w:t xml:space="preserve">Complete </w:t>
            </w:r>
            <w:r>
              <w:rPr>
                <w:b/>
                <w:i/>
              </w:rPr>
              <w:t xml:space="preserve">EITHER 1a.2, 1a.3 or 1a.4 </w:t>
            </w:r>
            <w:r>
              <w:rPr>
                <w:i/>
              </w:rPr>
              <w:t xml:space="preserve">as applicable for the type of measure and evidence. </w:t>
            </w:r>
          </w:p>
          <w:p w14:paraId="17A2C5CC" w14:textId="77777777" w:rsidR="007A74C2" w:rsidRDefault="00184A5C">
            <w:pPr>
              <w:numPr>
                <w:ilvl w:val="0"/>
                <w:numId w:val="3"/>
              </w:numPr>
              <w:spacing w:after="27"/>
              <w:ind w:hanging="360"/>
            </w:pPr>
            <w:r>
              <w:rPr>
                <w:i/>
              </w:rPr>
              <w:t xml:space="preserve">For composite performance measures:   </w:t>
            </w:r>
          </w:p>
          <w:p w14:paraId="5A8AE066" w14:textId="77777777" w:rsidR="007A74C2" w:rsidRDefault="00184A5C">
            <w:pPr>
              <w:numPr>
                <w:ilvl w:val="1"/>
                <w:numId w:val="3"/>
              </w:numPr>
              <w:spacing w:line="319" w:lineRule="auto"/>
              <w:ind w:hanging="360"/>
            </w:pPr>
            <w:r>
              <w:rPr>
                <w:i/>
              </w:rPr>
              <w:t xml:space="preserve">A separate evidence form is required for each component measure unless several components were studied together. </w:t>
            </w:r>
          </w:p>
          <w:p w14:paraId="1CCF993A" w14:textId="77777777" w:rsidR="007A74C2" w:rsidRDefault="00184A5C">
            <w:pPr>
              <w:numPr>
                <w:ilvl w:val="1"/>
                <w:numId w:val="3"/>
              </w:numPr>
              <w:spacing w:line="319" w:lineRule="auto"/>
              <w:ind w:hanging="360"/>
            </w:pPr>
            <w:r>
              <w:rPr>
                <w:i/>
              </w:rPr>
              <w:t xml:space="preserve">If a component measure is submitted as an individual performance measure, attach the evidence form to the individual measure submission. </w:t>
            </w:r>
          </w:p>
          <w:p w14:paraId="6335F653" w14:textId="77777777" w:rsidR="007A74C2" w:rsidRDefault="00184A5C">
            <w:pPr>
              <w:numPr>
                <w:ilvl w:val="0"/>
                <w:numId w:val="3"/>
              </w:numPr>
              <w:spacing w:after="63" w:line="250" w:lineRule="auto"/>
              <w:ind w:hanging="360"/>
            </w:pPr>
            <w:r>
              <w:t xml:space="preserve">All information needed to demonstrate meeting the evidence </w:t>
            </w:r>
            <w:proofErr w:type="spellStart"/>
            <w:r>
              <w:t>subcriterion</w:t>
            </w:r>
            <w:proofErr w:type="spellEnd"/>
            <w:r>
              <w:t xml:space="preserve"> (1a) must be in this form.  An appendix of </w:t>
            </w:r>
            <w:r>
              <w:rPr>
                <w:i/>
              </w:rPr>
              <w:t>supplemental</w:t>
            </w:r>
            <w:r>
              <w:t xml:space="preserve"> materials may be submitted, but there is no guarantee it will be reviewed. </w:t>
            </w:r>
          </w:p>
          <w:p w14:paraId="2837A718" w14:textId="77777777" w:rsidR="007A74C2" w:rsidRDefault="00184A5C">
            <w:pPr>
              <w:numPr>
                <w:ilvl w:val="0"/>
                <w:numId w:val="3"/>
              </w:numPr>
              <w:spacing w:after="40"/>
              <w:ind w:hanging="360"/>
            </w:pPr>
            <w:r>
              <w:t xml:space="preserve">If you are unable to check a box, please highlight or shade the box for your response. </w:t>
            </w:r>
          </w:p>
          <w:p w14:paraId="7A120E7E" w14:textId="77777777" w:rsidR="007A74C2" w:rsidRDefault="00184A5C">
            <w:pPr>
              <w:numPr>
                <w:ilvl w:val="0"/>
                <w:numId w:val="3"/>
              </w:numPr>
              <w:ind w:hanging="360"/>
            </w:pPr>
            <w:r>
              <w:t xml:space="preserve">Contact NQF staff regarding questions. Check for resources at </w:t>
            </w:r>
            <w:hyperlink r:id="rId11">
              <w:r>
                <w:rPr>
                  <w:color w:val="0000FF"/>
                  <w:u w:val="single" w:color="0000FF"/>
                </w:rPr>
                <w:t>Submitting Standards webpage</w:t>
              </w:r>
            </w:hyperlink>
            <w:hyperlink r:id="rId12">
              <w:r>
                <w:t>.</w:t>
              </w:r>
            </w:hyperlink>
            <w:r>
              <w:t xml:space="preserve"> </w:t>
            </w:r>
          </w:p>
        </w:tc>
      </w:tr>
    </w:tbl>
    <w:p w14:paraId="51483134" w14:textId="77777777" w:rsidR="007A74C2" w:rsidRDefault="00184A5C">
      <w:pPr>
        <w:spacing w:after="0"/>
        <w:ind w:left="355"/>
      </w:pPr>
      <w:r>
        <w:t xml:space="preserve"> </w:t>
      </w:r>
    </w:p>
    <w:p w14:paraId="59946E82" w14:textId="77777777" w:rsidR="007A74C2" w:rsidRDefault="00184A5C">
      <w:pPr>
        <w:pBdr>
          <w:top w:val="single" w:sz="4" w:space="0" w:color="000000"/>
          <w:left w:val="single" w:sz="4" w:space="0" w:color="000000"/>
          <w:bottom w:val="single" w:sz="4" w:space="0" w:color="000000"/>
          <w:right w:val="single" w:sz="4" w:space="0" w:color="000000"/>
        </w:pBdr>
        <w:spacing w:after="4" w:line="249" w:lineRule="auto"/>
        <w:ind w:left="-5" w:hanging="10"/>
      </w:pPr>
      <w:r>
        <w:rPr>
          <w:b/>
          <w:sz w:val="20"/>
          <w:u w:val="single" w:color="000000"/>
        </w:rPr>
        <w:t>Note</w:t>
      </w:r>
      <w:r>
        <w:rPr>
          <w:b/>
          <w:sz w:val="20"/>
        </w:rPr>
        <w:t>: The information provided in this form is intended to aid the Standing Committee and other stakeholders in understanding to what degree the evidence for this measure meets NQF’s evaluation criteria.</w:t>
      </w:r>
      <w:r>
        <w:rPr>
          <w:sz w:val="20"/>
        </w:rPr>
        <w:t xml:space="preserve"> </w:t>
      </w:r>
    </w:p>
    <w:p w14:paraId="2E604A2B" w14:textId="77777777" w:rsidR="007A74C2" w:rsidRDefault="00184A5C">
      <w:pPr>
        <w:pBdr>
          <w:top w:val="single" w:sz="4" w:space="0" w:color="000000"/>
          <w:left w:val="single" w:sz="4" w:space="0" w:color="000000"/>
          <w:bottom w:val="single" w:sz="4" w:space="0" w:color="000000"/>
          <w:right w:val="single" w:sz="4" w:space="0" w:color="000000"/>
        </w:pBdr>
        <w:spacing w:after="0"/>
        <w:ind w:left="-15"/>
      </w:pPr>
      <w:r>
        <w:rPr>
          <w:sz w:val="20"/>
        </w:rPr>
        <w:t xml:space="preserve"> </w:t>
      </w:r>
    </w:p>
    <w:p w14:paraId="3F0A1E66" w14:textId="77777777" w:rsidR="007A74C2" w:rsidRDefault="00184A5C">
      <w:pPr>
        <w:pBdr>
          <w:top w:val="single" w:sz="4" w:space="0" w:color="000000"/>
          <w:left w:val="single" w:sz="4" w:space="0" w:color="000000"/>
          <w:bottom w:val="single" w:sz="4" w:space="0" w:color="000000"/>
          <w:right w:val="single" w:sz="4" w:space="0" w:color="000000"/>
        </w:pBdr>
        <w:spacing w:after="4" w:line="249" w:lineRule="auto"/>
        <w:ind w:left="-5" w:hanging="10"/>
      </w:pPr>
      <w:r>
        <w:rPr>
          <w:b/>
          <w:sz w:val="20"/>
        </w:rPr>
        <w:t xml:space="preserve">1a. Evidence to Support the Measure Focus   </w:t>
      </w:r>
    </w:p>
    <w:p w14:paraId="023D138A" w14:textId="77777777" w:rsidR="007A74C2" w:rsidRDefault="00184A5C">
      <w:pPr>
        <w:pBdr>
          <w:top w:val="single" w:sz="4" w:space="0" w:color="000000"/>
          <w:left w:val="single" w:sz="4" w:space="0" w:color="000000"/>
          <w:bottom w:val="single" w:sz="4" w:space="0" w:color="000000"/>
          <w:right w:val="single" w:sz="4" w:space="0" w:color="000000"/>
        </w:pBdr>
        <w:spacing w:after="50" w:line="247" w:lineRule="auto"/>
        <w:ind w:left="-15"/>
      </w:pPr>
      <w:r>
        <w:rPr>
          <w:sz w:val="20"/>
        </w:rPr>
        <w:t xml:space="preserve">The measure focus is evidence-based, demonstrated as follows:  </w:t>
      </w:r>
    </w:p>
    <w:p w14:paraId="7C23387F" w14:textId="77777777" w:rsidR="007A74C2" w:rsidRDefault="00184A5C">
      <w:pPr>
        <w:numPr>
          <w:ilvl w:val="0"/>
          <w:numId w:val="1"/>
        </w:numPr>
        <w:pBdr>
          <w:top w:val="single" w:sz="4" w:space="0" w:color="000000"/>
          <w:left w:val="single" w:sz="4" w:space="0" w:color="000000"/>
          <w:bottom w:val="single" w:sz="4" w:space="0" w:color="000000"/>
          <w:right w:val="single" w:sz="4" w:space="0" w:color="000000"/>
        </w:pBdr>
        <w:spacing w:after="61" w:line="247" w:lineRule="auto"/>
        <w:ind w:left="201" w:hanging="216"/>
      </w:pPr>
      <w:r>
        <w:rPr>
          <w:sz w:val="20"/>
          <w:u w:val="single" w:color="000000"/>
        </w:rPr>
        <w:t>Outcome</w:t>
      </w:r>
      <w:r>
        <w:rPr>
          <w:color w:val="0000FF"/>
          <w:sz w:val="20"/>
        </w:rPr>
        <w:t xml:space="preserve">: </w:t>
      </w:r>
      <w:r>
        <w:rPr>
          <w:b/>
          <w:color w:val="0000FF"/>
          <w:sz w:val="20"/>
          <w:u w:val="single" w:color="0000FF"/>
          <w:vertAlign w:val="superscript"/>
        </w:rPr>
        <w:t>3</w:t>
      </w:r>
      <w:r>
        <w:rPr>
          <w:color w:val="0000FF"/>
          <w:sz w:val="20"/>
        </w:rPr>
        <w:t xml:space="preserve"> </w:t>
      </w:r>
      <w:r>
        <w:rPr>
          <w:sz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6E3B5626" w14:textId="77777777" w:rsidR="007A74C2" w:rsidRDefault="00184A5C">
      <w:pPr>
        <w:numPr>
          <w:ilvl w:val="0"/>
          <w:numId w:val="1"/>
        </w:numPr>
        <w:pBdr>
          <w:top w:val="single" w:sz="4" w:space="0" w:color="000000"/>
          <w:left w:val="single" w:sz="4" w:space="0" w:color="000000"/>
          <w:bottom w:val="single" w:sz="4" w:space="0" w:color="000000"/>
          <w:right w:val="single" w:sz="4" w:space="0" w:color="000000"/>
        </w:pBdr>
        <w:spacing w:after="84" w:line="247" w:lineRule="auto"/>
        <w:ind w:left="201" w:hanging="216"/>
      </w:pPr>
      <w:r>
        <w:rPr>
          <w:sz w:val="20"/>
          <w:u w:val="single" w:color="000000"/>
        </w:rPr>
        <w:t>Intermediate clinical outcome</w:t>
      </w:r>
      <w:r>
        <w:rPr>
          <w:sz w:val="20"/>
        </w:rPr>
        <w:t xml:space="preserve">: a systematic assessment and grading of the quantity, quality, and consistency of the body of evidence </w:t>
      </w:r>
      <w:r>
        <w:rPr>
          <w:b/>
          <w:color w:val="0000FF"/>
          <w:sz w:val="20"/>
          <w:u w:val="single" w:color="0000FF"/>
          <w:vertAlign w:val="superscript"/>
        </w:rPr>
        <w:t>4</w:t>
      </w:r>
      <w:r>
        <w:rPr>
          <w:b/>
          <w:sz w:val="20"/>
          <w:vertAlign w:val="superscript"/>
        </w:rPr>
        <w:t xml:space="preserve"> </w:t>
      </w:r>
      <w:r>
        <w:rPr>
          <w:sz w:val="20"/>
        </w:rPr>
        <w:t xml:space="preserve">that the measured intermediate clinical outcome leads to a desired health outcome. </w:t>
      </w:r>
    </w:p>
    <w:p w14:paraId="7564E3DE" w14:textId="77777777" w:rsidR="007A74C2" w:rsidRDefault="00184A5C">
      <w:pPr>
        <w:numPr>
          <w:ilvl w:val="0"/>
          <w:numId w:val="1"/>
        </w:numPr>
        <w:pBdr>
          <w:top w:val="single" w:sz="4" w:space="0" w:color="000000"/>
          <w:left w:val="single" w:sz="4" w:space="0" w:color="000000"/>
          <w:bottom w:val="single" w:sz="4" w:space="0" w:color="000000"/>
          <w:right w:val="single" w:sz="4" w:space="0" w:color="000000"/>
        </w:pBdr>
        <w:spacing w:after="40" w:line="247" w:lineRule="auto"/>
        <w:ind w:left="201" w:hanging="216"/>
      </w:pPr>
      <w:r>
        <w:rPr>
          <w:sz w:val="20"/>
          <w:u w:val="single" w:color="000000"/>
        </w:rPr>
        <w:t>Process</w:t>
      </w:r>
      <w:r>
        <w:rPr>
          <w:sz w:val="20"/>
        </w:rPr>
        <w:t xml:space="preserve">: </w:t>
      </w:r>
      <w:r>
        <w:rPr>
          <w:b/>
          <w:color w:val="0000FF"/>
          <w:sz w:val="20"/>
          <w:u w:val="single" w:color="0000FF"/>
          <w:vertAlign w:val="superscript"/>
        </w:rPr>
        <w:t>5</w:t>
      </w:r>
      <w:r>
        <w:rPr>
          <w:sz w:val="20"/>
        </w:rPr>
        <w:t xml:space="preserve"> a systematic assessment and grading of the quantity, quality, and consistency of the body of evidence </w:t>
      </w:r>
      <w:r>
        <w:rPr>
          <w:b/>
          <w:color w:val="0000FF"/>
          <w:sz w:val="20"/>
          <w:u w:val="single" w:color="0000FF"/>
          <w:vertAlign w:val="superscript"/>
        </w:rPr>
        <w:t>4</w:t>
      </w:r>
      <w:r>
        <w:rPr>
          <w:sz w:val="20"/>
        </w:rPr>
        <w:t xml:space="preserve"> that the measured process leads to a desired health outcome. </w:t>
      </w:r>
    </w:p>
    <w:p w14:paraId="3A86A36D" w14:textId="77777777" w:rsidR="007A74C2" w:rsidRDefault="00184A5C">
      <w:pPr>
        <w:numPr>
          <w:ilvl w:val="0"/>
          <w:numId w:val="1"/>
        </w:numPr>
        <w:pBdr>
          <w:top w:val="single" w:sz="4" w:space="0" w:color="000000"/>
          <w:left w:val="single" w:sz="4" w:space="0" w:color="000000"/>
          <w:bottom w:val="single" w:sz="4" w:space="0" w:color="000000"/>
          <w:right w:val="single" w:sz="4" w:space="0" w:color="000000"/>
        </w:pBdr>
        <w:spacing w:after="47" w:line="247" w:lineRule="auto"/>
        <w:ind w:left="201" w:hanging="216"/>
      </w:pPr>
      <w:r>
        <w:rPr>
          <w:sz w:val="20"/>
          <w:u w:val="single" w:color="000000"/>
        </w:rPr>
        <w:t>Structure</w:t>
      </w:r>
      <w:r>
        <w:rPr>
          <w:sz w:val="20"/>
        </w:rPr>
        <w:t xml:space="preserve">: a systematic assessment and grading of the quantity, quality, and consistency of the body of evidence </w:t>
      </w:r>
      <w:r>
        <w:rPr>
          <w:b/>
          <w:color w:val="0000FF"/>
          <w:sz w:val="20"/>
          <w:u w:val="single" w:color="0000FF"/>
          <w:vertAlign w:val="superscript"/>
        </w:rPr>
        <w:t>4</w:t>
      </w:r>
      <w:r>
        <w:rPr>
          <w:b/>
          <w:sz w:val="20"/>
          <w:vertAlign w:val="superscript"/>
        </w:rPr>
        <w:t xml:space="preserve"> </w:t>
      </w:r>
      <w:r>
        <w:rPr>
          <w:sz w:val="20"/>
        </w:rPr>
        <w:t xml:space="preserve"> that the measured structure leads to a desired health outcome. </w:t>
      </w:r>
    </w:p>
    <w:p w14:paraId="5A38561A" w14:textId="77777777" w:rsidR="007A74C2" w:rsidRDefault="00184A5C">
      <w:pPr>
        <w:numPr>
          <w:ilvl w:val="0"/>
          <w:numId w:val="1"/>
        </w:numPr>
        <w:pBdr>
          <w:top w:val="single" w:sz="4" w:space="0" w:color="000000"/>
          <w:left w:val="single" w:sz="4" w:space="0" w:color="000000"/>
          <w:bottom w:val="single" w:sz="4" w:space="0" w:color="000000"/>
          <w:right w:val="single" w:sz="4" w:space="0" w:color="000000"/>
        </w:pBdr>
        <w:spacing w:after="58" w:line="247" w:lineRule="auto"/>
        <w:ind w:left="201" w:hanging="216"/>
      </w:pPr>
      <w:r>
        <w:rPr>
          <w:sz w:val="20"/>
          <w:u w:val="single" w:color="000000"/>
        </w:rPr>
        <w:t>Efficiency</w:t>
      </w:r>
      <w:r>
        <w:rPr>
          <w:sz w:val="20"/>
        </w:rPr>
        <w:t xml:space="preserve">: </w:t>
      </w:r>
      <w:r>
        <w:rPr>
          <w:b/>
          <w:color w:val="0000FF"/>
          <w:sz w:val="20"/>
          <w:u w:val="single" w:color="0000FF"/>
          <w:vertAlign w:val="superscript"/>
        </w:rPr>
        <w:t>6</w:t>
      </w:r>
      <w:r>
        <w:rPr>
          <w:sz w:val="20"/>
        </w:rPr>
        <w:t xml:space="preserve"> evidence not required for the resource use component.  </w:t>
      </w:r>
    </w:p>
    <w:p w14:paraId="3E4C048E" w14:textId="77777777" w:rsidR="007A74C2" w:rsidRDefault="00184A5C">
      <w:pPr>
        <w:numPr>
          <w:ilvl w:val="0"/>
          <w:numId w:val="1"/>
        </w:numPr>
        <w:pBdr>
          <w:top w:val="single" w:sz="4" w:space="0" w:color="000000"/>
          <w:left w:val="single" w:sz="4" w:space="0" w:color="000000"/>
          <w:bottom w:val="single" w:sz="4" w:space="0" w:color="000000"/>
          <w:right w:val="single" w:sz="4" w:space="0" w:color="000000"/>
        </w:pBdr>
        <w:spacing w:after="60" w:line="247" w:lineRule="auto"/>
        <w:ind w:left="201" w:hanging="216"/>
      </w:pPr>
      <w:r>
        <w:rPr>
          <w:sz w:val="20"/>
        </w:rPr>
        <w:t xml:space="preserve">For measures derived from </w:t>
      </w:r>
      <w:r>
        <w:rPr>
          <w:sz w:val="20"/>
          <w:u w:val="single" w:color="000000"/>
        </w:rPr>
        <w:t>patient reports</w:t>
      </w:r>
      <w:r>
        <w:rPr>
          <w:sz w:val="20"/>
        </w:rPr>
        <w:t xml:space="preserve">, evidence should demonstrate that the target population values the measured outcome, process, or structure and finds it meaningful. </w:t>
      </w:r>
    </w:p>
    <w:p w14:paraId="05577EA7" w14:textId="77777777" w:rsidR="007A74C2" w:rsidRDefault="00184A5C">
      <w:pPr>
        <w:numPr>
          <w:ilvl w:val="0"/>
          <w:numId w:val="1"/>
        </w:numPr>
        <w:pBdr>
          <w:top w:val="single" w:sz="4" w:space="0" w:color="000000"/>
          <w:left w:val="single" w:sz="4" w:space="0" w:color="000000"/>
          <w:bottom w:val="single" w:sz="4" w:space="0" w:color="000000"/>
          <w:right w:val="single" w:sz="4" w:space="0" w:color="000000"/>
        </w:pBdr>
        <w:spacing w:after="3" w:line="247" w:lineRule="auto"/>
        <w:ind w:left="201" w:hanging="216"/>
      </w:pPr>
      <w:r>
        <w:rPr>
          <w:sz w:val="20"/>
          <w:u w:val="single" w:color="000000"/>
        </w:rPr>
        <w:t>Process measures incorporating Appropriate Use Criteria:</w:t>
      </w:r>
      <w:r>
        <w:rPr>
          <w:sz w:val="20"/>
        </w:rPr>
        <w:t xml:space="preserve"> See NQF’s guidance for evidence for measures, in general; guidance for measures specifically based on clinical practice guidelines apply as well.  </w:t>
      </w:r>
    </w:p>
    <w:p w14:paraId="08A26F97" w14:textId="77777777" w:rsidR="007A74C2" w:rsidRDefault="00184A5C">
      <w:pPr>
        <w:pBdr>
          <w:top w:val="single" w:sz="4" w:space="0" w:color="000000"/>
          <w:left w:val="single" w:sz="4" w:space="0" w:color="000000"/>
          <w:bottom w:val="single" w:sz="4" w:space="0" w:color="000000"/>
          <w:right w:val="single" w:sz="4" w:space="0" w:color="000000"/>
        </w:pBdr>
        <w:spacing w:after="3"/>
        <w:ind w:left="-15"/>
      </w:pPr>
      <w:r>
        <w:rPr>
          <w:b/>
          <w:sz w:val="18"/>
        </w:rPr>
        <w:t xml:space="preserve"> </w:t>
      </w:r>
    </w:p>
    <w:p w14:paraId="5A9F99B1" w14:textId="77777777" w:rsidR="007A74C2" w:rsidRDefault="00184A5C">
      <w:pPr>
        <w:pBdr>
          <w:top w:val="single" w:sz="4" w:space="0" w:color="000000"/>
          <w:left w:val="single" w:sz="4" w:space="0" w:color="000000"/>
          <w:bottom w:val="single" w:sz="4" w:space="0" w:color="000000"/>
          <w:right w:val="single" w:sz="4" w:space="0" w:color="000000"/>
        </w:pBdr>
        <w:spacing w:after="4" w:line="249" w:lineRule="auto"/>
        <w:ind w:left="-5" w:hanging="10"/>
      </w:pPr>
      <w:r>
        <w:rPr>
          <w:b/>
          <w:sz w:val="20"/>
        </w:rPr>
        <w:t xml:space="preserve">Notes </w:t>
      </w:r>
    </w:p>
    <w:p w14:paraId="37D81117" w14:textId="77777777" w:rsidR="007A74C2" w:rsidRDefault="00184A5C">
      <w:pPr>
        <w:numPr>
          <w:ilvl w:val="0"/>
          <w:numId w:val="2"/>
        </w:numPr>
        <w:pBdr>
          <w:top w:val="single" w:sz="4" w:space="0" w:color="000000"/>
          <w:left w:val="single" w:sz="4" w:space="0" w:color="000000"/>
          <w:bottom w:val="single" w:sz="4" w:space="0" w:color="000000"/>
          <w:right w:val="single" w:sz="4" w:space="0" w:color="000000"/>
        </w:pBdr>
        <w:spacing w:after="3" w:line="247" w:lineRule="auto"/>
        <w:ind w:left="-15"/>
      </w:pPr>
      <w:r>
        <w:rPr>
          <w:sz w:val="20"/>
        </w:rPr>
        <w:lastRenderedPageBreak/>
        <w:t xml:space="preserve">Generally, rare event outcomes do not provide adequate information for improvement or discrimination; however, serious reportable events that are compared to zero are appropriate outcomes for public reporting and quality improvement.            </w:t>
      </w:r>
    </w:p>
    <w:p w14:paraId="77146782" w14:textId="77777777" w:rsidR="007A74C2" w:rsidRDefault="00184A5C">
      <w:pPr>
        <w:numPr>
          <w:ilvl w:val="0"/>
          <w:numId w:val="2"/>
        </w:numPr>
        <w:pBdr>
          <w:top w:val="single" w:sz="4" w:space="0" w:color="000000"/>
          <w:left w:val="single" w:sz="4" w:space="0" w:color="000000"/>
          <w:bottom w:val="single" w:sz="4" w:space="0" w:color="000000"/>
          <w:right w:val="single" w:sz="4" w:space="0" w:color="000000"/>
        </w:pBdr>
        <w:spacing w:after="3" w:line="247" w:lineRule="auto"/>
        <w:ind w:left="-15"/>
      </w:pPr>
      <w:r>
        <w:rPr>
          <w:sz w:val="20"/>
        </w:rPr>
        <w:t xml:space="preserve">The preferred systems for grading the evidence are the Grading of Recommendations, Assessment, Development and Evaluation </w:t>
      </w:r>
      <w:hyperlink r:id="rId13">
        <w:r>
          <w:rPr>
            <w:color w:val="0000FF"/>
            <w:sz w:val="20"/>
            <w:u w:val="single" w:color="0000FF"/>
          </w:rPr>
          <w:t>(GRADE) guidelines</w:t>
        </w:r>
      </w:hyperlink>
      <w:hyperlink r:id="rId14">
        <w:r>
          <w:rPr>
            <w:sz w:val="20"/>
          </w:rPr>
          <w:t xml:space="preserve"> a</w:t>
        </w:r>
      </w:hyperlink>
      <w:r>
        <w:rPr>
          <w:sz w:val="20"/>
        </w:rPr>
        <w:t xml:space="preserve">nd/or modified GRADE. </w:t>
      </w:r>
    </w:p>
    <w:p w14:paraId="64D3E35B" w14:textId="77777777" w:rsidR="007A74C2" w:rsidRDefault="00184A5C">
      <w:pPr>
        <w:numPr>
          <w:ilvl w:val="0"/>
          <w:numId w:val="2"/>
        </w:numPr>
        <w:pBdr>
          <w:top w:val="single" w:sz="4" w:space="0" w:color="000000"/>
          <w:left w:val="single" w:sz="4" w:space="0" w:color="000000"/>
          <w:bottom w:val="single" w:sz="4" w:space="0" w:color="000000"/>
          <w:right w:val="single" w:sz="4" w:space="0" w:color="000000"/>
        </w:pBdr>
        <w:spacing w:after="3" w:line="247" w:lineRule="auto"/>
        <w:ind w:left="-15"/>
      </w:pPr>
      <w:r>
        <w:rPr>
          <w:sz w:val="20"/>
        </w:rPr>
        <w:t xml:space="preserve">Clinical care processes typically include multiple steps: assess </w:t>
      </w:r>
      <w:r>
        <w:rPr>
          <w:rFonts w:ascii="Segoe UI Symbol" w:eastAsia="Segoe UI Symbol" w:hAnsi="Segoe UI Symbol" w:cs="Segoe UI Symbol"/>
          <w:sz w:val="20"/>
        </w:rPr>
        <w:t>→</w:t>
      </w:r>
      <w:r>
        <w:rPr>
          <w:sz w:val="20"/>
        </w:rPr>
        <w:t xml:space="preserve"> identify problem/potential problem </w:t>
      </w:r>
      <w:r>
        <w:rPr>
          <w:rFonts w:ascii="Segoe UI Symbol" w:eastAsia="Segoe UI Symbol" w:hAnsi="Segoe UI Symbol" w:cs="Segoe UI Symbol"/>
          <w:sz w:val="20"/>
        </w:rPr>
        <w:t>→</w:t>
      </w:r>
      <w:r>
        <w:rPr>
          <w:sz w:val="20"/>
        </w:rPr>
        <w:t xml:space="preserve"> choose/plan intervention (with patient input) </w:t>
      </w:r>
      <w:r>
        <w:rPr>
          <w:rFonts w:ascii="Segoe UI Symbol" w:eastAsia="Segoe UI Symbol" w:hAnsi="Segoe UI Symbol" w:cs="Segoe UI Symbol"/>
          <w:sz w:val="20"/>
        </w:rPr>
        <w:t>→</w:t>
      </w:r>
      <w:r>
        <w:rPr>
          <w:sz w:val="20"/>
        </w:rPr>
        <w:t xml:space="preserve"> provide intervention </w:t>
      </w:r>
      <w:r>
        <w:rPr>
          <w:rFonts w:ascii="Segoe UI Symbol" w:eastAsia="Segoe UI Symbol" w:hAnsi="Segoe UI Symbol" w:cs="Segoe UI Symbol"/>
          <w:sz w:val="20"/>
        </w:rPr>
        <w:t>→</w:t>
      </w:r>
      <w:r>
        <w:rPr>
          <w:sz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 </w:t>
      </w:r>
    </w:p>
    <w:p w14:paraId="2FC60116" w14:textId="77777777" w:rsidR="007A74C2" w:rsidRDefault="00184A5C">
      <w:pPr>
        <w:numPr>
          <w:ilvl w:val="0"/>
          <w:numId w:val="2"/>
        </w:numPr>
        <w:pBdr>
          <w:top w:val="single" w:sz="4" w:space="0" w:color="000000"/>
          <w:left w:val="single" w:sz="4" w:space="0" w:color="000000"/>
          <w:bottom w:val="single" w:sz="4" w:space="0" w:color="000000"/>
          <w:right w:val="single" w:sz="4" w:space="0" w:color="000000"/>
        </w:pBdr>
        <w:spacing w:after="16" w:line="232" w:lineRule="auto"/>
      </w:pPr>
      <w:r>
        <w:rPr>
          <w:sz w:val="20"/>
        </w:rPr>
        <w:t xml:space="preserve">Measures of efficiency combine the concepts of resource use </w:t>
      </w:r>
      <w:r>
        <w:rPr>
          <w:sz w:val="20"/>
          <w:u w:val="single" w:color="000000"/>
        </w:rPr>
        <w:t>and</w:t>
      </w:r>
      <w:r>
        <w:rPr>
          <w:sz w:val="20"/>
        </w:rPr>
        <w:t xml:space="preserve"> quality (see NQF’s </w:t>
      </w:r>
      <w:hyperlink r:id="rId15">
        <w:r>
          <w:rPr>
            <w:color w:val="0000FF"/>
            <w:sz w:val="20"/>
            <w:u w:val="single" w:color="0000FF"/>
          </w:rPr>
          <w:t>Measurement Framework:</w:t>
        </w:r>
      </w:hyperlink>
      <w:hyperlink r:id="rId16">
        <w:r>
          <w:rPr>
            <w:color w:val="0000FF"/>
            <w:sz w:val="20"/>
          </w:rPr>
          <w:t xml:space="preserve"> </w:t>
        </w:r>
      </w:hyperlink>
      <w:hyperlink r:id="rId17">
        <w:r>
          <w:rPr>
            <w:color w:val="0000FF"/>
            <w:sz w:val="20"/>
            <w:u w:val="single" w:color="0000FF"/>
          </w:rPr>
          <w:t>Evaluating Efficiency Across Episodes of Care</w:t>
        </w:r>
      </w:hyperlink>
      <w:hyperlink r:id="rId18">
        <w:r>
          <w:rPr>
            <w:sz w:val="20"/>
          </w:rPr>
          <w:t>;</w:t>
        </w:r>
      </w:hyperlink>
      <w:hyperlink r:id="rId19">
        <w:r>
          <w:rPr>
            <w:sz w:val="20"/>
          </w:rPr>
          <w:t xml:space="preserve"> </w:t>
        </w:r>
      </w:hyperlink>
      <w:hyperlink r:id="rId20">
        <w:r>
          <w:rPr>
            <w:color w:val="0000FF"/>
            <w:sz w:val="20"/>
            <w:u w:val="single" w:color="0000FF"/>
          </w:rPr>
          <w:t>AQA Principles of Efficiency Measures</w:t>
        </w:r>
      </w:hyperlink>
      <w:hyperlink r:id="rId21">
        <w:r>
          <w:rPr>
            <w:sz w:val="20"/>
          </w:rPr>
          <w:t>)</w:t>
        </w:r>
      </w:hyperlink>
      <w:r>
        <w:rPr>
          <w:sz w:val="20"/>
        </w:rPr>
        <w:t>.</w:t>
      </w:r>
      <w:r>
        <w:t xml:space="preserve"> </w:t>
      </w:r>
    </w:p>
    <w:p w14:paraId="5A247977" w14:textId="77777777" w:rsidR="007A74C2" w:rsidRDefault="00184A5C">
      <w:pPr>
        <w:spacing w:after="0"/>
        <w:ind w:left="355"/>
      </w:pPr>
      <w:r>
        <w:rPr>
          <w:b/>
        </w:rPr>
        <w:t xml:space="preserve"> </w:t>
      </w:r>
    </w:p>
    <w:p w14:paraId="4454A737" w14:textId="77777777" w:rsidR="007A74C2" w:rsidRDefault="00184A5C">
      <w:pPr>
        <w:spacing w:after="23" w:line="249" w:lineRule="auto"/>
        <w:ind w:left="351" w:right="1092" w:hanging="10"/>
      </w:pPr>
      <w:r>
        <w:rPr>
          <w:b/>
        </w:rPr>
        <w:t>1a.1.This is a measure of</w:t>
      </w:r>
      <w:r>
        <w:t>: (</w:t>
      </w:r>
      <w:r>
        <w:rPr>
          <w:i/>
        </w:rPr>
        <w:t>should be consistent with type of measure entered in De.1</w:t>
      </w:r>
      <w:r>
        <w:t xml:space="preserve">) </w:t>
      </w:r>
      <w:r>
        <w:rPr>
          <w:i/>
        </w:rPr>
        <w:t xml:space="preserve"> </w:t>
      </w:r>
      <w:r>
        <w:t xml:space="preserve">Outcome </w:t>
      </w:r>
    </w:p>
    <w:p w14:paraId="7E9FD2C7" w14:textId="77777777" w:rsidR="007A74C2" w:rsidRDefault="00184A5C">
      <w:pPr>
        <w:spacing w:after="4" w:line="249" w:lineRule="auto"/>
        <w:ind w:left="350" w:right="229" w:hanging="10"/>
      </w:pPr>
      <w:r>
        <w:rPr>
          <w:rFonts w:ascii="MS Gothic" w:eastAsia="MS Gothic" w:hAnsi="MS Gothic" w:cs="MS Gothic"/>
          <w:color w:val="0000FF"/>
        </w:rPr>
        <w:t>☐</w:t>
      </w:r>
      <w:r>
        <w:t xml:space="preserve"> Outcome: Click here to name the health outcome </w:t>
      </w:r>
    </w:p>
    <w:p w14:paraId="5466086A" w14:textId="77777777" w:rsidR="007A74C2" w:rsidRDefault="00184A5C">
      <w:pPr>
        <w:spacing w:after="4" w:line="249" w:lineRule="auto"/>
        <w:ind w:left="797" w:right="229" w:hanging="10"/>
      </w:pPr>
      <w:r>
        <w:rPr>
          <w:rFonts w:ascii="MS Gothic" w:eastAsia="MS Gothic" w:hAnsi="MS Gothic" w:cs="MS Gothic"/>
          <w:color w:val="0000FF"/>
        </w:rPr>
        <w:t>☐</w:t>
      </w:r>
      <w:r>
        <w:t xml:space="preserve">Patient-reported outcome (PRO): </w:t>
      </w:r>
      <w:r>
        <w:rPr>
          <w:color w:val="A7A8A8"/>
        </w:rPr>
        <w:t>Click here to name the PRO</w:t>
      </w:r>
      <w:r>
        <w:rPr>
          <w:b/>
        </w:rPr>
        <w:t xml:space="preserve"> </w:t>
      </w:r>
    </w:p>
    <w:p w14:paraId="695DA88A" w14:textId="77777777" w:rsidR="007A74C2" w:rsidRDefault="00184A5C">
      <w:pPr>
        <w:spacing w:after="23" w:line="249" w:lineRule="auto"/>
        <w:ind w:left="1085" w:right="125" w:hanging="10"/>
      </w:pPr>
      <w:r>
        <w:rPr>
          <w:i/>
        </w:rPr>
        <w:t xml:space="preserve">PROs include </w:t>
      </w:r>
      <w:proofErr w:type="spellStart"/>
      <w:r>
        <w:rPr>
          <w:i/>
        </w:rPr>
        <w:t>HRQoL</w:t>
      </w:r>
      <w:proofErr w:type="spellEnd"/>
      <w:r>
        <w:rPr>
          <w:i/>
        </w:rPr>
        <w:t xml:space="preserve">/functional status, symptom/symptom burden, experience with care, </w:t>
      </w:r>
      <w:proofErr w:type="spellStart"/>
      <w:r>
        <w:rPr>
          <w:i/>
        </w:rPr>
        <w:t>healthrelated</w:t>
      </w:r>
      <w:proofErr w:type="spellEnd"/>
      <w:r>
        <w:rPr>
          <w:i/>
        </w:rPr>
        <w:t xml:space="preserve"> behaviors.</w:t>
      </w:r>
      <w:r>
        <w:rPr>
          <w:sz w:val="20"/>
        </w:rPr>
        <w:t xml:space="preserve"> </w:t>
      </w:r>
      <w:r>
        <w:t>(</w:t>
      </w:r>
      <w:r>
        <w:rPr>
          <w:i/>
        </w:rPr>
        <w:t xml:space="preserve">A PRO-based performance measure is not a survey instrument. Data may be collected using a survey instrument to construct a PRO measure.) </w:t>
      </w:r>
    </w:p>
    <w:p w14:paraId="4917B4C3" w14:textId="77777777" w:rsidR="007A74C2" w:rsidRDefault="00184A5C">
      <w:pPr>
        <w:spacing w:after="10" w:line="248" w:lineRule="auto"/>
        <w:ind w:left="350" w:hanging="10"/>
      </w:pPr>
      <w:r>
        <w:rPr>
          <w:rFonts w:ascii="Segoe UI Symbol" w:eastAsia="Segoe UI Symbol" w:hAnsi="Segoe UI Symbol" w:cs="Segoe UI Symbol"/>
          <w:color w:val="0000FF"/>
        </w:rPr>
        <w:t>☐</w:t>
      </w:r>
      <w:r>
        <w:rPr>
          <w:color w:val="0000FF"/>
        </w:rPr>
        <w:t xml:space="preserve"> </w:t>
      </w:r>
      <w:r>
        <w:t>Intermediate clinical outcome (</w:t>
      </w:r>
      <w:r>
        <w:rPr>
          <w:i/>
        </w:rPr>
        <w:t>e.g., lab value</w:t>
      </w:r>
      <w:r>
        <w:t xml:space="preserve">):  </w:t>
      </w:r>
      <w:r>
        <w:rPr>
          <w:color w:val="A7A8A8"/>
        </w:rPr>
        <w:t>Click here to name the intermediate outcome</w:t>
      </w:r>
      <w:r>
        <w:t xml:space="preserve"> </w:t>
      </w:r>
    </w:p>
    <w:p w14:paraId="2D7E75A2" w14:textId="23CB7EDE" w:rsidR="007A74C2" w:rsidRDefault="00184A5C">
      <w:pPr>
        <w:spacing w:after="10" w:line="248" w:lineRule="auto"/>
        <w:ind w:left="350" w:right="2664" w:hanging="10"/>
      </w:pPr>
      <w:r w:rsidRPr="0036254C">
        <w:rPr>
          <w:rFonts w:ascii="MS Gothic" w:eastAsia="MS Gothic" w:hAnsi="MS Gothic" w:cs="MS Gothic"/>
          <w:color w:val="0000FF"/>
          <w:highlight w:val="cyan"/>
        </w:rPr>
        <w:t>☐</w:t>
      </w:r>
      <w:r>
        <w:t xml:space="preserve"> Process: </w:t>
      </w:r>
      <w:sdt>
        <w:sdtPr>
          <w:rPr>
            <w:rStyle w:val="Style2"/>
            <w:rFonts w:cstheme="minorHAnsi"/>
          </w:rPr>
          <w:id w:val="-247648753"/>
        </w:sdtPr>
        <w:sdtEndPr>
          <w:rPr>
            <w:rStyle w:val="Style2"/>
          </w:rPr>
        </w:sdtEndPr>
        <w:sdtContent>
          <w:sdt>
            <w:sdtPr>
              <w:rPr>
                <w:rStyle w:val="Style2"/>
                <w:rFonts w:cstheme="minorHAnsi"/>
                <w:u w:val="none"/>
              </w:rPr>
              <w:id w:val="-248110174"/>
            </w:sdtPr>
            <w:sdtEndPr>
              <w:rPr>
                <w:rStyle w:val="Style2"/>
              </w:rPr>
            </w:sdtEndPr>
            <w:sdtContent>
              <w:r w:rsidR="0036254C" w:rsidRPr="0036254C">
                <w:rPr>
                  <w:rStyle w:val="Style2"/>
                  <w:rFonts w:cstheme="minorHAnsi"/>
                  <w:u w:val="none"/>
                </w:rPr>
                <w:t>Use of pharmacotherapy for opioid use disorder (OUD)</w:t>
              </w:r>
            </w:sdtContent>
          </w:sdt>
          <w:r w:rsidR="0036254C" w:rsidRPr="0036254C">
            <w:rPr>
              <w:rStyle w:val="Style2"/>
              <w:rFonts w:cstheme="minorHAnsi"/>
              <w:u w:val="none"/>
            </w:rPr>
            <w:t xml:space="preserve"> at the provider level</w:t>
          </w:r>
        </w:sdtContent>
      </w:sdt>
    </w:p>
    <w:p w14:paraId="677384B1" w14:textId="77777777" w:rsidR="007A74C2" w:rsidRDefault="00184A5C">
      <w:pPr>
        <w:spacing w:after="4" w:line="249" w:lineRule="auto"/>
        <w:ind w:left="350" w:right="1998" w:hanging="10"/>
      </w:pPr>
      <w:r>
        <w:rPr>
          <w:rFonts w:ascii="MS Gothic" w:eastAsia="MS Gothic" w:hAnsi="MS Gothic" w:cs="MS Gothic"/>
          <w:color w:val="0000FF"/>
        </w:rPr>
        <w:t xml:space="preserve">    ☐ </w:t>
      </w:r>
      <w:r>
        <w:t xml:space="preserve">Appropriate use measure: </w:t>
      </w:r>
      <w:r>
        <w:rPr>
          <w:color w:val="0000FF"/>
          <w:u w:val="single" w:color="0000FF"/>
        </w:rPr>
        <w:t xml:space="preserve"> </w:t>
      </w:r>
      <w:r>
        <w:t xml:space="preserve">Click here to name what is being measured      </w:t>
      </w:r>
      <w:r>
        <w:rPr>
          <w:rFonts w:ascii="MS Gothic" w:eastAsia="MS Gothic" w:hAnsi="MS Gothic" w:cs="MS Gothic"/>
        </w:rPr>
        <w:t xml:space="preserve"> </w:t>
      </w:r>
      <w:r>
        <w:rPr>
          <w:rFonts w:ascii="MS Gothic" w:eastAsia="MS Gothic" w:hAnsi="MS Gothic" w:cs="MS Gothic"/>
          <w:color w:val="0000FF"/>
        </w:rPr>
        <w:t>☐</w:t>
      </w:r>
      <w:r>
        <w:t xml:space="preserve"> Structure:  </w:t>
      </w:r>
      <w:r>
        <w:rPr>
          <w:color w:val="A7A8A8"/>
        </w:rPr>
        <w:t>Click here to name the structure</w:t>
      </w:r>
      <w:r>
        <w:t xml:space="preserve"> </w:t>
      </w:r>
    </w:p>
    <w:p w14:paraId="55B66705" w14:textId="11A49D68" w:rsidR="007A74C2" w:rsidRDefault="00184A5C">
      <w:pPr>
        <w:spacing w:after="10" w:line="248" w:lineRule="auto"/>
        <w:ind w:left="350" w:right="2664" w:hanging="10"/>
      </w:pPr>
      <w:r>
        <w:rPr>
          <w:rFonts w:ascii="MS Gothic" w:eastAsia="MS Gothic" w:hAnsi="MS Gothic" w:cs="MS Gothic"/>
          <w:color w:val="0000FF"/>
        </w:rPr>
        <w:t>☐</w:t>
      </w:r>
      <w:r>
        <w:t xml:space="preserve"> Composite:  </w:t>
      </w:r>
      <w:r>
        <w:rPr>
          <w:color w:val="A7A8A8"/>
        </w:rPr>
        <w:t>Click here to name what is being measured</w:t>
      </w:r>
      <w:r>
        <w:t xml:space="preserve"> </w:t>
      </w:r>
    </w:p>
    <w:p w14:paraId="519B1A29" w14:textId="1631F112" w:rsidR="007A74C2" w:rsidRDefault="00184A5C">
      <w:pPr>
        <w:spacing w:after="0"/>
        <w:ind w:left="355"/>
      </w:pPr>
      <w:r>
        <w:t xml:space="preserve"> </w:t>
      </w:r>
    </w:p>
    <w:p w14:paraId="736F4E2E" w14:textId="2D5C1B36" w:rsidR="0036254C" w:rsidRDefault="00184A5C" w:rsidP="0036254C">
      <w:pPr>
        <w:spacing w:after="4" w:line="249" w:lineRule="auto"/>
        <w:ind w:left="771" w:right="229" w:hanging="431"/>
      </w:pPr>
      <w:r>
        <w:rPr>
          <w:b/>
        </w:rPr>
        <w:t>1a.2</w:t>
      </w:r>
      <w:r>
        <w:t xml:space="preserve"> </w:t>
      </w:r>
      <w:r>
        <w:rPr>
          <w:b/>
        </w:rPr>
        <w:t>LOGIC MODEL</w:t>
      </w:r>
      <w:r>
        <w:t xml:space="preserve"> Diagram or briefly describe the steps between the healthcare structures and processes (e.g., interventions, or services) and the patient’s health outcome(s). The relationships in the diagram should be easily understood by general, non-technical audiences. Indicate the structure, process or outcome being measured. </w:t>
      </w:r>
    </w:p>
    <w:p w14:paraId="7569AC4B" w14:textId="709FF228" w:rsidR="00D9427E" w:rsidRDefault="00D9427E" w:rsidP="0036254C">
      <w:pPr>
        <w:spacing w:after="4" w:line="249" w:lineRule="auto"/>
        <w:ind w:left="771" w:right="229" w:hanging="431"/>
      </w:pPr>
    </w:p>
    <w:p w14:paraId="178F0FA7" w14:textId="77777777" w:rsidR="00FC4406" w:rsidRPr="007D72E7" w:rsidRDefault="00FC4406" w:rsidP="00FC4406">
      <w:pPr>
        <w:spacing w:after="4" w:line="249" w:lineRule="auto"/>
        <w:ind w:left="771" w:right="229" w:hanging="431"/>
        <w:rPr>
          <w:b/>
          <w:bCs/>
        </w:rPr>
      </w:pPr>
      <w:r w:rsidRPr="007D72E7">
        <w:rPr>
          <w:b/>
          <w:bCs/>
        </w:rPr>
        <w:t xml:space="preserve">Figure 1. Logic </w:t>
      </w:r>
      <w:r>
        <w:rPr>
          <w:b/>
          <w:bCs/>
        </w:rPr>
        <w:t>m</w:t>
      </w:r>
      <w:r w:rsidRPr="007D72E7">
        <w:rPr>
          <w:b/>
          <w:bCs/>
        </w:rPr>
        <w:t>odel</w:t>
      </w:r>
      <w:r>
        <w:rPr>
          <w:b/>
          <w:bCs/>
        </w:rPr>
        <w:t xml:space="preserve"> explaining how the measures will lead to improved prescribing and better outcomes</w:t>
      </w:r>
    </w:p>
    <w:p w14:paraId="11F073E8" w14:textId="50EB2224" w:rsidR="00FA502A" w:rsidRDefault="00FC4406" w:rsidP="00FC4406">
      <w:pPr>
        <w:pStyle w:val="NormalSS"/>
        <w:rPr>
          <w:b/>
          <w:bCs/>
        </w:rPr>
        <w:sectPr w:rsidR="00FA502A" w:rsidSect="004F0C3C">
          <w:footerReference w:type="even" r:id="rId22"/>
          <w:footerReference w:type="default" r:id="rId23"/>
          <w:footerReference w:type="first" r:id="rId24"/>
          <w:pgSz w:w="12240" w:h="15840"/>
          <w:pgMar w:top="1483" w:right="1129" w:bottom="1460" w:left="1085" w:header="720" w:footer="721" w:gutter="0"/>
          <w:cols w:space="720"/>
          <w:docGrid w:linePitch="299"/>
        </w:sectPr>
      </w:pPr>
      <w:r>
        <w:rPr>
          <w:noProof/>
        </w:rPr>
        <mc:AlternateContent>
          <mc:Choice Requires="wps">
            <w:drawing>
              <wp:anchor distT="0" distB="0" distL="114300" distR="114300" simplePos="0" relativeHeight="251660288" behindDoc="0" locked="0" layoutInCell="1" allowOverlap="1" wp14:anchorId="4D98B1AC" wp14:editId="75E50213">
                <wp:simplePos x="0" y="0"/>
                <wp:positionH relativeFrom="column">
                  <wp:posOffset>3863975</wp:posOffset>
                </wp:positionH>
                <wp:positionV relativeFrom="paragraph">
                  <wp:posOffset>1397635</wp:posOffset>
                </wp:positionV>
                <wp:extent cx="320675" cy="246380"/>
                <wp:effectExtent l="0" t="0" r="41275" b="20320"/>
                <wp:wrapNone/>
                <wp:docPr id="2" name="Arrow: Right 2"/>
                <wp:cNvGraphicFramePr/>
                <a:graphic xmlns:a="http://schemas.openxmlformats.org/drawingml/2006/main">
                  <a:graphicData uri="http://schemas.microsoft.com/office/word/2010/wordprocessingShape">
                    <wps:wsp>
                      <wps:cNvSpPr/>
                      <wps:spPr>
                        <a:xfrm>
                          <a:off x="0" y="0"/>
                          <a:ext cx="320675" cy="246380"/>
                        </a:xfrm>
                        <a:prstGeom prst="rightArrow">
                          <a:avLst>
                            <a:gd name="adj1" fmla="val 100000"/>
                            <a:gd name="adj2" fmla="val 50000"/>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CF91E6"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 o:spid="_x0000_s1026" type="#_x0000_t13" style="position:absolute;margin-left:304.25pt;margin-top:110.05pt;width:25.25pt;height:19.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RbVngIAAGwFAAAOAAAAZHJzL2Uyb0RvYy54bWysVEtv2zAMvg/YfxB0X524adMFdYogRYcB&#10;RVu0HXpWZMnWoNcoJU7360fJzqNrT8NyUEiT4kd+JHV5tTWabAQE5WxFxycjSoTlrla2qeiP55sv&#10;F5SEyGzNtLOioq8i0Kv550+XnZ+J0rVO1wIIBrFh1vmKtjH6WVEE3grDwonzwqJROjAsogpNUQPr&#10;MLrRRTkanRedg9qD4yIE/HrdG+k8x5dS8HgvZRCR6IpibjGfkM9VOov5JZs1wHyr+JAG+4csDFMW&#10;QfehrllkZA3qXSijOLjgZDzhzhROSsVFrgGrGY/+quapZV7kWpCc4Pc0hf8Xlt9tHoCouqIlJZYZ&#10;bNECwHUz8qiaNpIyMdT5MEPHJ/8AgxZQTOVuJZj0j4WQbWb1dc+q2EbC8eNpOTqfnlHC0VROzk8v&#10;MuvF4bKHEL8JZ0gSKgoJOCeRGWWb2xAztfWQIKt/jimRRmOnNkyT8Sj9hlYeOWFFB6eznQ8CDyFR&#10;2kGn+MFpVd8orbMCzWqpgWD8ik4m03I5SQB45Y2btqTDsS+niE84wwGWmkUUjUdKg20oYbrBzeAR&#10;cjVvbocPQDJ4y2rRQx+nPbi/zyJVcc1C21/JED0bRkXcLq1MRS/2JGEN2iYYkfcD2U2FpR73XU3S&#10;ytWvOBfg+oUJnt8oBLllIT4wQN6xXNz6eI+H1A45cINESevg90ffkz8OLlop6XDjkJ9fawaCEv3d&#10;4kh/HU8maUWzMjmblqjAsWV1bLFrs3TYG5wEzC6LyT/qnSjBmRd8HBYJFU3McsTuOzEoy9i/BPi8&#10;cLFYZDdcS8/irX3yPAVPPCV6n7cvDPwwoRFH+87ttnOYp346Dr7ppnWLdXRS7RnueR3oxpXOvRye&#10;n/RmHOvZ6/BIzv8AAAD//wMAUEsDBBQABgAIAAAAIQAojmH93wAAAAsBAAAPAAAAZHJzL2Rvd25y&#10;ZXYueG1sTI9NT8MwDIbvSPyHyEjcWLKiVl1pOqGJcQPE+DhnjWkrGqdqsq7995gTHG0/ev285XZ2&#10;vZhwDJ0nDeuVAoFUe9tRo+H9bX+TgwjRkDW9J9SwYIBtdXlRmsL6M73idIiN4BAKhdHQxjgUUoa6&#10;RWfCyg9IfPvyozORx7GRdjRnDne9TJTKpDMd8YfWDLhrsf4+nJyG2eHz4276tG4c8qeXZb883H4s&#10;Wl9fzfd3ICLO8Q+GX31Wh4qdjv5ENoheQ6bylFENSaLWIJjI0g23O/ImzTcgq1L+71D9AAAA//8D&#10;AFBLAQItABQABgAIAAAAIQC2gziS/gAAAOEBAAATAAAAAAAAAAAAAAAAAAAAAABbQ29udGVudF9U&#10;eXBlc10ueG1sUEsBAi0AFAAGAAgAAAAhADj9If/WAAAAlAEAAAsAAAAAAAAAAAAAAAAALwEAAF9y&#10;ZWxzLy5yZWxzUEsBAi0AFAAGAAgAAAAhALdZFtWeAgAAbAUAAA4AAAAAAAAAAAAAAAAALgIAAGRy&#10;cy9lMm9Eb2MueG1sUEsBAi0AFAAGAAgAAAAhACiOYf3fAAAACwEAAA8AAAAAAAAAAAAAAAAA+AQA&#10;AGRycy9kb3ducmV2LnhtbFBLBQYAAAAABAAEAPMAAAAEBgAAAAA=&#10;" adj="13302,0" fillcolor="#4472c4" strokecolor="#2f528f" strokeweight="1pt"/>
            </w:pict>
          </mc:Fallback>
        </mc:AlternateContent>
      </w:r>
      <w:r>
        <w:rPr>
          <w:noProof/>
        </w:rPr>
        <mc:AlternateContent>
          <mc:Choice Requires="wps">
            <w:drawing>
              <wp:anchor distT="0" distB="0" distL="114300" distR="114300" simplePos="0" relativeHeight="251659264" behindDoc="0" locked="0" layoutInCell="1" allowOverlap="1" wp14:anchorId="6D8D9700" wp14:editId="6BE6BDD4">
                <wp:simplePos x="0" y="0"/>
                <wp:positionH relativeFrom="column">
                  <wp:posOffset>1920875</wp:posOffset>
                </wp:positionH>
                <wp:positionV relativeFrom="paragraph">
                  <wp:posOffset>1369060</wp:posOffset>
                </wp:positionV>
                <wp:extent cx="320675" cy="246380"/>
                <wp:effectExtent l="0" t="0" r="41275" b="20320"/>
                <wp:wrapNone/>
                <wp:docPr id="1" name="Arrow: Right 1"/>
                <wp:cNvGraphicFramePr/>
                <a:graphic xmlns:a="http://schemas.openxmlformats.org/drawingml/2006/main">
                  <a:graphicData uri="http://schemas.microsoft.com/office/word/2010/wordprocessingShape">
                    <wps:wsp>
                      <wps:cNvSpPr/>
                      <wps:spPr>
                        <a:xfrm>
                          <a:off x="0" y="0"/>
                          <a:ext cx="320675" cy="246380"/>
                        </a:xfrm>
                        <a:prstGeom prst="rightArrow">
                          <a:avLst>
                            <a:gd name="adj1" fmla="val 100000"/>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C60980" id="Arrow: Right 1" o:spid="_x0000_s1026" type="#_x0000_t13" style="position:absolute;margin-left:151.25pt;margin-top:107.8pt;width:25.25pt;height:19.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YT9kwIAAJMFAAAOAAAAZHJzL2Uyb0RvYy54bWysVMlu2zAQvRfoPxC8N5IVZ6lhOTASpCgQ&#10;pEGSImeGIi0V3DqkLbtf3yFFy0YT9FDUB3pGs79Z5ldbrchGgO+sqenkpKREGG6bzqxq+v359tMl&#10;JT4w0zBljajpTnh6tfj4Yd67mahsa1UjgKAT42e9q2kbgpsVheet0MyfWCcMCqUFzQKysCoaYD16&#10;16qoyvK86C00DiwX3uPXm0FIF8m/lIKHb1J6EYiqKeYW0gvpfY1vsZiz2QqYazue02D/kIVmncGg&#10;o6sbFhhZQ/fGle44WG9lOOFWF1bKjotUA1YzKf+o5qllTqRaEBzvRpj8/3PL7zcPQLoGe0eJYRpb&#10;tASw/Yw8dqs2kElEqHd+hopP7gEy55GM5W4l6PiPhZBtQnU3oiq2gXD8eFqV5xdnlHAUVdPz08uE&#10;enEwduDDF2E1iURNIQZOSSRE2ebOhwRtkxNkzQ9MVmqFndowRSZl/OVWHilVx0pnex0MnF0itQ+9&#10;mBexyKGsRIWdEjGqMo9CIkBYSJXySaMprhUQjF1TxrkwYTKIWtaI4fNxuNECo2SH0bPslBp9Zwdx&#10;7N/6RtDRMOtHU5EmezQu/5bYYDxapMjWhNFYd8bCew4UVpUjD/p7kAZoIkqvttnh+IAd9so7ftth&#10;D++YDw8MsD24cngcwjd8pLJ9TW2mKGkt/Hrve9TH+UYpJT0uZk39zzUDQYn6anDyP0+m07jJiZme&#10;XVTIwLHk9Vhi1vraYptwYDC7REb9oPakBKtf8IYsY1QUMcMxdk15gD1zHYaDgVeIi+UyqeH2Ohbu&#10;zJPj0XlENc7S8/aFgcuDHHAD7u1+ifPYDYgedKOlsct1sLILUXjANTO4+an/+UrF03LMJ63DLV38&#10;BgAA//8DAFBLAwQUAAYACAAAACEA7Y5DyuEAAAALAQAADwAAAGRycy9kb3ducmV2LnhtbEyPwU7D&#10;MAyG70i8Q2Qkbixdu05Qmk6AhNAuSCuouyZN1lY0TpVkW+Hp8U5wtP3p9/eXm9mO7GR8GBwKWC4S&#10;YAZbpwfsBHx+vN7dAwtRopajQyPg2wTYVNdXpSy0O+POnOrYMQrBUEgBfYxTwXloe2NlWLjJIN0O&#10;zlsZafQd116eKdyOPE2SNbdyQPrQy8m89Kb9qo9WwBu+7616wK1SdfNz2DXZs2/2QtzezE+PwKKZ&#10;4x8MF31Sh4qclDuiDmwUkCVpTqiAdJmvgRGR5Rm1U7TJVyvgVcn/d6h+AQAA//8DAFBLAQItABQA&#10;BgAIAAAAIQC2gziS/gAAAOEBAAATAAAAAAAAAAAAAAAAAAAAAABbQ29udGVudF9UeXBlc10ueG1s&#10;UEsBAi0AFAAGAAgAAAAhADj9If/WAAAAlAEAAAsAAAAAAAAAAAAAAAAALwEAAF9yZWxzLy5yZWxz&#10;UEsBAi0AFAAGAAgAAAAhAMelhP2TAgAAkwUAAA4AAAAAAAAAAAAAAAAALgIAAGRycy9lMm9Eb2Mu&#10;eG1sUEsBAi0AFAAGAAgAAAAhAO2OQ8rhAAAACwEAAA8AAAAAAAAAAAAAAAAA7QQAAGRycy9kb3du&#10;cmV2LnhtbFBLBQYAAAAABAAEAPMAAAD7BQAAAAA=&#10;" adj="13302,0" fillcolor="#4472c4 [3204]" strokecolor="#1f3763 [1604]" strokeweight="1pt"/>
            </w:pict>
          </mc:Fallback>
        </mc:AlternateContent>
      </w:r>
      <w:r>
        <w:rPr>
          <w:noProof/>
        </w:rPr>
        <w:drawing>
          <wp:inline distT="0" distB="0" distL="0" distR="0" wp14:anchorId="0E0D5E56" wp14:editId="31E8C782">
            <wp:extent cx="5486400" cy="2276475"/>
            <wp:effectExtent l="38100" t="0" r="19050" b="9525"/>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inline>
        </w:drawing>
      </w:r>
    </w:p>
    <w:p w14:paraId="075B0EE1" w14:textId="2D420B46" w:rsidR="00EC0D5B" w:rsidRPr="00EC0D5B" w:rsidRDefault="00FC4406" w:rsidP="00FC4406">
      <w:pPr>
        <w:sectPr w:rsidR="00EC0D5B" w:rsidRPr="00EC0D5B" w:rsidSect="00FA502A">
          <w:pgSz w:w="15840" w:h="12240" w:orient="landscape"/>
          <w:pgMar w:top="1085" w:right="1483" w:bottom="1129" w:left="1460" w:header="720" w:footer="721" w:gutter="0"/>
          <w:cols w:space="720"/>
          <w:docGrid w:linePitch="299"/>
        </w:sectPr>
      </w:pPr>
      <w:r>
        <w:rPr>
          <w:b/>
          <w:bCs/>
          <w:noProof/>
        </w:rPr>
        <w:lastRenderedPageBreak/>
        <w:t xml:space="preserve">Figure 2. Alternate </w:t>
      </w:r>
      <w:r w:rsidR="001C16E5" w:rsidRPr="001C16E5">
        <w:rPr>
          <w:b/>
          <w:bCs/>
          <w:noProof/>
        </w:rPr>
        <w:t xml:space="preserve">Model for </w:t>
      </w:r>
      <w:r w:rsidRPr="00FC4406">
        <w:rPr>
          <w:b/>
          <w:bCs/>
          <w:noProof/>
        </w:rPr>
        <w:t>Prescription or administration of pharmacotherapy to treat opioid use disorder (OUD)</w:t>
      </w:r>
      <w:r w:rsidR="00EC0D5B" w:rsidRPr="00095688">
        <w:rPr>
          <w:noProof/>
        </w:rPr>
        <w:drawing>
          <wp:inline distT="0" distB="0" distL="0" distR="0" wp14:anchorId="64F08131" wp14:editId="1EE8ADC8">
            <wp:extent cx="8189595" cy="5946775"/>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8189595" cy="5946775"/>
                    </a:xfrm>
                    <a:prstGeom prst="rect">
                      <a:avLst/>
                    </a:prstGeom>
                  </pic:spPr>
                </pic:pic>
              </a:graphicData>
            </a:graphic>
          </wp:inline>
        </w:drawing>
      </w:r>
      <w:r w:rsidR="00EC0D5B">
        <w:tab/>
      </w:r>
    </w:p>
    <w:p w14:paraId="07141D72" w14:textId="73796D4B" w:rsidR="004877FD" w:rsidRDefault="007B1C50" w:rsidP="0036254C">
      <w:pPr>
        <w:pStyle w:val="NormalSS"/>
        <w:rPr>
          <w:rFonts w:asciiTheme="minorHAnsi" w:eastAsiaTheme="minorHAnsi" w:hAnsiTheme="minorHAnsi" w:cstheme="minorBidi"/>
          <w:iCs/>
          <w:color w:val="0070C0"/>
          <w:sz w:val="22"/>
          <w:szCs w:val="22"/>
        </w:rPr>
      </w:pPr>
      <w:bookmarkStart w:id="1" w:name="_Hlk46990919"/>
      <w:r w:rsidRPr="00BA7B06">
        <w:rPr>
          <w:rFonts w:asciiTheme="minorHAnsi" w:hAnsiTheme="minorHAnsi" w:cstheme="minorHAnsi"/>
          <w:color w:val="2E74B5" w:themeColor="accent5" w:themeShade="BF"/>
          <w:sz w:val="22"/>
          <w:szCs w:val="22"/>
          <w:shd w:val="clear" w:color="auto" w:fill="FFFFFF"/>
        </w:rPr>
        <w:lastRenderedPageBreak/>
        <w:t>In 201</w:t>
      </w:r>
      <w:r w:rsidR="00B12174">
        <w:rPr>
          <w:rFonts w:asciiTheme="minorHAnsi" w:hAnsiTheme="minorHAnsi" w:cstheme="minorHAnsi"/>
          <w:color w:val="2E74B5" w:themeColor="accent5" w:themeShade="BF"/>
          <w:sz w:val="22"/>
          <w:szCs w:val="22"/>
          <w:shd w:val="clear" w:color="auto" w:fill="FFFFFF"/>
        </w:rPr>
        <w:t>9</w:t>
      </w:r>
      <w:r w:rsidRPr="00BA7B06">
        <w:rPr>
          <w:rFonts w:asciiTheme="minorHAnsi" w:hAnsiTheme="minorHAnsi" w:cstheme="minorHAnsi"/>
          <w:color w:val="2E74B5" w:themeColor="accent5" w:themeShade="BF"/>
          <w:sz w:val="22"/>
          <w:szCs w:val="22"/>
          <w:shd w:val="clear" w:color="auto" w:fill="FFFFFF"/>
        </w:rPr>
        <w:t xml:space="preserve">, opioids were involved in </w:t>
      </w:r>
      <w:r w:rsidR="004413CA" w:rsidRPr="00BA7B06">
        <w:rPr>
          <w:rFonts w:asciiTheme="minorHAnsi" w:hAnsiTheme="minorHAnsi" w:cstheme="minorHAnsi"/>
          <w:color w:val="2E74B5" w:themeColor="accent5" w:themeShade="BF"/>
          <w:sz w:val="22"/>
          <w:szCs w:val="22"/>
          <w:shd w:val="clear" w:color="auto" w:fill="FFFFFF"/>
        </w:rPr>
        <w:t>49,912</w:t>
      </w:r>
      <w:r w:rsidR="00B87BC4">
        <w:rPr>
          <w:rFonts w:asciiTheme="minorHAnsi" w:hAnsiTheme="minorHAnsi" w:cstheme="minorHAnsi"/>
          <w:color w:val="2E74B5" w:themeColor="accent5" w:themeShade="BF"/>
          <w:sz w:val="22"/>
          <w:szCs w:val="22"/>
          <w:shd w:val="clear" w:color="auto" w:fill="FFFFFF"/>
        </w:rPr>
        <w:t xml:space="preserve"> overdose deaths</w:t>
      </w:r>
      <w:r w:rsidR="00B12174">
        <w:rPr>
          <w:rFonts w:asciiTheme="minorHAnsi" w:hAnsiTheme="minorHAnsi" w:cstheme="minorHAnsi"/>
          <w:color w:val="2E74B5" w:themeColor="accent5" w:themeShade="BF"/>
          <w:sz w:val="22"/>
          <w:szCs w:val="22"/>
          <w:shd w:val="clear" w:color="auto" w:fill="FFFFFF"/>
        </w:rPr>
        <w:t xml:space="preserve"> in the United States</w:t>
      </w:r>
      <w:r w:rsidR="004413CA" w:rsidRPr="00BA7B06">
        <w:rPr>
          <w:rFonts w:asciiTheme="minorHAnsi" w:hAnsiTheme="minorHAnsi" w:cstheme="minorHAnsi"/>
          <w:color w:val="2E74B5" w:themeColor="accent5" w:themeShade="BF"/>
          <w:sz w:val="22"/>
          <w:szCs w:val="22"/>
          <w:shd w:val="clear" w:color="auto" w:fill="FFFFFF"/>
        </w:rPr>
        <w:t>, a 6.6% annual increase</w:t>
      </w:r>
      <w:r w:rsidR="00B12174">
        <w:rPr>
          <w:rFonts w:asciiTheme="minorHAnsi" w:hAnsiTheme="minorHAnsi" w:cstheme="minorHAnsi"/>
          <w:color w:val="2E74B5" w:themeColor="accent5" w:themeShade="BF"/>
          <w:sz w:val="22"/>
          <w:szCs w:val="22"/>
          <w:shd w:val="clear" w:color="auto" w:fill="FFFFFF"/>
        </w:rPr>
        <w:t xml:space="preserve"> from 2018</w:t>
      </w:r>
      <w:r w:rsidR="004413CA" w:rsidRPr="00BA7B06">
        <w:rPr>
          <w:rFonts w:asciiTheme="minorHAnsi" w:hAnsiTheme="minorHAnsi" w:cstheme="minorHAnsi"/>
          <w:color w:val="2E74B5" w:themeColor="accent5" w:themeShade="BF"/>
          <w:sz w:val="22"/>
          <w:szCs w:val="22"/>
          <w:shd w:val="clear" w:color="auto" w:fill="FFFFFF"/>
        </w:rPr>
        <w:t xml:space="preserve">. </w:t>
      </w:r>
      <w:r w:rsidR="004877FD">
        <w:rPr>
          <w:rFonts w:asciiTheme="minorHAnsi" w:hAnsiTheme="minorHAnsi" w:cstheme="minorHAnsi"/>
          <w:color w:val="2E74B5" w:themeColor="accent5" w:themeShade="BF"/>
          <w:sz w:val="22"/>
          <w:szCs w:val="22"/>
          <w:shd w:val="clear" w:color="auto" w:fill="FFFFFF"/>
        </w:rPr>
        <w:t xml:space="preserve"> </w:t>
      </w:r>
      <w:r w:rsidR="00B12174">
        <w:rPr>
          <w:rFonts w:asciiTheme="minorHAnsi" w:hAnsiTheme="minorHAnsi" w:cstheme="minorHAnsi"/>
          <w:color w:val="2E74B5" w:themeColor="accent5" w:themeShade="BF"/>
          <w:sz w:val="22"/>
          <w:szCs w:val="22"/>
          <w:shd w:val="clear" w:color="auto" w:fill="FFFFFF"/>
        </w:rPr>
        <w:t xml:space="preserve">The two clinical milestones </w:t>
      </w:r>
      <w:r w:rsidR="00B12174" w:rsidRPr="00B12174">
        <w:rPr>
          <w:rFonts w:asciiTheme="minorHAnsi" w:hAnsiTheme="minorHAnsi" w:cstheme="minorHAnsi"/>
          <w:color w:val="2E74B5" w:themeColor="accent5" w:themeShade="BF"/>
          <w:sz w:val="22"/>
          <w:szCs w:val="22"/>
          <w:shd w:val="clear" w:color="auto" w:fill="FFFFFF"/>
        </w:rPr>
        <w:t xml:space="preserve">likely to have the greatest impact on lowering risk of mortality from opioid use disorders </w:t>
      </w:r>
      <w:r w:rsidR="00B12174">
        <w:rPr>
          <w:rFonts w:asciiTheme="minorHAnsi" w:hAnsiTheme="minorHAnsi" w:cstheme="minorHAnsi"/>
          <w:color w:val="2E74B5" w:themeColor="accent5" w:themeShade="BF"/>
          <w:sz w:val="22"/>
          <w:szCs w:val="22"/>
          <w:shd w:val="clear" w:color="auto" w:fill="FFFFFF"/>
        </w:rPr>
        <w:t xml:space="preserve">are initiation of medications to treat opioid use disorder </w:t>
      </w:r>
      <w:r w:rsidR="004877FD" w:rsidRPr="004877FD">
        <w:rPr>
          <w:rFonts w:asciiTheme="minorHAnsi" w:hAnsiTheme="minorHAnsi" w:cstheme="minorHAnsi"/>
          <w:color w:val="2E74B5" w:themeColor="accent5" w:themeShade="BF"/>
          <w:sz w:val="22"/>
          <w:szCs w:val="22"/>
          <w:shd w:val="clear" w:color="auto" w:fill="FFFFFF"/>
        </w:rPr>
        <w:t xml:space="preserve">(MOUD) initiation and retention </w:t>
      </w:r>
      <w:r w:rsidR="00B12174">
        <w:rPr>
          <w:rFonts w:asciiTheme="minorHAnsi" w:hAnsiTheme="minorHAnsi" w:cstheme="minorHAnsi"/>
          <w:color w:val="2E74B5" w:themeColor="accent5" w:themeShade="BF"/>
          <w:sz w:val="22"/>
          <w:szCs w:val="22"/>
          <w:shd w:val="clear" w:color="auto" w:fill="FFFFFF"/>
        </w:rPr>
        <w:t>on MOUD</w:t>
      </w:r>
      <w:r w:rsidR="004877FD" w:rsidRPr="004877FD">
        <w:rPr>
          <w:rFonts w:asciiTheme="minorHAnsi" w:hAnsiTheme="minorHAnsi" w:cstheme="minorHAnsi"/>
          <w:color w:val="2E74B5" w:themeColor="accent5" w:themeShade="BF"/>
          <w:sz w:val="22"/>
          <w:szCs w:val="22"/>
          <w:shd w:val="clear" w:color="auto" w:fill="FFFFFF"/>
        </w:rPr>
        <w:t xml:space="preserve"> (</w:t>
      </w:r>
      <w:r w:rsidR="0038062A" w:rsidRPr="0038062A">
        <w:rPr>
          <w:rFonts w:asciiTheme="minorHAnsi" w:hAnsiTheme="minorHAnsi" w:cstheme="minorHAnsi"/>
          <w:color w:val="2E74B5" w:themeColor="accent5" w:themeShade="BF"/>
          <w:sz w:val="22"/>
          <w:szCs w:val="22"/>
          <w:shd w:val="clear" w:color="auto" w:fill="FFFFFF"/>
        </w:rPr>
        <w:t xml:space="preserve">Ball &amp; Ross, 1991; </w:t>
      </w:r>
      <w:r w:rsidR="004877FD" w:rsidRPr="004877FD">
        <w:rPr>
          <w:rFonts w:asciiTheme="minorHAnsi" w:hAnsiTheme="minorHAnsi" w:cstheme="minorHAnsi"/>
          <w:color w:val="2E74B5" w:themeColor="accent5" w:themeShade="BF"/>
          <w:sz w:val="22"/>
          <w:szCs w:val="22"/>
          <w:shd w:val="clear" w:color="auto" w:fill="FFFFFF"/>
        </w:rPr>
        <w:t>Degenhardt et</w:t>
      </w:r>
      <w:r w:rsidR="004877FD">
        <w:rPr>
          <w:rFonts w:asciiTheme="minorHAnsi" w:hAnsiTheme="minorHAnsi" w:cstheme="minorHAnsi"/>
          <w:color w:val="2E74B5" w:themeColor="accent5" w:themeShade="BF"/>
          <w:sz w:val="22"/>
          <w:szCs w:val="22"/>
          <w:shd w:val="clear" w:color="auto" w:fill="FFFFFF"/>
        </w:rPr>
        <w:t xml:space="preserve"> </w:t>
      </w:r>
      <w:r w:rsidR="004877FD" w:rsidRPr="004877FD">
        <w:rPr>
          <w:rFonts w:asciiTheme="minorHAnsi" w:hAnsiTheme="minorHAnsi" w:cstheme="minorHAnsi"/>
          <w:color w:val="2E74B5" w:themeColor="accent5" w:themeShade="BF"/>
          <w:sz w:val="22"/>
          <w:szCs w:val="22"/>
          <w:shd w:val="clear" w:color="auto" w:fill="FFFFFF"/>
        </w:rPr>
        <w:t>al., 201</w:t>
      </w:r>
      <w:r w:rsidR="00D579F1">
        <w:rPr>
          <w:rFonts w:asciiTheme="minorHAnsi" w:hAnsiTheme="minorHAnsi" w:cstheme="minorHAnsi"/>
          <w:color w:val="2E74B5" w:themeColor="accent5" w:themeShade="BF"/>
          <w:sz w:val="22"/>
          <w:szCs w:val="22"/>
          <w:shd w:val="clear" w:color="auto" w:fill="FFFFFF"/>
        </w:rPr>
        <w:t>1</w:t>
      </w:r>
      <w:r w:rsidR="004877FD" w:rsidRPr="004877FD">
        <w:rPr>
          <w:rFonts w:asciiTheme="minorHAnsi" w:hAnsiTheme="minorHAnsi" w:cstheme="minorHAnsi"/>
          <w:color w:val="2E74B5" w:themeColor="accent5" w:themeShade="BF"/>
          <w:sz w:val="22"/>
          <w:szCs w:val="22"/>
          <w:shd w:val="clear" w:color="auto" w:fill="FFFFFF"/>
        </w:rPr>
        <w:t xml:space="preserve">; </w:t>
      </w:r>
      <w:proofErr w:type="spellStart"/>
      <w:r w:rsidR="004877FD" w:rsidRPr="004877FD">
        <w:rPr>
          <w:rFonts w:asciiTheme="minorHAnsi" w:hAnsiTheme="minorHAnsi" w:cstheme="minorHAnsi"/>
          <w:color w:val="2E74B5" w:themeColor="accent5" w:themeShade="BF"/>
          <w:sz w:val="22"/>
          <w:szCs w:val="22"/>
          <w:shd w:val="clear" w:color="auto" w:fill="FFFFFF"/>
        </w:rPr>
        <w:t>Sordo</w:t>
      </w:r>
      <w:proofErr w:type="spellEnd"/>
      <w:r w:rsidR="004877FD" w:rsidRPr="004877FD">
        <w:rPr>
          <w:rFonts w:asciiTheme="minorHAnsi" w:hAnsiTheme="minorHAnsi" w:cstheme="minorHAnsi"/>
          <w:color w:val="2E74B5" w:themeColor="accent5" w:themeShade="BF"/>
          <w:sz w:val="22"/>
          <w:szCs w:val="22"/>
          <w:shd w:val="clear" w:color="auto" w:fill="FFFFFF"/>
        </w:rPr>
        <w:t xml:space="preserve"> et al., 2017</w:t>
      </w:r>
      <w:r w:rsidR="00AC5DEC">
        <w:rPr>
          <w:rFonts w:asciiTheme="minorHAnsi" w:hAnsiTheme="minorHAnsi" w:cstheme="minorHAnsi"/>
          <w:color w:val="2E74B5" w:themeColor="accent5" w:themeShade="BF"/>
          <w:sz w:val="22"/>
          <w:szCs w:val="22"/>
          <w:shd w:val="clear" w:color="auto" w:fill="FFFFFF"/>
        </w:rPr>
        <w:t xml:space="preserve">; </w:t>
      </w:r>
      <w:r w:rsidR="00E655F5">
        <w:rPr>
          <w:rFonts w:asciiTheme="minorHAnsi" w:hAnsiTheme="minorHAnsi" w:cstheme="minorHAnsi"/>
          <w:color w:val="2E74B5" w:themeColor="accent5" w:themeShade="BF"/>
          <w:sz w:val="22"/>
          <w:szCs w:val="22"/>
          <w:shd w:val="clear" w:color="auto" w:fill="FFFFFF"/>
        </w:rPr>
        <w:t>Volkow et al., 2019</w:t>
      </w:r>
      <w:r w:rsidR="004877FD" w:rsidRPr="004877FD">
        <w:rPr>
          <w:rFonts w:asciiTheme="minorHAnsi" w:hAnsiTheme="minorHAnsi" w:cstheme="minorHAnsi"/>
          <w:color w:val="2E74B5" w:themeColor="accent5" w:themeShade="BF"/>
          <w:sz w:val="22"/>
          <w:szCs w:val="22"/>
          <w:shd w:val="clear" w:color="auto" w:fill="FFFFFF"/>
        </w:rPr>
        <w:t>).</w:t>
      </w:r>
      <w:r w:rsidR="004877FD">
        <w:rPr>
          <w:rFonts w:asciiTheme="minorHAnsi" w:hAnsiTheme="minorHAnsi" w:cstheme="minorHAnsi"/>
          <w:color w:val="2E74B5" w:themeColor="accent5" w:themeShade="BF"/>
          <w:sz w:val="22"/>
          <w:szCs w:val="22"/>
          <w:shd w:val="clear" w:color="auto" w:fill="FFFFFF"/>
        </w:rPr>
        <w:t xml:space="preserve"> </w:t>
      </w:r>
      <w:r w:rsidR="00B12174">
        <w:rPr>
          <w:rFonts w:asciiTheme="minorHAnsi" w:eastAsiaTheme="minorHAnsi" w:hAnsiTheme="minorHAnsi" w:cstheme="minorHAnsi"/>
          <w:iCs/>
          <w:color w:val="2E74B5" w:themeColor="accent5" w:themeShade="BF"/>
          <w:sz w:val="22"/>
          <w:szCs w:val="22"/>
        </w:rPr>
        <w:t>R</w:t>
      </w:r>
      <w:r w:rsidR="00727798" w:rsidRPr="00BA7B06">
        <w:rPr>
          <w:rFonts w:asciiTheme="minorHAnsi" w:eastAsiaTheme="minorHAnsi" w:hAnsiTheme="minorHAnsi" w:cstheme="minorHAnsi"/>
          <w:iCs/>
          <w:color w:val="2E74B5" w:themeColor="accent5" w:themeShade="BF"/>
          <w:sz w:val="22"/>
          <w:szCs w:val="22"/>
        </w:rPr>
        <w:t>andomized clinical trials and observational studies find that i</w:t>
      </w:r>
      <w:r w:rsidR="007916B7" w:rsidRPr="00BA7B06">
        <w:rPr>
          <w:rFonts w:asciiTheme="minorHAnsi" w:eastAsiaTheme="minorHAnsi" w:hAnsiTheme="minorHAnsi" w:cstheme="minorHAnsi"/>
          <w:iCs/>
          <w:color w:val="2E74B5" w:themeColor="accent5" w:themeShade="BF"/>
          <w:sz w:val="22"/>
          <w:szCs w:val="22"/>
        </w:rPr>
        <w:t xml:space="preserve">ndividuals with an opioid use disorder </w:t>
      </w:r>
      <w:r w:rsidR="006D5F46" w:rsidRPr="00BA7B06">
        <w:rPr>
          <w:rFonts w:asciiTheme="minorHAnsi" w:eastAsiaTheme="minorHAnsi" w:hAnsiTheme="minorHAnsi" w:cstheme="minorHAnsi"/>
          <w:iCs/>
          <w:color w:val="2E74B5" w:themeColor="accent5" w:themeShade="BF"/>
          <w:sz w:val="22"/>
          <w:szCs w:val="22"/>
        </w:rPr>
        <w:t xml:space="preserve">(OUD) </w:t>
      </w:r>
      <w:r w:rsidR="007916B7" w:rsidRPr="00BA7B06">
        <w:rPr>
          <w:rFonts w:asciiTheme="minorHAnsi" w:eastAsiaTheme="minorHAnsi" w:hAnsiTheme="minorHAnsi" w:cstheme="minorHAnsi"/>
          <w:iCs/>
          <w:color w:val="2E74B5" w:themeColor="accent5" w:themeShade="BF"/>
          <w:sz w:val="22"/>
          <w:szCs w:val="22"/>
        </w:rPr>
        <w:t xml:space="preserve">who </w:t>
      </w:r>
      <w:r w:rsidR="00727798" w:rsidRPr="00BA7B06">
        <w:rPr>
          <w:rFonts w:asciiTheme="minorHAnsi" w:eastAsiaTheme="minorHAnsi" w:hAnsiTheme="minorHAnsi" w:cstheme="minorHAnsi"/>
          <w:iCs/>
          <w:color w:val="2E74B5" w:themeColor="accent5" w:themeShade="BF"/>
          <w:sz w:val="22"/>
          <w:szCs w:val="22"/>
        </w:rPr>
        <w:t>are treated with</w:t>
      </w:r>
      <w:r w:rsidR="007916B7" w:rsidRPr="00BA7B06">
        <w:rPr>
          <w:rFonts w:asciiTheme="minorHAnsi" w:eastAsiaTheme="minorHAnsi" w:hAnsiTheme="minorHAnsi" w:cstheme="minorHAnsi"/>
          <w:iCs/>
          <w:color w:val="2E74B5" w:themeColor="accent5" w:themeShade="BF"/>
          <w:sz w:val="22"/>
          <w:szCs w:val="22"/>
        </w:rPr>
        <w:t xml:space="preserve"> </w:t>
      </w:r>
      <w:r w:rsidR="001605DD" w:rsidRPr="00BA7B06">
        <w:rPr>
          <w:rFonts w:asciiTheme="minorHAnsi" w:eastAsiaTheme="minorHAnsi" w:hAnsiTheme="minorHAnsi" w:cstheme="minorHAnsi"/>
          <w:iCs/>
          <w:color w:val="2E74B5" w:themeColor="accent5" w:themeShade="BF"/>
          <w:sz w:val="22"/>
          <w:szCs w:val="22"/>
        </w:rPr>
        <w:t xml:space="preserve">an </w:t>
      </w:r>
      <w:r w:rsidR="007916B7" w:rsidRPr="00BA7B06">
        <w:rPr>
          <w:rFonts w:asciiTheme="minorHAnsi" w:eastAsiaTheme="minorHAnsi" w:hAnsiTheme="minorHAnsi" w:cstheme="minorHAnsi"/>
          <w:iCs/>
          <w:color w:val="2E74B5" w:themeColor="accent5" w:themeShade="BF"/>
          <w:sz w:val="22"/>
          <w:szCs w:val="22"/>
        </w:rPr>
        <w:t>FDA-approved opioid use disorder</w:t>
      </w:r>
      <w:r w:rsidR="00727798" w:rsidRPr="00BA7B06">
        <w:rPr>
          <w:rFonts w:asciiTheme="minorHAnsi" w:eastAsiaTheme="minorHAnsi" w:hAnsiTheme="minorHAnsi" w:cstheme="minorHAnsi"/>
          <w:iCs/>
          <w:color w:val="2E74B5" w:themeColor="accent5" w:themeShade="BF"/>
          <w:sz w:val="22"/>
          <w:szCs w:val="22"/>
        </w:rPr>
        <w:t xml:space="preserve"> medication (i.e., methadone, buprenorphine, naltrexone) </w:t>
      </w:r>
      <w:r w:rsidR="007916B7" w:rsidRPr="00BA7B06">
        <w:rPr>
          <w:rFonts w:asciiTheme="minorHAnsi" w:eastAsiaTheme="minorHAnsi" w:hAnsiTheme="minorHAnsi" w:cstheme="minorHAnsi"/>
          <w:iCs/>
          <w:color w:val="2E74B5" w:themeColor="accent5" w:themeShade="BF"/>
          <w:sz w:val="22"/>
          <w:szCs w:val="22"/>
        </w:rPr>
        <w:t xml:space="preserve">have </w:t>
      </w:r>
      <w:r w:rsidR="006D5F46" w:rsidRPr="00BA7B06">
        <w:rPr>
          <w:rFonts w:asciiTheme="minorHAnsi" w:eastAsiaTheme="minorHAnsi" w:hAnsiTheme="minorHAnsi" w:cstheme="minorHAnsi"/>
          <w:iCs/>
          <w:color w:val="2E74B5" w:themeColor="accent5" w:themeShade="BF"/>
          <w:sz w:val="22"/>
          <w:szCs w:val="22"/>
        </w:rPr>
        <w:t>better outcomes than individuals who do not receive OUD medications</w:t>
      </w:r>
      <w:r w:rsidR="001605DD" w:rsidRPr="00BA7B06">
        <w:rPr>
          <w:rFonts w:asciiTheme="minorHAnsi" w:eastAsiaTheme="minorHAnsi" w:hAnsiTheme="minorHAnsi" w:cstheme="minorHAnsi"/>
          <w:iCs/>
          <w:color w:val="2E74B5" w:themeColor="accent5" w:themeShade="BF"/>
          <w:sz w:val="22"/>
          <w:szCs w:val="22"/>
        </w:rPr>
        <w:t xml:space="preserve"> including larger </w:t>
      </w:r>
      <w:r w:rsidR="007916B7" w:rsidRPr="00BA7B06">
        <w:rPr>
          <w:rFonts w:asciiTheme="minorHAnsi" w:eastAsiaTheme="minorHAnsi" w:hAnsiTheme="minorHAnsi" w:cstheme="minorHAnsi"/>
          <w:iCs/>
          <w:color w:val="2E74B5" w:themeColor="accent5" w:themeShade="BF"/>
          <w:sz w:val="22"/>
          <w:szCs w:val="22"/>
        </w:rPr>
        <w:t>reduction</w:t>
      </w:r>
      <w:r w:rsidR="001605DD" w:rsidRPr="00BA7B06">
        <w:rPr>
          <w:rFonts w:asciiTheme="minorHAnsi" w:eastAsiaTheme="minorHAnsi" w:hAnsiTheme="minorHAnsi" w:cstheme="minorHAnsi"/>
          <w:iCs/>
          <w:color w:val="2E74B5" w:themeColor="accent5" w:themeShade="BF"/>
          <w:sz w:val="22"/>
          <w:szCs w:val="22"/>
        </w:rPr>
        <w:t>s</w:t>
      </w:r>
      <w:r w:rsidR="007916B7" w:rsidRPr="00BA7B06">
        <w:rPr>
          <w:rFonts w:asciiTheme="minorHAnsi" w:eastAsiaTheme="minorHAnsi" w:hAnsiTheme="minorHAnsi" w:cstheme="minorHAnsi"/>
          <w:iCs/>
          <w:color w:val="2E74B5" w:themeColor="accent5" w:themeShade="BF"/>
          <w:sz w:val="22"/>
          <w:szCs w:val="22"/>
        </w:rPr>
        <w:t xml:space="preserve"> in </w:t>
      </w:r>
      <w:r w:rsidR="00B87BC4">
        <w:rPr>
          <w:rFonts w:asciiTheme="minorHAnsi" w:eastAsiaTheme="minorHAnsi" w:hAnsiTheme="minorHAnsi" w:cstheme="minorHAnsi"/>
          <w:iCs/>
          <w:color w:val="2E74B5" w:themeColor="accent5" w:themeShade="BF"/>
          <w:sz w:val="22"/>
          <w:szCs w:val="22"/>
        </w:rPr>
        <w:t xml:space="preserve">mortality, </w:t>
      </w:r>
      <w:r w:rsidR="007916B7" w:rsidRPr="00BA7B06">
        <w:rPr>
          <w:rFonts w:asciiTheme="minorHAnsi" w:eastAsiaTheme="minorHAnsi" w:hAnsiTheme="minorHAnsi" w:cstheme="minorHAnsi"/>
          <w:iCs/>
          <w:color w:val="2E74B5" w:themeColor="accent5" w:themeShade="BF"/>
          <w:sz w:val="22"/>
          <w:szCs w:val="22"/>
        </w:rPr>
        <w:t xml:space="preserve">opioid usage and relapses, rates of infectious disease, and emergency department </w:t>
      </w:r>
      <w:r w:rsidR="00B12174">
        <w:rPr>
          <w:rFonts w:asciiTheme="minorHAnsi" w:eastAsiaTheme="minorHAnsi" w:hAnsiTheme="minorHAnsi" w:cstheme="minorHAnsi"/>
          <w:iCs/>
          <w:color w:val="2E74B5" w:themeColor="accent5" w:themeShade="BF"/>
          <w:sz w:val="22"/>
          <w:szCs w:val="22"/>
        </w:rPr>
        <w:t>and</w:t>
      </w:r>
      <w:r w:rsidR="007916B7" w:rsidRPr="00BA7B06">
        <w:rPr>
          <w:rFonts w:asciiTheme="minorHAnsi" w:eastAsiaTheme="minorHAnsi" w:hAnsiTheme="minorHAnsi" w:cstheme="minorHAnsi"/>
          <w:iCs/>
          <w:color w:val="2E74B5" w:themeColor="accent5" w:themeShade="BF"/>
          <w:sz w:val="22"/>
          <w:szCs w:val="22"/>
        </w:rPr>
        <w:t xml:space="preserve"> inpatient admissions, as well as improved functioning</w:t>
      </w:r>
      <w:r w:rsidR="007916B7" w:rsidRPr="00BA7B06">
        <w:rPr>
          <w:rFonts w:asciiTheme="minorHAnsi" w:eastAsiaTheme="minorHAnsi" w:hAnsiTheme="minorHAnsi" w:cstheme="minorBidi"/>
          <w:iCs/>
          <w:color w:val="2E74B5" w:themeColor="accent5" w:themeShade="BF"/>
          <w:sz w:val="22"/>
          <w:szCs w:val="22"/>
        </w:rPr>
        <w:t xml:space="preserve"> </w:t>
      </w:r>
      <w:r w:rsidR="007916B7">
        <w:rPr>
          <w:rFonts w:asciiTheme="minorHAnsi" w:eastAsiaTheme="minorHAnsi" w:hAnsiTheme="minorHAnsi" w:cstheme="minorBidi"/>
          <w:iCs/>
          <w:color w:val="0070C0"/>
          <w:sz w:val="22"/>
          <w:szCs w:val="22"/>
        </w:rPr>
        <w:t>in major life domains</w:t>
      </w:r>
      <w:r w:rsidR="00C00A90">
        <w:rPr>
          <w:rFonts w:asciiTheme="minorHAnsi" w:eastAsiaTheme="minorHAnsi" w:hAnsiTheme="minorHAnsi" w:cstheme="minorBidi"/>
          <w:iCs/>
          <w:color w:val="0070C0"/>
          <w:sz w:val="22"/>
          <w:szCs w:val="22"/>
        </w:rPr>
        <w:t xml:space="preserve"> </w:t>
      </w:r>
      <w:r w:rsidR="00C00A90" w:rsidRPr="0036254C">
        <w:rPr>
          <w:rFonts w:asciiTheme="minorHAnsi" w:eastAsiaTheme="minorEastAsia" w:hAnsiTheme="minorHAnsi"/>
          <w:color w:val="0070C0"/>
          <w:kern w:val="24"/>
          <w:sz w:val="22"/>
          <w:szCs w:val="22"/>
        </w:rPr>
        <w:fldChar w:fldCharType="begin">
          <w:fldData xml:space="preserve">PEVuZE5vdGU+PENpdGU+PEF1dGhvcj5DbGFyazwvQXV0aG9yPjxZZWFyPjIwMTU8L1llYXI+PFJl
Y051bT4yOTE8L1JlY051bT48RGlzcGxheVRleHQ+KENsYXJrIGV0IGFsLiwgMjAxNTsgQ2xhcmsg
ZXQgYWwuLCAyMDE0OyBGdWxsZXJ0b24gZXQgYWwuLCAyMDE0OyBSLlAuIE1hdHRpY2ssIEJyZWVu
LCBLaW1iZXIsICZhbXA7IERhdm9saSwgMjAwOTsgUi5QLiAgTWF0dGljaywgQnJlZW4sIEtpbWJl
ciwgJmFtcDsgRGF2b2xpLCAyMDE0OyBQYXJyYW4gZXQgYWwuLCAyMDEwOyBNLiBQaWVyY2UgZXQg
YWwuLCAyMDE2OyBUaG9tYXMgZXQgYWwuLCAyMDE0KTwvRGlzcGxheVRleHQ+PHJlY29yZD48cmVj
LW51bWJlcj4yOTE8L3JlYy1udW1iZXI+PGZvcmVpZ24ta2V5cz48a2V5IGFwcD0iRU4iIGRiLWlk
PSI1d3hyYWV6ZDlwZXYycGU1ZXJ2eDJyZmg1ZHYwc3M1MnRmMnoiIHRpbWVzdGFtcD0iMTQ4Nzc4
MDgwNyI+MjkxPC9rZXk+PC9mb3JlaWduLWtleXM+PHJlZi10eXBlIG5hbWU9IkpvdXJuYWwgQXJ0
aWNsZSI+MTc8L3JlZi10eXBlPjxjb250cmlidXRvcnM+PGF1dGhvcnM+PGF1dGhvcj5DbGFyaywg
Ui4gRS48L2F1dGhvcj48YXV0aG9yPkJheHRlciwgSi4gRC48L2F1dGhvcj48YXV0aG9yPkF3ZWgs
IEcuPC9hdXRob3I+PGF1dGhvcj5PJmFwb3M7Q29ubmVsbCwgRS48L2F1dGhvcj48YXV0aG9yPkZp
c2hlciwgVy4gSC48L2F1dGhvcj48YXV0aG9yPkJhcnRvbiwgQi4gQS48L2F1dGhvcj48L2F1dGhv
cnM+PC9jb250cmlidXRvcnM+PGF1dGgtYWRkcmVzcz5EZXBhcnRtZW50IG9mIEZhbWlseSBNZWRp
Y2luZSBhbmQgQ29tbXVuaXR5IEhlYWx0aCwgVW5pdmVyc2l0eSBvZiBNYXNzYWNodXNldHRzIE1l
ZGljYWwgU2Nob29sOyBEZXBhcnRtZW50IG9mIFF1YW50aXRhdGl2ZSBIZWFsdGggU2NpZW5jZXMs
IFVuaXZlcnNpdHkgb2YgTWFzc2FjaHVzZXR0cyBNZWRpY2FsIFNjaG9vbC4gRWxlY3Ryb25pYyBh
ZGRyZXNzOiByb2Jpbi5jbGFya0B1bWFzc21lZC5lZHUuJiN4RDtEZXBhcnRtZW50IG9mIEZhbWls
eSBNZWRpY2luZSBhbmQgQ29tbXVuaXR5IEhlYWx0aCwgVW5pdmVyc2l0eSBvZiBNYXNzYWNodXNl
dHRzIE1lZGljYWwgU2Nob29sOyBDZW50ZXIgZm9yIEhlYWx0aCBQb2xpY3kgYW5kIFJlc2VhcmNo
LCBVbml2ZXJzaXR5IG9mIE1hc3NhY2h1c2V0dHMgTWVkaWNhbCBTY2hvb2wuJiN4RDtDZW50ZXIg
Zm9yIEhlYWx0aCBQb2xpY3kgYW5kIFJlc2VhcmNoLCBVbml2ZXJzaXR5IG9mIE1hc3NhY2h1c2V0
dHMgTWVkaWNhbCBTY2hvb2wuJiN4RDtTY2hvb2wgb2YgQ3JpbWlub2xvZ3kgYW5kIEp1c3RpY2Ug
U3R1ZGllcywgVW5pdmVyc2l0eSBvZiBNYXNzYWNodXNldHRzIExvd2VsbC4mI3hEO0RlcGFydG1l
bnQgb2YgUXVhbnRpdGF0aXZlIEhlYWx0aCBTY2llbmNlcywgVW5pdmVyc2l0eSBvZiBNYXNzYWNo
dXNldHRzIE1lZGljYWwgU2Nob29sOyBDZW50ZXIgZm9yIEhlYWx0aCBQb2xpY3kgYW5kIFJlc2Vh
cmNoLCBVbml2ZXJzaXR5IG9mIE1hc3NhY2h1c2V0dHMgTWVkaWNhbCBTY2hvb2wuPC9hdXRoLWFk
ZHJlc3M+PHRpdGxlcz48dGl0bGU+UmlzayBGYWN0b3JzIGZvciBSZWxhcHNlIGFuZCBIaWdoZXIg
Q29zdHMgQW1vbmcgTWVkaWNhaWQgTWVtYmVycyB3aXRoIE9waW9pZCBEZXBlbmRlbmNlIG9yIEFi
dXNlOiBPcGlvaWQgQWdvbmlzdHMsIENvbW9yYmlkaXRpZXMsIGFuZCBUcmVhdG1lbnQgSGlzdG9y
eTwvdGl0bGU+PHNlY29uZGFyeS10aXRsZT5KIFN1YnN0IEFidXNlIFRyZWF0PC9zZWNvbmRhcnkt
dGl0bGU+PC90aXRsZXM+PHBlcmlvZGljYWw+PGZ1bGwtdGl0bGU+SiBTdWJzdCBBYnVzZSBUcmVh
dDwvZnVsbC10aXRsZT48YWJici0xPkpvdXJuYWwgb2Ygc3Vic3RhbmNlIGFidXNlIHRyZWF0bWVu
dDwvYWJici0xPjwvcGVyaW9kaWNhbD48cGFnZXM+NzUtODA8L3BhZ2VzPjx2b2x1bWU+NTc8L3Zv
bHVtZT48a2V5d29yZHM+PGtleXdvcmQ+QWR1bHQ8L2tleXdvcmQ+PGtleXdvcmQ+QW5hbGdlc2lj
cywgT3Bpb2lkL2Vjb25vbWljcy8qdGhlcmFwZXV0aWMgdXNlPC9rZXl3b3JkPjxrZXl3b3JkPkJl
aGF2aW9yIFRoZXJhcHkvZWNvbm9taWNzLypzdGF0aXN0aWNzICZhbXA7IG51bWVyaWNhbCBkYXRh
PC9rZXl3b3JkPjxrZXl3b3JkPkJ1cHJlbm9ycGhpbmUvZWNvbm9taWNzLyp0aGVyYXBldXRpYyB1
c2U8L2tleXdvcmQ+PGtleXdvcmQ+Q29tYmluZWQgTW9kYWxpdHkgVGhlcmFweTwva2V5d29yZD48
a2V5d29yZD5Db21vcmJpZGl0eTwva2V5d29yZD48a2V5d29yZD5GZW1hbGU8L2tleXdvcmQ+PGtl
eXdvcmQ+SGVhbHRoIENhcmUgQ29zdHMvKnN0YXRpc3RpY3MgJmFtcDsgbnVtZXJpY2FsIGRhdGE8
L2tleXdvcmQ+PGtleXdvcmQ+SHVtYW5zPC9rZXl3b3JkPjxrZXl3b3JkPk1hbGU8L2tleXdvcmQ+
PGtleXdvcmQ+TWVkaWNhaWQvZWNvbm9taWNzLypzdGF0aXN0aWNzICZhbXA7IG51bWVyaWNhbCBk
YXRhPC9rZXl3b3JkPjxrZXl3b3JkPk1ldGhhZG9uZS9lY29ub21pY3MvKnRoZXJhcGV1dGljIHVz
ZTwva2V5d29yZD48a2V5d29yZD5PcGlhdGUgU3Vic3RpdHV0aW9uIFRyZWF0bWVudC9lY29ub21p
Y3MvKnN0YXRpc3RpY3MgJmFtcDsgbnVtZXJpY2FsIGRhdGE8L2tleXdvcmQ+PGtleXdvcmQ+T3Bp
b2lkLVJlbGF0ZWQgRGlzb3JkZXJzL2RydWcgdGhlcmFweS9lY29ub21pY3MvZXBpZGVtaW9sb2d5
Lyp0aGVyYXB5PC9rZXl3b3JkPjxrZXl3b3JkPlJlY3VycmVuY2U8L2tleXdvcmQ+PGtleXdvcmQ+
UmlzayBGYWN0b3JzPC9rZXl3b3JkPjxrZXl3b3JkPlVuaXRlZCBTdGF0ZXM8L2tleXdvcmQ+PGtl
eXdvcmQ+QnVwcmVub3JwaGluZTwva2V5d29yZD48a2V5d29yZD5Db3N0PC9rZXl3b3JkPjxrZXl3
b3JkPkVjb25vbWljIGV2YWx1YXRpb248L2tleXdvcmQ+PGtleXdvcmQ+TGVuZ3RoIG9mIHRyZWF0
bWVudDwva2V5d29yZD48a2V5d29yZD5NZWRpY2FpZDwva2V5d29yZD48a2V5d29yZD5NZXRoYWRv
bmU8L2tleXdvcmQ+PGtleXdvcmQ+T3Bpb2lkIGFkZGljdGlvbjwva2V5d29yZD48a2V5d29yZD5P
cGlvaWQgYWdvbmlzdHM8L2tleXdvcmQ+PGtleXdvcmQ+UHVibGljIHBvbGljeTwva2V5d29yZD48
a2V5d29yZD5TdWJzdGFuY2UgYWJ1c2UgdHJlYXRtZW50PC9rZXl3b3JkPjxrZXl3b3JkPlRyZWF0
bWVudCBoaXN0b3J5PC9rZXl3b3JkPjwva2V5d29yZHM+PGRhdGVzPjx5ZWFyPjIwMTU8L3llYXI+
PHB1Yi1kYXRlcz48ZGF0ZT5PY3Q8L2RhdGU+PC9wdWItZGF0ZXM+PC9kYXRlcz48aXNibj4xODcz
LTY0ODMgKEVsZWN0cm9uaWMpJiN4RDswNzQwLTU0NzIgKExpbmtpbmcpPC9pc2JuPjxhY2Nlc3Np
b24tbnVtPjI1OTk3Njc0PC9hY2Nlc3Npb24tbnVtPjx1cmxzPjxyZWxhdGVkLXVybHM+PHVybD5o
dHRwOi8vd3d3Lm5jYmkubmxtLm5paC5nb3YvcHVibWVkLzI1OTk3Njc0PC91cmw+PC9yZWxhdGVk
LXVybHM+PC91cmxzPjxjdXN0b20yPlBNQzQ1NjA5ODk8L2N1c3RvbTI+PGVsZWN0cm9uaWMtcmVz
b3VyY2UtbnVtPjEwLjEwMTYvai5qc2F0LjIwMTUuMDUuMDAxPC9lbGVjdHJvbmljLXJlc291cmNl
LW51bT48L3JlY29yZD48L0NpdGU+PENpdGU+PEF1dGhvcj5DbGFyazwvQXV0aG9yPjxZZWFyPjIw
MTQ8L1llYXI+PFJlY051bT4xODc8L1JlY051bT48cmVjb3JkPjxyZWMtbnVtYmVyPjE4NzwvcmVj
LW51bWJlcj48Zm9yZWlnbi1rZXlzPjxrZXkgYXBwPSJFTiIgZGItaWQ9IjV3eHJhZXpkOXBldjJw
ZTVlcnZ4MnJmaDVkdjBzczUydGYyeiIgdGltZXN0YW1wPSIxNDgwNjEwNTI0Ij4xODc8L2tleT48
L2ZvcmVpZ24ta2V5cz48cmVmLXR5cGUgbmFtZT0iSm91cm5hbCBBcnRpY2xlIj4xNzwvcmVmLXR5
cGU+PGNvbnRyaWJ1dG9ycz48YXV0aG9ycz48YXV0aG9yPkNsYXJrLCBSLiBFLjwvYXV0aG9yPjxh
dXRob3I+QmF4dGVyLCBKLiBELjwvYXV0aG9yPjxhdXRob3I+QmFydG9uLCBCLiBBLjwvYXV0aG9y
PjxhdXRob3I+QXdlaCwgRy48L2F1dGhvcj48YXV0aG9yPk8mYXBvcztDb25uZWxsLCBFLjwvYXV0
aG9yPjxhdXRob3I+RmlzaGVyLCBXLiBILjwvYXV0aG9yPjwvYXV0aG9ycz48L2NvbnRyaWJ1dG9y
cz48YXV0aC1hZGRyZXNzPkNlbnRlciBmb3IgSGVhbHRoIFBvbGljeSBhbmQgUmVzZWFyY2gsIFVu
aXZlcnNpdHkgb2YgTWFzc2FjaHVzZXR0cyBNZWRpY2FsIFNjaG9vbCwgU2hyZXdzYnVyeSwgTUEu
PC9hdXRoLWFkZHJlc3M+PHRpdGxlcz48dGl0bGU+VGhlIGltcGFjdCBvZiBwcmlvciBhdXRob3Jp
emF0aW9uIG9uIGJ1cHJlbm9ycGhpbmUgZG9zZSwgcmVsYXBzZSByYXRlcywgYW5kIGNvc3QgZm9y
IE1hc3NhY2h1c2V0dHMgTWVkaWNhaWQgYmVuZWZpY2lhcmllcyB3aXRoIG9waW9pZCBkZXBlbmRl
bmNlPC90aXRsZT48c2Vjb25kYXJ5LXRpdGxlPkhlYWx0aCBTZXJ2IFJlczwvc2Vjb25kYXJ5LXRp
dGxlPjwvdGl0bGVzPjxwZXJpb2RpY2FsPjxmdWxsLXRpdGxlPkhlYWx0aCBTZXJ2IFJlczwvZnVs
bC10aXRsZT48L3BlcmlvZGljYWw+PHBhZ2VzPjE5NjQtNzk8L3BhZ2VzPjx2b2x1bWU+NDk8L3Zv
bHVtZT48bnVtYmVyPjY8L251bWJlcj48a2V5d29yZHM+PGtleXdvcmQ+QWR1bHQ8L2tleXdvcmQ+
PGtleXdvcmQ+QW5hbGdlc2ljcywgT3Bpb2lkLyphZG1pbmlzdHJhdGlvbiAmYW1wOyBkb3NhZ2Uv
KmVjb25vbWljczwva2V5d29yZD48a2V5d29yZD5CdXByZW5vcnBoaW5lLyphZG1pbmlzdHJhdGlv
biAmYW1wOyBkb3NhZ2UvKmVjb25vbWljczwva2V5d29yZD48a2V5d29yZD5Db2hvcnQgU3R1ZGll
czwva2V5d29yZD48a2V5d29yZD5Db3N0cyBhbmQgQ29zdCBBbmFseXNpczwva2V5d29yZD48a2V5
d29yZD4qRHJ1ZyBhbmQgTmFyY290aWMgQ29udHJvbDwva2V5d29yZD48a2V5d29yZD5GZW1hbGU8
L2tleXdvcmQ+PGtleXdvcmQ+KkhlYWx0aCBFeHBlbmRpdHVyZXM8L2tleXdvcmQ+PGtleXdvcmQ+
SHVtYW5zPC9rZXl3b3JkPjxrZXl3b3JkPk1hbGU8L2tleXdvcmQ+PGtleXdvcmQ+TWFzc2FjaHVz
ZXR0czwva2V5d29yZD48a2V5d29yZD5NZWRpY2FpZC8qZWNvbm9taWNzPC9rZXl3b3JkPjxrZXl3
b3JkPk9waWF0ZSBTdWJzdGl0dXRpb24gVHJlYXRtZW50LyplY29ub21pY3M8L2tleXdvcmQ+PGtl
eXdvcmQ+T3Bpb2lkLVJlbGF0ZWQgRGlzb3JkZXJzLypkcnVnIHRoZXJhcHkvKmVjb25vbWljczwv
a2V5d29yZD48a2V5d29yZD5SZWN1cnJlbmNlPC9rZXl3b3JkPjxrZXl3b3JkPlVuaXRlZCBTdGF0
ZXM8L2tleXdvcmQ+PGtleXdvcmQ+RHJ1ZyBhZGRpY3Rpb24gdHJlYXRtZW50PC9rZXl3b3JkPjxr
ZXl3b3JkPk1lZGljYWlkPC9rZXl3b3JkPjxrZXl3b3JkPmJ1cHJlbm9ycGhpbmU8L2tleXdvcmQ+
PGtleXdvcmQ+cGhhcm1hY2V1dGljYWwgcG9saWN5PC9rZXl3b3JkPjxrZXl3b3JkPnByaW9yIGF1
dGhvcml6YXRpb248L2tleXdvcmQ+PC9rZXl3b3Jkcz48ZGF0ZXM+PHllYXI+MjAxNDwveWVhcj48
cHViLWRhdGVzPjxkYXRlPkRlYzwvZGF0ZT48L3B1Yi1kYXRlcz48L2RhdGVzPjxpc2JuPjE0NzUt
Njc3MyAoRWxlY3Ryb25pYykmI3hEOzAwMTctOTEyNCAoTGlua2luZyk8L2lzYm4+PGFjY2Vzc2lv
bi1udW0+MjUwNDAwMjE8L2FjY2Vzc2lvbi1udW0+PHVybHM+PHJlbGF0ZWQtdXJscz48dXJsPmh0
dHA6Ly93d3cubmNiaS5ubG0ubmloLmdvdi9wdWJtZWQvMjUwNDAwMjE8L3VybD48L3JlbGF0ZWQt
dXJscz48L3VybHM+PGN1c3RvbTI+UE1DNDIzNzY0ODwvY3VzdG9tMj48ZWxlY3Ryb25pYy1yZXNv
dXJjZS1udW0+MTAuMTExMS8xNDc1LTY3NzMuMTIyMDE8L2VsZWN0cm9uaWMtcmVzb3VyY2UtbnVt
PjwvcmVjb3JkPjwvQ2l0ZT48Q2l0ZT48QXV0aG9yPkZ1bGxlcnRvbjwvQXV0aG9yPjxZZWFyPjIw
MTQ8L1llYXI+PFJlY051bT4zOTwvUmVjTnVtPjxyZWNvcmQ+PHJlYy1udW1iZXI+Mzk8L3JlYy1u
dW1iZXI+PGZvcmVpZ24ta2V5cz48a2V5IGFwcD0iRU4iIGRiLWlkPSI1d3hyYWV6ZDlwZXYycGU1
ZXJ2eDJyZmg1ZHYwc3M1MnRmMnoiIHRpbWVzdGFtcD0iMTQ0Nzg4MjUyNCI+Mzk8L2tleT48L2Zv
cmVpZ24ta2V5cz48cmVmLXR5cGUgbmFtZT0iSm91cm5hbCBBcnRpY2xlIj4xNzwvcmVmLXR5cGU+
PGNvbnRyaWJ1dG9ycz48YXV0aG9ycz48YXV0aG9yPkZ1bGxlcnRvbiwgQy4gQS48L2F1dGhvcj48
YXV0aG9yPktpbSwgTS48L2F1dGhvcj48YXV0aG9yPlRob21hcywgQy4gUC48L2F1dGhvcj48YXV0
aG9yPkx5bWFuLCBELiBSLjwvYXV0aG9yPjxhdXRob3I+TW9udGVqYW5vLCBMLiBCLjwvYXV0aG9y
PjxhdXRob3I+RG91Z2hlcnR5LCBSLiBILjwvYXV0aG9yPjxhdXRob3I+RGFuaWVscywgQS4gUy48
L2F1dGhvcj48YXV0aG9yPkdob3NlLCBTLiBTLjwvYXV0aG9yPjxhdXRob3I+RGVscGhpbi1SaXR0
bW9uLCBNLiBFLjwvYXV0aG9yPjwvYXV0aG9ycz48L2NvbnRyaWJ1dG9ycz48dGl0bGVzPjx0aXRs
ZT5NZWRpY2F0aW9uLWFzc2lzdGVkIHRyZWF0bWVudCB3aXRoIG1ldGhhZG9uZTogYXNzZXNzaW5n
IHRoZSBldmlkZW5jZTwvdGl0bGU+PHNlY29uZGFyeS10aXRsZT5Qc3ljaGlhdHIgU2Vydjwvc2Vj
b25kYXJ5LXRpdGxlPjwvdGl0bGVzPjxwZXJpb2RpY2FsPjxmdWxsLXRpdGxlPlBzeWNoaWF0ciBT
ZXJ2PC9mdWxsLXRpdGxlPjxhYmJyLTE+UHN5Y2hpYXRyaWMgc2VydmljZXM8L2FiYnItMT48L3Bl
cmlvZGljYWw+PHBhZ2VzPjE0Ni01NzwvcGFnZXM+PHZvbHVtZT42NTwvdm9sdW1lPjxudW1iZXI+
MjwvbnVtYmVyPjxrZXl3b3Jkcz48a2V5d29yZD5BbmFsZ2VzaWNzLCBPcGlvaWQvYWR2ZXJzZSBl
ZmZlY3RzLyp0aGVyYXBldXRpYyB1c2U8L2tleXdvcmQ+PGtleXdvcmQ+RmVtYWxlPC9rZXl3b3Jk
PjxrZXl3b3JkPkh1bWFuczwva2V5d29yZD48a2V5d29yZD5NZXRoYWRvbmUvYWR2ZXJzZSBlZmZl
Y3RzLyp0aGVyYXBldXRpYyB1c2U8L2tleXdvcmQ+PGtleXdvcmQ+T3BpYXRlIFN1YnN0aXR1dGlv
biBUcmVhdG1lbnQvYWR2ZXJzZSBlZmZlY3RzLyptZXRob2RzL3N0YW5kYXJkczwva2V5d29yZD48
a2V5d29yZD5PcGlvaWQtUmVsYXRlZCBEaXNvcmRlcnMvKmRydWcgdGhlcmFweTwva2V5d29yZD48
a2V5d29yZD5QcmVnbmFuY3k8L2tleXdvcmQ+PGtleXdvcmQ+UHJlZ25hbmN5IENvbXBsaWNhdGlv
bnMvKmRydWcgdGhlcmFweTwva2V5d29yZD48L2tleXdvcmRzPjxkYXRlcz48eWVhcj4yMDE0PC95
ZWFyPjxwdWItZGF0ZXM+PGRhdGU+RmViIDE8L2RhdGU+PC9wdWItZGF0ZXM+PC9kYXRlcz48aXNi
bj4xNTU3LTk3MDAgKEVsZWN0cm9uaWMpJiN4RDsxMDc1LTI3MzAgKExpbmtpbmcpPC9pc2JuPjxh
Y2Nlc3Npb24tbnVtPjI0MjQ4NDY4PC9hY2Nlc3Npb24tbnVtPjx1cmxzPjxyZWxhdGVkLXVybHM+
PHVybD5odHRwOi8vd3d3Lm5jYmkubmxtLm5paC5nb3YvcHVibWVkLzI0MjQ4NDY4PC91cmw+PC9y
ZWxhdGVkLXVybHM+PC91cmxzPjxlbGVjdHJvbmljLXJlc291cmNlLW51bT4xMC4xMTc2L2FwcGku
cHMuMjAxMzAwMjM1PC9lbGVjdHJvbmljLXJlc291cmNlLW51bT48L3JlY29yZD48L0NpdGU+PENp
dGU+PEF1dGhvcj5NYXR0aWNrPC9BdXRob3I+PFllYXI+MjAwOTwvWWVhcj48UmVjTnVtPjI3MTwv
UmVjTnVtPjxyZWNvcmQ+PHJlYy1udW1iZXI+MjcxPC9yZWMtbnVtYmVyPjxmb3JlaWduLWtleXM+
PGtleSBhcHA9IkVOIiBkYi1pZD0iNXd4cmFlemQ5cGV2MnBlNWVydngycmZoNWR2MHNzNTJ0ZjJ6
IiB0aW1lc3RhbXA9IjE0ODcwOTk5MTMiPjI3MTwva2V5PjwvZm9yZWlnbi1rZXlzPjxyZWYtdHlw
ZSBuYW1lPSJSZXBvcnQiPjI3PC9yZWYtdHlwZT48Y29udHJpYnV0b3JzPjxhdXRob3JzPjxhdXRo
b3I+TWF0dGljaywgUi5QLjwvYXV0aG9yPjxhdXRob3I+QnJlZW4sIEMuPC9hdXRob3I+PGF1dGhv
cj5LaW1iZXIsIEouIDwvYXV0aG9yPjxhdXRob3I+RGF2b2xpLCBNLjwvYXV0aG9yPjwvYXV0aG9y
cz48L2NvbnRyaWJ1dG9ycz48dGl0bGVzPjx0aXRsZT5NZXRoYWRvbmUgbWFpbnRlbmFuY2UgdGhl
cmFweSB2ZXJzdXMgbm8gb3Bpb2lkIHJlcGxhY2VtZW50IHRoZXJhcHkgZm9yIG9waW9pZCBkZXBl
bmRlbmNlLiBDb2NocmFuZSBEYXRhYmFzZSBvZiBTeXN0ZW1hdGljIFJldmlld3MgMjAwOSwgSXNz
dWUgMy4gQXJ0LiBOby46IENEMDAyMjA5LiBET0k6IDEwLjEwMDIvMTQ2NTE4NTguQ0QwMDIyMDku
cHViMi48L3RpdGxlPjwvdGl0bGVzPjxkYXRlcz48eWVhcj4yMDA5PC95ZWFyPjwvZGF0ZXM+PHVy
bHM+PC91cmxzPjwvcmVjb3JkPjwvQ2l0ZT48Q2l0ZT48QXV0aG9yPk1hdHRpY2s8L0F1dGhvcj48
WWVhcj4yMDE0PC9ZZWFyPjxSZWNOdW0+MjM5PC9SZWNOdW0+PHJlY29yZD48cmVjLW51bWJlcj4y
Mzk8L3JlYy1udW1iZXI+PGZvcmVpZ24ta2V5cz48a2V5IGFwcD0iRU4iIGRiLWlkPSI1d3hyYWV6
ZDlwZXYycGU1ZXJ2eDJyZmg1ZHYwc3M1MnRmMnoiIHRpbWVzdGFtcD0iMTQ4NTM3ODEzMSI+MjM5
PC9rZXk+PC9mb3JlaWduLWtleXM+PHJlZi10eXBlIG5hbWU9IlJlcG9ydCI+Mjc8L3JlZi10eXBl
Pjxjb250cmlidXRvcnM+PGF1dGhvcnM+PGF1dGhvcj5NYXR0aWNrLCBSLlAuIDwvYXV0aG9yPjxh
dXRob3I+QnJlZW4sIEMuIDwvYXV0aG9yPjxhdXRob3I+S2ltYmVyLCBKLjwvYXV0aG9yPjxhdXRo
b3I+RGF2b2xpLCBNLjwvYXV0aG9yPjwvYXV0aG9ycz48L2NvbnRyaWJ1dG9ycz48dGl0bGVzPjx0
aXRsZT5CdXByZW5vcnBoaW5lIG1haW50ZW5hbmNlIHZlcnN1cyBwbGFjZWJvIG9yIG1ldGhhZG9u
ZSBtYWludGVuYW5jZSBmb3Igb3Bpb2lkIGRlcGVuZGVuY2U8L3RpdGxlPjxzZWNvbmRhcnktdGl0
bGU+Q29jaHJhbmUgRGF0YWJhc2Ugb2YgU3lzdGVtYXRpYyBSZXZpZXdzLiBJc3N1ZSAyLiBBcnQu
IE5vLjogQ0QwMDIyMDcuIERPSTogMTAuMTAwMi8xNDY1MTg1OC5DRDAwMjIwNy5wdWI0Ljwvc2Vj
b25kYXJ5LXRpdGxlPjwvdGl0bGVzPjxkYXRlcz48eWVhcj4yMDE0PC95ZWFyPjwvZGF0ZXM+PHVy
bHM+PC91cmxzPjwvcmVjb3JkPjwvQ2l0ZT48Q2l0ZT48QXV0aG9yPlBhcnJhbjwvQXV0aG9yPjxZ
ZWFyPjIwMTA8L1llYXI+PFJlY051bT4xNTg8L1JlY051bT48cmVjb3JkPjxyZWMtbnVtYmVyPjE1
ODwvcmVjLW51bWJlcj48Zm9yZWlnbi1rZXlzPjxrZXkgYXBwPSJFTiIgZGItaWQ9IjV3eHJhZXpk
OXBldjJwZTVlcnZ4MnJmaDVkdjBzczUydGYyeiIgdGltZXN0YW1wPSIxNDgwNDM0NDE2Ij4xNTg8
L2tleT48L2ZvcmVpZ24ta2V5cz48cmVmLXR5cGUgbmFtZT0iSm91cm5hbCBBcnRpY2xlIj4xNzwv
cmVmLXR5cGU+PGNvbnRyaWJ1dG9ycz48YXV0aG9ycz48YXV0aG9yPlBhcnJhbiwgVC4gVi48L2F1
dGhvcj48YXV0aG9yPkFkZWxtYW4sIEMuIEEuPC9hdXRob3I+PGF1dGhvcj5NZXJraW4sIEIuPC9h
dXRob3I+PGF1dGhvcj5QYWdhbm8sIE0uIEUuPC9hdXRob3I+PGF1dGhvcj5EZWZyYW5jbywgUi48
L2F1dGhvcj48YXV0aG9yPklvbmVzY3UsIFIuIEEuPC9hdXRob3I+PGF1dGhvcj5NYWNlLCBBLiBH
LjwvYXV0aG9yPjwvYXV0aG9ycz48L2NvbnRyaWJ1dG9ycz48YXV0aC1hZGRyZXNzPlJvc2FyeSBI
YWxsLCBTdC4gVmluY2VudCBDaGFyaXR5IEhvc3BpdGFsLCBDbGV2ZWxhbmQsIE9IIDQ0MTE1LCBV
bml0ZWQgU3RhdGVzLiB0dnBAY3dydS5lZHU8L2F1dGgtYWRkcmVzcz48dGl0bGVzPjx0aXRsZT5M
b25nLXRlcm0gb3V0Y29tZXMgb2Ygb2ZmaWNlLWJhc2VkIGJ1cHJlbm9ycGhpbmUvbmFsb3hvbmUg
bWFpbnRlbmFuY2UgdGhlcmFweTwvdGl0bGU+PHNlY29uZGFyeS10aXRsZT5EcnVnIEFsY29ob2wg
RGVwZW5kPC9zZWNvbmRhcnktdGl0bGU+PC90aXRsZXM+PHBlcmlvZGljYWw+PGZ1bGwtdGl0bGU+
RHJ1ZyBBbGNvaG9sIERlcGVuZDwvZnVsbC10aXRsZT48L3BlcmlvZGljYWw+PHBhZ2VzPjU2LTYw
PC9wYWdlcz48dm9sdW1lPjEwNjwvdm9sdW1lPjxudW1iZXI+MTwvbnVtYmVyPjxrZXl3b3Jkcz48
a2V5d29yZD5BZHVsdDwva2V5d29yZD48a2V5d29yZD5BZ2VkPC9rZXl3b3JkPjxrZXl3b3JkPkJ1
cHJlbm9ycGhpbmUvKnRoZXJhcGV1dGljIHVzZTwva2V5d29yZD48a2V5d29yZD5Dcm9zcy1TZWN0
aW9uYWwgU3R1ZGllczwva2V5d29yZD48a2V5d29yZD5FbXBsb3ltZW50PC9rZXl3b3JkPjxrZXl3
b3JkPkZlbWFsZTwva2V5d29yZD48a2V5d29yZD5Gb2xsb3ctVXAgU3R1ZGllczwva2V5d29yZD48
a2V5d29yZD5IdW1hbnM8L2tleXdvcmQ+PGtleXdvcmQ+TG9uZy1UZXJtIENhcmU8L2tleXdvcmQ+
PGtleXdvcmQ+TWFsZTwva2V5d29yZD48a2V5d29yZD5NaWRkbGUgQWdlZDwva2V5d29yZD48a2V5
d29yZD5OYWxveG9uZS8qdGhlcmFwZXV0aWMgdXNlPC9rZXl3b3JkPjxrZXl3b3JkPk5hcmNvdGlj
IEFudGFnb25pc3RzLyp0aGVyYXBldXRpYyB1c2U8L2tleXdvcmQ+PGtleXdvcmQ+T3Bpb2lkLVJl
bGF0ZWQgRGlzb3JkZXJzLypyZWhhYmlsaXRhdGlvbjwva2V5d29yZD48a2V5d29yZD5QYXRpZW50
IENvbXBsaWFuY2U8L2tleXdvcmQ+PGtleXdvcmQ+UmV0cm9zcGVjdGl2ZSBTdHVkaWVzPC9rZXl3
b3JkPjxrZXl3b3JkPlNvY2lvZWNvbm9taWMgRmFjdG9yczwva2V5d29yZD48a2V5d29yZD5TdWJz
dGFuY2UgV2l0aGRyYXdhbCBTeW5kcm9tZS9wcmV2ZW50aW9uICZhbXA7IGNvbnRyb2w8L2tleXdv
cmQ+PGtleXdvcmQ+VHJlYXRtZW50IE91dGNvbWU8L2tleXdvcmQ+PGtleXdvcmQ+WW91bmcgQWR1
bHQ8L2tleXdvcmQ+PC9rZXl3b3Jkcz48ZGF0ZXM+PHllYXI+MjAxMDwveWVhcj48cHViLWRhdGVz
PjxkYXRlPkphbiAxPC9kYXRlPjwvcHViLWRhdGVzPjwvZGF0ZXM+PGlzYm4+MTg3OS0wMDQ2IChF
bGVjdHJvbmljKSYjeEQ7MDM3Ni04NzE2IChMaW5raW5nKTwvaXNibj48YWNjZXNzaW9uLW51bT4x
OTcxNzI0OTwvYWNjZXNzaW9uLW51bT48dXJscz48cmVsYXRlZC11cmxzPjx1cmw+aHR0cDovL3d3
dy5uY2JpLm5sbS5uaWguZ292L3B1Ym1lZC8xOTcxNzI0OTwvdXJsPjwvcmVsYXRlZC11cmxzPjwv
dXJscz48Y3VzdG9tMj5QTUMzMjYzNjk5PC9jdXN0b20yPjxlbGVjdHJvbmljLXJlc291cmNlLW51
bT4xMC4xMDE2L2ouZHJ1Z2FsY2RlcC4yMDA5LjA3LjAxMzwvZWxlY3Ryb25pYy1yZXNvdXJjZS1u
dW0+PC9yZWNvcmQ+PC9DaXRlPjxDaXRlPjxBdXRob3I+UGllcmNlPC9BdXRob3I+PFllYXI+MjAx
NjwvWWVhcj48UmVjTnVtPjE1MTwvUmVjTnVtPjxyZWNvcmQ+PHJlYy1udW1iZXI+MTUxPC9yZWMt
bnVtYmVyPjxmb3JlaWduLWtleXM+PGtleSBhcHA9IkVOIiBkYi1pZD0iNXd4cmFlemQ5cGV2MnBl
NWVydngycmZoNWR2MHNzNTJ0ZjJ6IiB0aW1lc3RhbXA9IjE0ODAzNjgyNTQiPjE1MTwva2V5Pjwv
Zm9yZWlnbi1rZXlzPjxyZWYtdHlwZSBuYW1lPSJKb3VybmFsIEFydGljbGUiPjE3PC9yZWYtdHlw
ZT48Y29udHJpYnV0b3JzPjxhdXRob3JzPjxhdXRob3I+UGllcmNlLCBNLjwvYXV0aG9yPjxhdXRo
b3I+QmlyZCwgUy4gTS48L2F1dGhvcj48YXV0aG9yPkhpY2ttYW4sIE0uPC9hdXRob3I+PGF1dGhv
cj5NYXJzZGVuLCBKLjwvYXV0aG9yPjxhdXRob3I+RHVubiwgRy48L2F1dGhvcj48YXV0aG9yPkpv
bmVzLCBBLjwvYXV0aG9yPjxhdXRob3I+TWlsbGFyLCBULjwvYXV0aG9yPjwvYXV0aG9ycz48L2Nv
bnRyaWJ1dG9ycz48YXV0aC1hZGRyZXNzPkluc3RpdHV0ZSBvZiBCcmFpbiBCZWhhdmlvdXIgYW5k
IE1lbnRhbCBIZWFsdGgsIEZhY3VsdHkgb2YgTWVkaWNhbCBhbmQgSHVtYW4gU2NpZW5jZXMsIFVu
aXZlcnNpdHkgb2YgTWFuY2hlc3RlciwgVUsuJiN4RDtJbnN0aXR1dGUgb2YgUG9wdWxhdGlvbiBI
ZWFsdGgsIEZhY3VsdHkgb2YgTWVkaWNhbCBhbmQgSHVtYW4gU2NpZW5jZXMsIFVuaXZlcnNpdHkg
b2YgTWFuY2hlc3RlciwgVUsuJiN4RDtNUkMgQmlvc3RhdGlzdGljcyBVbml0LCBDYW1icmlkZ2Us
IFVLLiYjeEQ7U2Nob29sIG9mIFNvY2lhbCBhbmQgQ29tbXVuaXR5IE1lZGljaW5lLCBVbml2ZXJz
aXR5IG9mIEJyaXN0b2wsIFVLLiYjeEQ7QWRkaWN0aW9ucyBEZXBhcnRtZW50LCBJbnN0aXR1dGUg
b2YgUHN5Y2hpYXRyeSwgUHN5Y2hvbG9neSBhbmQgTmV1cm9zY2llbmNlLCBLaW5nJmFwb3M7cyBD
b2xsZWdlIExvbmRvbiwgVUsuPC9hdXRoLWFkZHJlc3M+PHRpdGxlcz48dGl0bGU+SW1wYWN0IG9m
IHRyZWF0bWVudCBmb3Igb3Bpb2lkIGRlcGVuZGVuY2Ugb24gZmF0YWwgZHJ1Zy1yZWxhdGVkIHBv
aXNvbmluZzogYSBuYXRpb25hbCBjb2hvcnQgc3R1ZHkgaW4gRW5nbGFuZDwvdGl0bGU+PHNlY29u
ZGFyeS10aXRsZT5BZGRpY3Rpb248L3NlY29uZGFyeS10aXRsZT48L3RpdGxlcz48cGVyaW9kaWNh
bD48ZnVsbC10aXRsZT5BZGRpY3Rpb248L2Z1bGwtdGl0bGU+PGFiYnItMT5BZGRpY3Rpb248L2Fi
YnItMT48L3BlcmlvZGljYWw+PHBhZ2VzPjI5OC0zMDg8L3BhZ2VzPjx2b2x1bWU+MTExPC92b2x1
bWU+PG51bWJlcj4yPC9udW1iZXI+PGtleXdvcmRzPjxrZXl3b3JkPkRydWctcmVsYXRlZCBwb2lz
b25pbmc8L2tleXdvcmQ+PGtleXdvcmQ+b3BpYXRlIGRlcGVuZGVuY2U8L2tleXdvcmQ+PGtleXdv
cmQ+b3Bpb2lkIGFnb25pc3QgcGhhcm1hY290aGVyYXB5PC9rZXl3b3JkPjxrZXl3b3JkPm92ZXJk
b3NlPC9rZXl3b3JkPjxrZXl3b3JkPnBzeWNob3NvY2lhbCB0cmVhdG1lbnQ8L2tleXdvcmQ+PGtl
eXdvcmQ+cmVzaWRlbnRpYWwgdHJlYXRtZW50PC9rZXl3b3JkPjwva2V5d29yZHM+PGRhdGVzPjx5
ZWFyPjIwMTY8L3llYXI+PHB1Yi1kYXRlcz48ZGF0ZT5GZWI8L2RhdGU+PC9wdWItZGF0ZXM+PC9k
YXRlcz48aXNibj4xMzYwLTA0NDMgKEVsZWN0cm9uaWMpJiN4RDswOTY1LTIxNDAgKExpbmtpbmcp
PC9pc2JuPjxhY2Nlc3Npb24tbnVtPjI2NDUyMjM5PC9hY2Nlc3Npb24tbnVtPjx1cmxzPjxyZWxh
dGVkLXVybHM+PHVybD5odHRwOi8vd3d3Lm5jYmkubmxtLm5paC5nb3YvcHVibWVkLzI2NDUyMjM5
PC91cmw+PC9yZWxhdGVkLXVybHM+PC91cmxzPjxjdXN0b20yPlBNQzQ5NTAwMzM8L2N1c3RvbTI+
PGVsZWN0cm9uaWMtcmVzb3VyY2UtbnVtPjEwLjExMTEvYWRkLjEzMTkzPC9lbGVjdHJvbmljLXJl
c291cmNlLW51bT48L3JlY29yZD48L0NpdGU+PENpdGU+PEF1dGhvcj5UaG9tYXM8L0F1dGhvcj48
WWVhcj4yMDE0PC9ZZWFyPjxSZWNOdW0+MTQzPC9SZWNOdW0+PHJlY29yZD48cmVjLW51bWJlcj4x
NDM8L3JlYy1udW1iZXI+PGZvcmVpZ24ta2V5cz48a2V5IGFwcD0iRU4iIGRiLWlkPSI1d3hyYWV6
ZDlwZXYycGU1ZXJ2eDJyZmg1ZHYwc3M1MnRmMnoiIHRpbWVzdGFtcD0iMTQ3OTc1NDcwNiI+MTQz
PC9rZXk+PC9mb3JlaWduLWtleXM+PHJlZi10eXBlIG5hbWU9IkpvdXJuYWwgQXJ0aWNsZSI+MTc8
L3JlZi10eXBlPjxjb250cmlidXRvcnM+PGF1dGhvcnM+PGF1dGhvcj5UaG9tYXMsIEMuIFAuPC9h
dXRob3I+PGF1dGhvcj5GdWxsZXJ0b24sIEMuIEEuPC9hdXRob3I+PGF1dGhvcj5LaW0sIE0uPC9h
dXRob3I+PGF1dGhvcj5Nb250ZWphbm8sIEwuPC9hdXRob3I+PGF1dGhvcj5MeW1hbiwgRC4gUi48
L2F1dGhvcj48YXV0aG9yPkRvdWdoZXJ0eSwgUi4gSC48L2F1dGhvcj48YXV0aG9yPkRhbmllbHMs
IEEuIFMuPC9hdXRob3I+PGF1dGhvcj5HaG9zZSwgUy4gUy48L2F1dGhvcj48YXV0aG9yPkRlbHBo
aW4tUml0dG1vbiwgTS4gRS48L2F1dGhvcj48L2F1dGhvcnM+PC9jb250cmlidXRvcnM+PHRpdGxl
cz48dGl0bGU+TWVkaWNhdGlvbi1hc3Npc3RlZCB0cmVhdG1lbnQgd2l0aCBidXByZW5vcnBoaW5l
OiBhc3Nlc3NpbmcgdGhlIGV2aWRlbmNlPC90aXRsZT48c2Vjb25kYXJ5LXRpdGxlPlBzeWNoaWF0
ciBTZXJ2PC9zZWNvbmRhcnktdGl0bGU+PC90aXRsZXM+PHBlcmlvZGljYWw+PGZ1bGwtdGl0bGU+
UHN5Y2hpYXRyIFNlcnY8L2Z1bGwtdGl0bGU+PGFiYnItMT5Qc3ljaGlhdHJpYyBzZXJ2aWNlczwv
YWJici0xPjwvcGVyaW9kaWNhbD48cGFnZXM+MTU4LTcwPC9wYWdlcz48dm9sdW1lPjY1PC92b2x1
bWU+PG51bWJlcj4yPC9udW1iZXI+PGtleXdvcmRzPjxrZXl3b3JkPkFuYWxnZXNpY3MsIE9waW9p
ZC9hZHZlcnNlIGVmZmVjdHMvKnRoZXJhcGV1dGljIHVzZTwva2V5d29yZD48a2V5d29yZD5CdXBy
ZW5vcnBoaW5lL2FkdmVyc2UgZWZmZWN0cy8qdGhlcmFwZXV0aWMgdXNlPC9rZXl3b3JkPjxrZXl3
b3JkPkZlbWFsZTwva2V5d29yZD48a2V5d29yZD5IdW1hbnM8L2tleXdvcmQ+PGtleXdvcmQ+T3Bp
YXRlIFN1YnN0aXR1dGlvbiBUcmVhdG1lbnQvYWR2ZXJzZSBlZmZlY3RzLyptZXRob2RzL3N0YW5k
YXJkczwva2V5d29yZD48a2V5d29yZD5PcGlvaWQtUmVsYXRlZCBEaXNvcmRlcnMvKmRydWcgdGhl
cmFweTwva2V5d29yZD48a2V5d29yZD5QcmVnbmFuY3k8L2tleXdvcmQ+PGtleXdvcmQ+UHJlZ25h
bmN5IENvbXBsaWNhdGlvbnMvKmRydWcgdGhlcmFweTwva2V5d29yZD48L2tleXdvcmRzPjxkYXRl
cz48eWVhcj4yMDE0PC95ZWFyPjxwdWItZGF0ZXM+PGRhdGU+RmViIDE8L2RhdGU+PC9wdWItZGF0
ZXM+PC9kYXRlcz48aXNibj4xNTU3LTk3MDAgKEVsZWN0cm9uaWMpJiN4RDsxMDc1LTI3MzAgKExp
bmtpbmcpPC9pc2JuPjxhY2Nlc3Npb24tbnVtPjI0MjQ3MTQ3PC9hY2Nlc3Npb24tbnVtPjx1cmxz
PjxyZWxhdGVkLXVybHM+PHVybD5odHRwOi8vd3d3Lm5jYmkubmxtLm5paC5nb3YvcHVibWVkLzI0
MjQ3MTQ3PC91cmw+PC9yZWxhdGVkLXVybHM+PC91cmxzPjxlbGVjdHJvbmljLXJlc291cmNlLW51
bT4xMC4xMTc2L2FwcGkucHMuMjAxMzAwMjU2PC9lbGVjdHJvbmljLXJlc291cmNlLW51bT48L3Jl
Y29yZD48L0NpdGU+PC9FbmROb3RlPgB=
</w:fldData>
        </w:fldChar>
      </w:r>
      <w:r w:rsidR="00C00A90" w:rsidRPr="0036254C">
        <w:rPr>
          <w:rFonts w:asciiTheme="minorHAnsi" w:eastAsiaTheme="minorEastAsia" w:hAnsiTheme="minorHAnsi"/>
          <w:color w:val="0070C0"/>
          <w:kern w:val="24"/>
          <w:sz w:val="22"/>
          <w:szCs w:val="22"/>
        </w:rPr>
        <w:instrText xml:space="preserve"> ADDIN EN.CITE </w:instrText>
      </w:r>
      <w:r w:rsidR="00C00A90" w:rsidRPr="0036254C">
        <w:rPr>
          <w:rFonts w:asciiTheme="minorHAnsi" w:eastAsiaTheme="minorEastAsia" w:hAnsiTheme="minorHAnsi"/>
          <w:color w:val="0070C0"/>
          <w:kern w:val="24"/>
          <w:sz w:val="22"/>
          <w:szCs w:val="22"/>
        </w:rPr>
        <w:fldChar w:fldCharType="begin">
          <w:fldData xml:space="preserve">PEVuZE5vdGU+PENpdGU+PEF1dGhvcj5DbGFyazwvQXV0aG9yPjxZZWFyPjIwMTU8L1llYXI+PFJl
Y051bT4yOTE8L1JlY051bT48RGlzcGxheVRleHQ+KENsYXJrIGV0IGFsLiwgMjAxNTsgQ2xhcmsg
ZXQgYWwuLCAyMDE0OyBGdWxsZXJ0b24gZXQgYWwuLCAyMDE0OyBSLlAuIE1hdHRpY2ssIEJyZWVu
LCBLaW1iZXIsICZhbXA7IERhdm9saSwgMjAwOTsgUi5QLiAgTWF0dGljaywgQnJlZW4sIEtpbWJl
ciwgJmFtcDsgRGF2b2xpLCAyMDE0OyBQYXJyYW4gZXQgYWwuLCAyMDEwOyBNLiBQaWVyY2UgZXQg
YWwuLCAyMDE2OyBUaG9tYXMgZXQgYWwuLCAyMDE0KTwvRGlzcGxheVRleHQ+PHJlY29yZD48cmVj
LW51bWJlcj4yOTE8L3JlYy1udW1iZXI+PGZvcmVpZ24ta2V5cz48a2V5IGFwcD0iRU4iIGRiLWlk
PSI1d3hyYWV6ZDlwZXYycGU1ZXJ2eDJyZmg1ZHYwc3M1MnRmMnoiIHRpbWVzdGFtcD0iMTQ4Nzc4
MDgwNyI+MjkxPC9rZXk+PC9mb3JlaWduLWtleXM+PHJlZi10eXBlIG5hbWU9IkpvdXJuYWwgQXJ0
aWNsZSI+MTc8L3JlZi10eXBlPjxjb250cmlidXRvcnM+PGF1dGhvcnM+PGF1dGhvcj5DbGFyaywg
Ui4gRS48L2F1dGhvcj48YXV0aG9yPkJheHRlciwgSi4gRC48L2F1dGhvcj48YXV0aG9yPkF3ZWgs
IEcuPC9hdXRob3I+PGF1dGhvcj5PJmFwb3M7Q29ubmVsbCwgRS48L2F1dGhvcj48YXV0aG9yPkZp
c2hlciwgVy4gSC48L2F1dGhvcj48YXV0aG9yPkJhcnRvbiwgQi4gQS48L2F1dGhvcj48L2F1dGhv
cnM+PC9jb250cmlidXRvcnM+PGF1dGgtYWRkcmVzcz5EZXBhcnRtZW50IG9mIEZhbWlseSBNZWRp
Y2luZSBhbmQgQ29tbXVuaXR5IEhlYWx0aCwgVW5pdmVyc2l0eSBvZiBNYXNzYWNodXNldHRzIE1l
ZGljYWwgU2Nob29sOyBEZXBhcnRtZW50IG9mIFF1YW50aXRhdGl2ZSBIZWFsdGggU2NpZW5jZXMs
IFVuaXZlcnNpdHkgb2YgTWFzc2FjaHVzZXR0cyBNZWRpY2FsIFNjaG9vbC4gRWxlY3Ryb25pYyBh
ZGRyZXNzOiByb2Jpbi5jbGFya0B1bWFzc21lZC5lZHUuJiN4RDtEZXBhcnRtZW50IG9mIEZhbWls
eSBNZWRpY2luZSBhbmQgQ29tbXVuaXR5IEhlYWx0aCwgVW5pdmVyc2l0eSBvZiBNYXNzYWNodXNl
dHRzIE1lZGljYWwgU2Nob29sOyBDZW50ZXIgZm9yIEhlYWx0aCBQb2xpY3kgYW5kIFJlc2VhcmNo
LCBVbml2ZXJzaXR5IG9mIE1hc3NhY2h1c2V0dHMgTWVkaWNhbCBTY2hvb2wuJiN4RDtDZW50ZXIg
Zm9yIEhlYWx0aCBQb2xpY3kgYW5kIFJlc2VhcmNoLCBVbml2ZXJzaXR5IG9mIE1hc3NhY2h1c2V0
dHMgTWVkaWNhbCBTY2hvb2wuJiN4RDtTY2hvb2wgb2YgQ3JpbWlub2xvZ3kgYW5kIEp1c3RpY2Ug
U3R1ZGllcywgVW5pdmVyc2l0eSBvZiBNYXNzYWNodXNldHRzIExvd2VsbC4mI3hEO0RlcGFydG1l
bnQgb2YgUXVhbnRpdGF0aXZlIEhlYWx0aCBTY2llbmNlcywgVW5pdmVyc2l0eSBvZiBNYXNzYWNo
dXNldHRzIE1lZGljYWwgU2Nob29sOyBDZW50ZXIgZm9yIEhlYWx0aCBQb2xpY3kgYW5kIFJlc2Vh
cmNoLCBVbml2ZXJzaXR5IG9mIE1hc3NhY2h1c2V0dHMgTWVkaWNhbCBTY2hvb2wuPC9hdXRoLWFk
ZHJlc3M+PHRpdGxlcz48dGl0bGU+UmlzayBGYWN0b3JzIGZvciBSZWxhcHNlIGFuZCBIaWdoZXIg
Q29zdHMgQW1vbmcgTWVkaWNhaWQgTWVtYmVycyB3aXRoIE9waW9pZCBEZXBlbmRlbmNlIG9yIEFi
dXNlOiBPcGlvaWQgQWdvbmlzdHMsIENvbW9yYmlkaXRpZXMsIGFuZCBUcmVhdG1lbnQgSGlzdG9y
eTwvdGl0bGU+PHNlY29uZGFyeS10aXRsZT5KIFN1YnN0IEFidXNlIFRyZWF0PC9zZWNvbmRhcnkt
dGl0bGU+PC90aXRsZXM+PHBlcmlvZGljYWw+PGZ1bGwtdGl0bGU+SiBTdWJzdCBBYnVzZSBUcmVh
dDwvZnVsbC10aXRsZT48YWJici0xPkpvdXJuYWwgb2Ygc3Vic3RhbmNlIGFidXNlIHRyZWF0bWVu
dDwvYWJici0xPjwvcGVyaW9kaWNhbD48cGFnZXM+NzUtODA8L3BhZ2VzPjx2b2x1bWU+NTc8L3Zv
bHVtZT48a2V5d29yZHM+PGtleXdvcmQ+QWR1bHQ8L2tleXdvcmQ+PGtleXdvcmQ+QW5hbGdlc2lj
cywgT3Bpb2lkL2Vjb25vbWljcy8qdGhlcmFwZXV0aWMgdXNlPC9rZXl3b3JkPjxrZXl3b3JkPkJl
aGF2aW9yIFRoZXJhcHkvZWNvbm9taWNzLypzdGF0aXN0aWNzICZhbXA7IG51bWVyaWNhbCBkYXRh
PC9rZXl3b3JkPjxrZXl3b3JkPkJ1cHJlbm9ycGhpbmUvZWNvbm9taWNzLyp0aGVyYXBldXRpYyB1
c2U8L2tleXdvcmQ+PGtleXdvcmQ+Q29tYmluZWQgTW9kYWxpdHkgVGhlcmFweTwva2V5d29yZD48
a2V5d29yZD5Db21vcmJpZGl0eTwva2V5d29yZD48a2V5d29yZD5GZW1hbGU8L2tleXdvcmQ+PGtl
eXdvcmQ+SGVhbHRoIENhcmUgQ29zdHMvKnN0YXRpc3RpY3MgJmFtcDsgbnVtZXJpY2FsIGRhdGE8
L2tleXdvcmQ+PGtleXdvcmQ+SHVtYW5zPC9rZXl3b3JkPjxrZXl3b3JkPk1hbGU8L2tleXdvcmQ+
PGtleXdvcmQ+TWVkaWNhaWQvZWNvbm9taWNzLypzdGF0aXN0aWNzICZhbXA7IG51bWVyaWNhbCBk
YXRhPC9rZXl3b3JkPjxrZXl3b3JkPk1ldGhhZG9uZS9lY29ub21pY3MvKnRoZXJhcGV1dGljIHVz
ZTwva2V5d29yZD48a2V5d29yZD5PcGlhdGUgU3Vic3RpdHV0aW9uIFRyZWF0bWVudC9lY29ub21p
Y3MvKnN0YXRpc3RpY3MgJmFtcDsgbnVtZXJpY2FsIGRhdGE8L2tleXdvcmQ+PGtleXdvcmQ+T3Bp
b2lkLVJlbGF0ZWQgRGlzb3JkZXJzL2RydWcgdGhlcmFweS9lY29ub21pY3MvZXBpZGVtaW9sb2d5
Lyp0aGVyYXB5PC9rZXl3b3JkPjxrZXl3b3JkPlJlY3VycmVuY2U8L2tleXdvcmQ+PGtleXdvcmQ+
UmlzayBGYWN0b3JzPC9rZXl3b3JkPjxrZXl3b3JkPlVuaXRlZCBTdGF0ZXM8L2tleXdvcmQ+PGtl
eXdvcmQ+QnVwcmVub3JwaGluZTwva2V5d29yZD48a2V5d29yZD5Db3N0PC9rZXl3b3JkPjxrZXl3
b3JkPkVjb25vbWljIGV2YWx1YXRpb248L2tleXdvcmQ+PGtleXdvcmQ+TGVuZ3RoIG9mIHRyZWF0
bWVudDwva2V5d29yZD48a2V5d29yZD5NZWRpY2FpZDwva2V5d29yZD48a2V5d29yZD5NZXRoYWRv
bmU8L2tleXdvcmQ+PGtleXdvcmQ+T3Bpb2lkIGFkZGljdGlvbjwva2V5d29yZD48a2V5d29yZD5P
cGlvaWQgYWdvbmlzdHM8L2tleXdvcmQ+PGtleXdvcmQ+UHVibGljIHBvbGljeTwva2V5d29yZD48
a2V5d29yZD5TdWJzdGFuY2UgYWJ1c2UgdHJlYXRtZW50PC9rZXl3b3JkPjxrZXl3b3JkPlRyZWF0
bWVudCBoaXN0b3J5PC9rZXl3b3JkPjwva2V5d29yZHM+PGRhdGVzPjx5ZWFyPjIwMTU8L3llYXI+
PHB1Yi1kYXRlcz48ZGF0ZT5PY3Q8L2RhdGU+PC9wdWItZGF0ZXM+PC9kYXRlcz48aXNibj4xODcz
LTY0ODMgKEVsZWN0cm9uaWMpJiN4RDswNzQwLTU0NzIgKExpbmtpbmcpPC9pc2JuPjxhY2Nlc3Np
b24tbnVtPjI1OTk3Njc0PC9hY2Nlc3Npb24tbnVtPjx1cmxzPjxyZWxhdGVkLXVybHM+PHVybD5o
dHRwOi8vd3d3Lm5jYmkubmxtLm5paC5nb3YvcHVibWVkLzI1OTk3Njc0PC91cmw+PC9yZWxhdGVk
LXVybHM+PC91cmxzPjxjdXN0b20yPlBNQzQ1NjA5ODk8L2N1c3RvbTI+PGVsZWN0cm9uaWMtcmVz
b3VyY2UtbnVtPjEwLjEwMTYvai5qc2F0LjIwMTUuMDUuMDAxPC9lbGVjdHJvbmljLXJlc291cmNl
LW51bT48L3JlY29yZD48L0NpdGU+PENpdGU+PEF1dGhvcj5DbGFyazwvQXV0aG9yPjxZZWFyPjIw
MTQ8L1llYXI+PFJlY051bT4xODc8L1JlY051bT48cmVjb3JkPjxyZWMtbnVtYmVyPjE4NzwvcmVj
LW51bWJlcj48Zm9yZWlnbi1rZXlzPjxrZXkgYXBwPSJFTiIgZGItaWQ9IjV3eHJhZXpkOXBldjJw
ZTVlcnZ4MnJmaDVkdjBzczUydGYyeiIgdGltZXN0YW1wPSIxNDgwNjEwNTI0Ij4xODc8L2tleT48
L2ZvcmVpZ24ta2V5cz48cmVmLXR5cGUgbmFtZT0iSm91cm5hbCBBcnRpY2xlIj4xNzwvcmVmLXR5
cGU+PGNvbnRyaWJ1dG9ycz48YXV0aG9ycz48YXV0aG9yPkNsYXJrLCBSLiBFLjwvYXV0aG9yPjxh
dXRob3I+QmF4dGVyLCBKLiBELjwvYXV0aG9yPjxhdXRob3I+QmFydG9uLCBCLiBBLjwvYXV0aG9y
PjxhdXRob3I+QXdlaCwgRy48L2F1dGhvcj48YXV0aG9yPk8mYXBvcztDb25uZWxsLCBFLjwvYXV0
aG9yPjxhdXRob3I+RmlzaGVyLCBXLiBILjwvYXV0aG9yPjwvYXV0aG9ycz48L2NvbnRyaWJ1dG9y
cz48YXV0aC1hZGRyZXNzPkNlbnRlciBmb3IgSGVhbHRoIFBvbGljeSBhbmQgUmVzZWFyY2gsIFVu
aXZlcnNpdHkgb2YgTWFzc2FjaHVzZXR0cyBNZWRpY2FsIFNjaG9vbCwgU2hyZXdzYnVyeSwgTUEu
PC9hdXRoLWFkZHJlc3M+PHRpdGxlcz48dGl0bGU+VGhlIGltcGFjdCBvZiBwcmlvciBhdXRob3Jp
emF0aW9uIG9uIGJ1cHJlbm9ycGhpbmUgZG9zZSwgcmVsYXBzZSByYXRlcywgYW5kIGNvc3QgZm9y
IE1hc3NhY2h1c2V0dHMgTWVkaWNhaWQgYmVuZWZpY2lhcmllcyB3aXRoIG9waW9pZCBkZXBlbmRl
bmNlPC90aXRsZT48c2Vjb25kYXJ5LXRpdGxlPkhlYWx0aCBTZXJ2IFJlczwvc2Vjb25kYXJ5LXRp
dGxlPjwvdGl0bGVzPjxwZXJpb2RpY2FsPjxmdWxsLXRpdGxlPkhlYWx0aCBTZXJ2IFJlczwvZnVs
bC10aXRsZT48L3BlcmlvZGljYWw+PHBhZ2VzPjE5NjQtNzk8L3BhZ2VzPjx2b2x1bWU+NDk8L3Zv
bHVtZT48bnVtYmVyPjY8L251bWJlcj48a2V5d29yZHM+PGtleXdvcmQ+QWR1bHQ8L2tleXdvcmQ+
PGtleXdvcmQ+QW5hbGdlc2ljcywgT3Bpb2lkLyphZG1pbmlzdHJhdGlvbiAmYW1wOyBkb3NhZ2Uv
KmVjb25vbWljczwva2V5d29yZD48a2V5d29yZD5CdXByZW5vcnBoaW5lLyphZG1pbmlzdHJhdGlv
biAmYW1wOyBkb3NhZ2UvKmVjb25vbWljczwva2V5d29yZD48a2V5d29yZD5Db2hvcnQgU3R1ZGll
czwva2V5d29yZD48a2V5d29yZD5Db3N0cyBhbmQgQ29zdCBBbmFseXNpczwva2V5d29yZD48a2V5
d29yZD4qRHJ1ZyBhbmQgTmFyY290aWMgQ29udHJvbDwva2V5d29yZD48a2V5d29yZD5GZW1hbGU8
L2tleXdvcmQ+PGtleXdvcmQ+KkhlYWx0aCBFeHBlbmRpdHVyZXM8L2tleXdvcmQ+PGtleXdvcmQ+
SHVtYW5zPC9rZXl3b3JkPjxrZXl3b3JkPk1hbGU8L2tleXdvcmQ+PGtleXdvcmQ+TWFzc2FjaHVz
ZXR0czwva2V5d29yZD48a2V5d29yZD5NZWRpY2FpZC8qZWNvbm9taWNzPC9rZXl3b3JkPjxrZXl3
b3JkPk9waWF0ZSBTdWJzdGl0dXRpb24gVHJlYXRtZW50LyplY29ub21pY3M8L2tleXdvcmQ+PGtl
eXdvcmQ+T3Bpb2lkLVJlbGF0ZWQgRGlzb3JkZXJzLypkcnVnIHRoZXJhcHkvKmVjb25vbWljczwv
a2V5d29yZD48a2V5d29yZD5SZWN1cnJlbmNlPC9rZXl3b3JkPjxrZXl3b3JkPlVuaXRlZCBTdGF0
ZXM8L2tleXdvcmQ+PGtleXdvcmQ+RHJ1ZyBhZGRpY3Rpb24gdHJlYXRtZW50PC9rZXl3b3JkPjxr
ZXl3b3JkPk1lZGljYWlkPC9rZXl3b3JkPjxrZXl3b3JkPmJ1cHJlbm9ycGhpbmU8L2tleXdvcmQ+
PGtleXdvcmQ+cGhhcm1hY2V1dGljYWwgcG9saWN5PC9rZXl3b3JkPjxrZXl3b3JkPnByaW9yIGF1
dGhvcml6YXRpb248L2tleXdvcmQ+PC9rZXl3b3Jkcz48ZGF0ZXM+PHllYXI+MjAxNDwveWVhcj48
cHViLWRhdGVzPjxkYXRlPkRlYzwvZGF0ZT48L3B1Yi1kYXRlcz48L2RhdGVzPjxpc2JuPjE0NzUt
Njc3MyAoRWxlY3Ryb25pYykmI3hEOzAwMTctOTEyNCAoTGlua2luZyk8L2lzYm4+PGFjY2Vzc2lv
bi1udW0+MjUwNDAwMjE8L2FjY2Vzc2lvbi1udW0+PHVybHM+PHJlbGF0ZWQtdXJscz48dXJsPmh0
dHA6Ly93d3cubmNiaS5ubG0ubmloLmdvdi9wdWJtZWQvMjUwNDAwMjE8L3VybD48L3JlbGF0ZWQt
dXJscz48L3VybHM+PGN1c3RvbTI+UE1DNDIzNzY0ODwvY3VzdG9tMj48ZWxlY3Ryb25pYy1yZXNv
dXJjZS1udW0+MTAuMTExMS8xNDc1LTY3NzMuMTIyMDE8L2VsZWN0cm9uaWMtcmVzb3VyY2UtbnVt
PjwvcmVjb3JkPjwvQ2l0ZT48Q2l0ZT48QXV0aG9yPkZ1bGxlcnRvbjwvQXV0aG9yPjxZZWFyPjIw
MTQ8L1llYXI+PFJlY051bT4zOTwvUmVjTnVtPjxyZWNvcmQ+PHJlYy1udW1iZXI+Mzk8L3JlYy1u
dW1iZXI+PGZvcmVpZ24ta2V5cz48a2V5IGFwcD0iRU4iIGRiLWlkPSI1d3hyYWV6ZDlwZXYycGU1
ZXJ2eDJyZmg1ZHYwc3M1MnRmMnoiIHRpbWVzdGFtcD0iMTQ0Nzg4MjUyNCI+Mzk8L2tleT48L2Zv
cmVpZ24ta2V5cz48cmVmLXR5cGUgbmFtZT0iSm91cm5hbCBBcnRpY2xlIj4xNzwvcmVmLXR5cGU+
PGNvbnRyaWJ1dG9ycz48YXV0aG9ycz48YXV0aG9yPkZ1bGxlcnRvbiwgQy4gQS48L2F1dGhvcj48
YXV0aG9yPktpbSwgTS48L2F1dGhvcj48YXV0aG9yPlRob21hcywgQy4gUC48L2F1dGhvcj48YXV0
aG9yPkx5bWFuLCBELiBSLjwvYXV0aG9yPjxhdXRob3I+TW9udGVqYW5vLCBMLiBCLjwvYXV0aG9y
PjxhdXRob3I+RG91Z2hlcnR5LCBSLiBILjwvYXV0aG9yPjxhdXRob3I+RGFuaWVscywgQS4gUy48
L2F1dGhvcj48YXV0aG9yPkdob3NlLCBTLiBTLjwvYXV0aG9yPjxhdXRob3I+RGVscGhpbi1SaXR0
bW9uLCBNLiBFLjwvYXV0aG9yPjwvYXV0aG9ycz48L2NvbnRyaWJ1dG9ycz48dGl0bGVzPjx0aXRs
ZT5NZWRpY2F0aW9uLWFzc2lzdGVkIHRyZWF0bWVudCB3aXRoIG1ldGhhZG9uZTogYXNzZXNzaW5n
IHRoZSBldmlkZW5jZTwvdGl0bGU+PHNlY29uZGFyeS10aXRsZT5Qc3ljaGlhdHIgU2Vydjwvc2Vj
b25kYXJ5LXRpdGxlPjwvdGl0bGVzPjxwZXJpb2RpY2FsPjxmdWxsLXRpdGxlPlBzeWNoaWF0ciBT
ZXJ2PC9mdWxsLXRpdGxlPjxhYmJyLTE+UHN5Y2hpYXRyaWMgc2VydmljZXM8L2FiYnItMT48L3Bl
cmlvZGljYWw+PHBhZ2VzPjE0Ni01NzwvcGFnZXM+PHZvbHVtZT42NTwvdm9sdW1lPjxudW1iZXI+
MjwvbnVtYmVyPjxrZXl3b3Jkcz48a2V5d29yZD5BbmFsZ2VzaWNzLCBPcGlvaWQvYWR2ZXJzZSBl
ZmZlY3RzLyp0aGVyYXBldXRpYyB1c2U8L2tleXdvcmQ+PGtleXdvcmQ+RmVtYWxlPC9rZXl3b3Jk
PjxrZXl3b3JkPkh1bWFuczwva2V5d29yZD48a2V5d29yZD5NZXRoYWRvbmUvYWR2ZXJzZSBlZmZl
Y3RzLyp0aGVyYXBldXRpYyB1c2U8L2tleXdvcmQ+PGtleXdvcmQ+T3BpYXRlIFN1YnN0aXR1dGlv
biBUcmVhdG1lbnQvYWR2ZXJzZSBlZmZlY3RzLyptZXRob2RzL3N0YW5kYXJkczwva2V5d29yZD48
a2V5d29yZD5PcGlvaWQtUmVsYXRlZCBEaXNvcmRlcnMvKmRydWcgdGhlcmFweTwva2V5d29yZD48
a2V5d29yZD5QcmVnbmFuY3k8L2tleXdvcmQ+PGtleXdvcmQ+UHJlZ25hbmN5IENvbXBsaWNhdGlv
bnMvKmRydWcgdGhlcmFweTwva2V5d29yZD48L2tleXdvcmRzPjxkYXRlcz48eWVhcj4yMDE0PC95
ZWFyPjxwdWItZGF0ZXM+PGRhdGU+RmViIDE8L2RhdGU+PC9wdWItZGF0ZXM+PC9kYXRlcz48aXNi
bj4xNTU3LTk3MDAgKEVsZWN0cm9uaWMpJiN4RDsxMDc1LTI3MzAgKExpbmtpbmcpPC9pc2JuPjxh
Y2Nlc3Npb24tbnVtPjI0MjQ4NDY4PC9hY2Nlc3Npb24tbnVtPjx1cmxzPjxyZWxhdGVkLXVybHM+
PHVybD5odHRwOi8vd3d3Lm5jYmkubmxtLm5paC5nb3YvcHVibWVkLzI0MjQ4NDY4PC91cmw+PC9y
ZWxhdGVkLXVybHM+PC91cmxzPjxlbGVjdHJvbmljLXJlc291cmNlLW51bT4xMC4xMTc2L2FwcGku
cHMuMjAxMzAwMjM1PC9lbGVjdHJvbmljLXJlc291cmNlLW51bT48L3JlY29yZD48L0NpdGU+PENp
dGU+PEF1dGhvcj5NYXR0aWNrPC9BdXRob3I+PFllYXI+MjAwOTwvWWVhcj48UmVjTnVtPjI3MTwv
UmVjTnVtPjxyZWNvcmQ+PHJlYy1udW1iZXI+MjcxPC9yZWMtbnVtYmVyPjxmb3JlaWduLWtleXM+
PGtleSBhcHA9IkVOIiBkYi1pZD0iNXd4cmFlemQ5cGV2MnBlNWVydngycmZoNWR2MHNzNTJ0ZjJ6
IiB0aW1lc3RhbXA9IjE0ODcwOTk5MTMiPjI3MTwva2V5PjwvZm9yZWlnbi1rZXlzPjxyZWYtdHlw
ZSBuYW1lPSJSZXBvcnQiPjI3PC9yZWYtdHlwZT48Y29udHJpYnV0b3JzPjxhdXRob3JzPjxhdXRo
b3I+TWF0dGljaywgUi5QLjwvYXV0aG9yPjxhdXRob3I+QnJlZW4sIEMuPC9hdXRob3I+PGF1dGhv
cj5LaW1iZXIsIEouIDwvYXV0aG9yPjxhdXRob3I+RGF2b2xpLCBNLjwvYXV0aG9yPjwvYXV0aG9y
cz48L2NvbnRyaWJ1dG9ycz48dGl0bGVzPjx0aXRsZT5NZXRoYWRvbmUgbWFpbnRlbmFuY2UgdGhl
cmFweSB2ZXJzdXMgbm8gb3Bpb2lkIHJlcGxhY2VtZW50IHRoZXJhcHkgZm9yIG9waW9pZCBkZXBl
bmRlbmNlLiBDb2NocmFuZSBEYXRhYmFzZSBvZiBTeXN0ZW1hdGljIFJldmlld3MgMjAwOSwgSXNz
dWUgMy4gQXJ0LiBOby46IENEMDAyMjA5LiBET0k6IDEwLjEwMDIvMTQ2NTE4NTguQ0QwMDIyMDku
cHViMi48L3RpdGxlPjwvdGl0bGVzPjxkYXRlcz48eWVhcj4yMDA5PC95ZWFyPjwvZGF0ZXM+PHVy
bHM+PC91cmxzPjwvcmVjb3JkPjwvQ2l0ZT48Q2l0ZT48QXV0aG9yPk1hdHRpY2s8L0F1dGhvcj48
WWVhcj4yMDE0PC9ZZWFyPjxSZWNOdW0+MjM5PC9SZWNOdW0+PHJlY29yZD48cmVjLW51bWJlcj4y
Mzk8L3JlYy1udW1iZXI+PGZvcmVpZ24ta2V5cz48a2V5IGFwcD0iRU4iIGRiLWlkPSI1d3hyYWV6
ZDlwZXYycGU1ZXJ2eDJyZmg1ZHYwc3M1MnRmMnoiIHRpbWVzdGFtcD0iMTQ4NTM3ODEzMSI+MjM5
PC9rZXk+PC9mb3JlaWduLWtleXM+PHJlZi10eXBlIG5hbWU9IlJlcG9ydCI+Mjc8L3JlZi10eXBl
Pjxjb250cmlidXRvcnM+PGF1dGhvcnM+PGF1dGhvcj5NYXR0aWNrLCBSLlAuIDwvYXV0aG9yPjxh
dXRob3I+QnJlZW4sIEMuIDwvYXV0aG9yPjxhdXRob3I+S2ltYmVyLCBKLjwvYXV0aG9yPjxhdXRo
b3I+RGF2b2xpLCBNLjwvYXV0aG9yPjwvYXV0aG9ycz48L2NvbnRyaWJ1dG9ycz48dGl0bGVzPjx0
aXRsZT5CdXByZW5vcnBoaW5lIG1haW50ZW5hbmNlIHZlcnN1cyBwbGFjZWJvIG9yIG1ldGhhZG9u
ZSBtYWludGVuYW5jZSBmb3Igb3Bpb2lkIGRlcGVuZGVuY2U8L3RpdGxlPjxzZWNvbmRhcnktdGl0
bGU+Q29jaHJhbmUgRGF0YWJhc2Ugb2YgU3lzdGVtYXRpYyBSZXZpZXdzLiBJc3N1ZSAyLiBBcnQu
IE5vLjogQ0QwMDIyMDcuIERPSTogMTAuMTAwMi8xNDY1MTg1OC5DRDAwMjIwNy5wdWI0Ljwvc2Vj
b25kYXJ5LXRpdGxlPjwvdGl0bGVzPjxkYXRlcz48eWVhcj4yMDE0PC95ZWFyPjwvZGF0ZXM+PHVy
bHM+PC91cmxzPjwvcmVjb3JkPjwvQ2l0ZT48Q2l0ZT48QXV0aG9yPlBhcnJhbjwvQXV0aG9yPjxZ
ZWFyPjIwMTA8L1llYXI+PFJlY051bT4xNTg8L1JlY051bT48cmVjb3JkPjxyZWMtbnVtYmVyPjE1
ODwvcmVjLW51bWJlcj48Zm9yZWlnbi1rZXlzPjxrZXkgYXBwPSJFTiIgZGItaWQ9IjV3eHJhZXpk
OXBldjJwZTVlcnZ4MnJmaDVkdjBzczUydGYyeiIgdGltZXN0YW1wPSIxNDgwNDM0NDE2Ij4xNTg8
L2tleT48L2ZvcmVpZ24ta2V5cz48cmVmLXR5cGUgbmFtZT0iSm91cm5hbCBBcnRpY2xlIj4xNzwv
cmVmLXR5cGU+PGNvbnRyaWJ1dG9ycz48YXV0aG9ycz48YXV0aG9yPlBhcnJhbiwgVC4gVi48L2F1
dGhvcj48YXV0aG9yPkFkZWxtYW4sIEMuIEEuPC9hdXRob3I+PGF1dGhvcj5NZXJraW4sIEIuPC9h
dXRob3I+PGF1dGhvcj5QYWdhbm8sIE0uIEUuPC9hdXRob3I+PGF1dGhvcj5EZWZyYW5jbywgUi48
L2F1dGhvcj48YXV0aG9yPklvbmVzY3UsIFIuIEEuPC9hdXRob3I+PGF1dGhvcj5NYWNlLCBBLiBH
LjwvYXV0aG9yPjwvYXV0aG9ycz48L2NvbnRyaWJ1dG9ycz48YXV0aC1hZGRyZXNzPlJvc2FyeSBI
YWxsLCBTdC4gVmluY2VudCBDaGFyaXR5IEhvc3BpdGFsLCBDbGV2ZWxhbmQsIE9IIDQ0MTE1LCBV
bml0ZWQgU3RhdGVzLiB0dnBAY3dydS5lZHU8L2F1dGgtYWRkcmVzcz48dGl0bGVzPjx0aXRsZT5M
b25nLXRlcm0gb3V0Y29tZXMgb2Ygb2ZmaWNlLWJhc2VkIGJ1cHJlbm9ycGhpbmUvbmFsb3hvbmUg
bWFpbnRlbmFuY2UgdGhlcmFweTwvdGl0bGU+PHNlY29uZGFyeS10aXRsZT5EcnVnIEFsY29ob2wg
RGVwZW5kPC9zZWNvbmRhcnktdGl0bGU+PC90aXRsZXM+PHBlcmlvZGljYWw+PGZ1bGwtdGl0bGU+
RHJ1ZyBBbGNvaG9sIERlcGVuZDwvZnVsbC10aXRsZT48L3BlcmlvZGljYWw+PHBhZ2VzPjU2LTYw
PC9wYWdlcz48dm9sdW1lPjEwNjwvdm9sdW1lPjxudW1iZXI+MTwvbnVtYmVyPjxrZXl3b3Jkcz48
a2V5d29yZD5BZHVsdDwva2V5d29yZD48a2V5d29yZD5BZ2VkPC9rZXl3b3JkPjxrZXl3b3JkPkJ1
cHJlbm9ycGhpbmUvKnRoZXJhcGV1dGljIHVzZTwva2V5d29yZD48a2V5d29yZD5Dcm9zcy1TZWN0
aW9uYWwgU3R1ZGllczwva2V5d29yZD48a2V5d29yZD5FbXBsb3ltZW50PC9rZXl3b3JkPjxrZXl3
b3JkPkZlbWFsZTwva2V5d29yZD48a2V5d29yZD5Gb2xsb3ctVXAgU3R1ZGllczwva2V5d29yZD48
a2V5d29yZD5IdW1hbnM8L2tleXdvcmQ+PGtleXdvcmQ+TG9uZy1UZXJtIENhcmU8L2tleXdvcmQ+
PGtleXdvcmQ+TWFsZTwva2V5d29yZD48a2V5d29yZD5NaWRkbGUgQWdlZDwva2V5d29yZD48a2V5
d29yZD5OYWxveG9uZS8qdGhlcmFwZXV0aWMgdXNlPC9rZXl3b3JkPjxrZXl3b3JkPk5hcmNvdGlj
IEFudGFnb25pc3RzLyp0aGVyYXBldXRpYyB1c2U8L2tleXdvcmQ+PGtleXdvcmQ+T3Bpb2lkLVJl
bGF0ZWQgRGlzb3JkZXJzLypyZWhhYmlsaXRhdGlvbjwva2V5d29yZD48a2V5d29yZD5QYXRpZW50
IENvbXBsaWFuY2U8L2tleXdvcmQ+PGtleXdvcmQ+UmV0cm9zcGVjdGl2ZSBTdHVkaWVzPC9rZXl3
b3JkPjxrZXl3b3JkPlNvY2lvZWNvbm9taWMgRmFjdG9yczwva2V5d29yZD48a2V5d29yZD5TdWJz
dGFuY2UgV2l0aGRyYXdhbCBTeW5kcm9tZS9wcmV2ZW50aW9uICZhbXA7IGNvbnRyb2w8L2tleXdv
cmQ+PGtleXdvcmQ+VHJlYXRtZW50IE91dGNvbWU8L2tleXdvcmQ+PGtleXdvcmQ+WW91bmcgQWR1
bHQ8L2tleXdvcmQ+PC9rZXl3b3Jkcz48ZGF0ZXM+PHllYXI+MjAxMDwveWVhcj48cHViLWRhdGVz
PjxkYXRlPkphbiAxPC9kYXRlPjwvcHViLWRhdGVzPjwvZGF0ZXM+PGlzYm4+MTg3OS0wMDQ2IChF
bGVjdHJvbmljKSYjeEQ7MDM3Ni04NzE2IChMaW5raW5nKTwvaXNibj48YWNjZXNzaW9uLW51bT4x
OTcxNzI0OTwvYWNjZXNzaW9uLW51bT48dXJscz48cmVsYXRlZC11cmxzPjx1cmw+aHR0cDovL3d3
dy5uY2JpLm5sbS5uaWguZ292L3B1Ym1lZC8xOTcxNzI0OTwvdXJsPjwvcmVsYXRlZC11cmxzPjwv
dXJscz48Y3VzdG9tMj5QTUMzMjYzNjk5PC9jdXN0b20yPjxlbGVjdHJvbmljLXJlc291cmNlLW51
bT4xMC4xMDE2L2ouZHJ1Z2FsY2RlcC4yMDA5LjA3LjAxMzwvZWxlY3Ryb25pYy1yZXNvdXJjZS1u
dW0+PC9yZWNvcmQ+PC9DaXRlPjxDaXRlPjxBdXRob3I+UGllcmNlPC9BdXRob3I+PFllYXI+MjAx
NjwvWWVhcj48UmVjTnVtPjE1MTwvUmVjTnVtPjxyZWNvcmQ+PHJlYy1udW1iZXI+MTUxPC9yZWMt
bnVtYmVyPjxmb3JlaWduLWtleXM+PGtleSBhcHA9IkVOIiBkYi1pZD0iNXd4cmFlemQ5cGV2MnBl
NWVydngycmZoNWR2MHNzNTJ0ZjJ6IiB0aW1lc3RhbXA9IjE0ODAzNjgyNTQiPjE1MTwva2V5Pjwv
Zm9yZWlnbi1rZXlzPjxyZWYtdHlwZSBuYW1lPSJKb3VybmFsIEFydGljbGUiPjE3PC9yZWYtdHlw
ZT48Y29udHJpYnV0b3JzPjxhdXRob3JzPjxhdXRob3I+UGllcmNlLCBNLjwvYXV0aG9yPjxhdXRo
b3I+QmlyZCwgUy4gTS48L2F1dGhvcj48YXV0aG9yPkhpY2ttYW4sIE0uPC9hdXRob3I+PGF1dGhv
cj5NYXJzZGVuLCBKLjwvYXV0aG9yPjxhdXRob3I+RHVubiwgRy48L2F1dGhvcj48YXV0aG9yPkpv
bmVzLCBBLjwvYXV0aG9yPjxhdXRob3I+TWlsbGFyLCBULjwvYXV0aG9yPjwvYXV0aG9ycz48L2Nv
bnRyaWJ1dG9ycz48YXV0aC1hZGRyZXNzPkluc3RpdHV0ZSBvZiBCcmFpbiBCZWhhdmlvdXIgYW5k
IE1lbnRhbCBIZWFsdGgsIEZhY3VsdHkgb2YgTWVkaWNhbCBhbmQgSHVtYW4gU2NpZW5jZXMsIFVu
aXZlcnNpdHkgb2YgTWFuY2hlc3RlciwgVUsuJiN4RDtJbnN0aXR1dGUgb2YgUG9wdWxhdGlvbiBI
ZWFsdGgsIEZhY3VsdHkgb2YgTWVkaWNhbCBhbmQgSHVtYW4gU2NpZW5jZXMsIFVuaXZlcnNpdHkg
b2YgTWFuY2hlc3RlciwgVUsuJiN4RDtNUkMgQmlvc3RhdGlzdGljcyBVbml0LCBDYW1icmlkZ2Us
IFVLLiYjeEQ7U2Nob29sIG9mIFNvY2lhbCBhbmQgQ29tbXVuaXR5IE1lZGljaW5lLCBVbml2ZXJz
aXR5IG9mIEJyaXN0b2wsIFVLLiYjeEQ7QWRkaWN0aW9ucyBEZXBhcnRtZW50LCBJbnN0aXR1dGUg
b2YgUHN5Y2hpYXRyeSwgUHN5Y2hvbG9neSBhbmQgTmV1cm9zY2llbmNlLCBLaW5nJmFwb3M7cyBD
b2xsZWdlIExvbmRvbiwgVUsuPC9hdXRoLWFkZHJlc3M+PHRpdGxlcz48dGl0bGU+SW1wYWN0IG9m
IHRyZWF0bWVudCBmb3Igb3Bpb2lkIGRlcGVuZGVuY2Ugb24gZmF0YWwgZHJ1Zy1yZWxhdGVkIHBv
aXNvbmluZzogYSBuYXRpb25hbCBjb2hvcnQgc3R1ZHkgaW4gRW5nbGFuZDwvdGl0bGU+PHNlY29u
ZGFyeS10aXRsZT5BZGRpY3Rpb248L3NlY29uZGFyeS10aXRsZT48L3RpdGxlcz48cGVyaW9kaWNh
bD48ZnVsbC10aXRsZT5BZGRpY3Rpb248L2Z1bGwtdGl0bGU+PGFiYnItMT5BZGRpY3Rpb248L2Fi
YnItMT48L3BlcmlvZGljYWw+PHBhZ2VzPjI5OC0zMDg8L3BhZ2VzPjx2b2x1bWU+MTExPC92b2x1
bWU+PG51bWJlcj4yPC9udW1iZXI+PGtleXdvcmRzPjxrZXl3b3JkPkRydWctcmVsYXRlZCBwb2lz
b25pbmc8L2tleXdvcmQ+PGtleXdvcmQ+b3BpYXRlIGRlcGVuZGVuY2U8L2tleXdvcmQ+PGtleXdv
cmQ+b3Bpb2lkIGFnb25pc3QgcGhhcm1hY290aGVyYXB5PC9rZXl3b3JkPjxrZXl3b3JkPm92ZXJk
b3NlPC9rZXl3b3JkPjxrZXl3b3JkPnBzeWNob3NvY2lhbCB0cmVhdG1lbnQ8L2tleXdvcmQ+PGtl
eXdvcmQ+cmVzaWRlbnRpYWwgdHJlYXRtZW50PC9rZXl3b3JkPjwva2V5d29yZHM+PGRhdGVzPjx5
ZWFyPjIwMTY8L3llYXI+PHB1Yi1kYXRlcz48ZGF0ZT5GZWI8L2RhdGU+PC9wdWItZGF0ZXM+PC9k
YXRlcz48aXNibj4xMzYwLTA0NDMgKEVsZWN0cm9uaWMpJiN4RDswOTY1LTIxNDAgKExpbmtpbmcp
PC9pc2JuPjxhY2Nlc3Npb24tbnVtPjI2NDUyMjM5PC9hY2Nlc3Npb24tbnVtPjx1cmxzPjxyZWxh
dGVkLXVybHM+PHVybD5odHRwOi8vd3d3Lm5jYmkubmxtLm5paC5nb3YvcHVibWVkLzI2NDUyMjM5
PC91cmw+PC9yZWxhdGVkLXVybHM+PC91cmxzPjxjdXN0b20yPlBNQzQ5NTAwMzM8L2N1c3RvbTI+
PGVsZWN0cm9uaWMtcmVzb3VyY2UtbnVtPjEwLjExMTEvYWRkLjEzMTkzPC9lbGVjdHJvbmljLXJl
c291cmNlLW51bT48L3JlY29yZD48L0NpdGU+PENpdGU+PEF1dGhvcj5UaG9tYXM8L0F1dGhvcj48
WWVhcj4yMDE0PC9ZZWFyPjxSZWNOdW0+MTQzPC9SZWNOdW0+PHJlY29yZD48cmVjLW51bWJlcj4x
NDM8L3JlYy1udW1iZXI+PGZvcmVpZ24ta2V5cz48a2V5IGFwcD0iRU4iIGRiLWlkPSI1d3hyYWV6
ZDlwZXYycGU1ZXJ2eDJyZmg1ZHYwc3M1MnRmMnoiIHRpbWVzdGFtcD0iMTQ3OTc1NDcwNiI+MTQz
PC9rZXk+PC9mb3JlaWduLWtleXM+PHJlZi10eXBlIG5hbWU9IkpvdXJuYWwgQXJ0aWNsZSI+MTc8
L3JlZi10eXBlPjxjb250cmlidXRvcnM+PGF1dGhvcnM+PGF1dGhvcj5UaG9tYXMsIEMuIFAuPC9h
dXRob3I+PGF1dGhvcj5GdWxsZXJ0b24sIEMuIEEuPC9hdXRob3I+PGF1dGhvcj5LaW0sIE0uPC9h
dXRob3I+PGF1dGhvcj5Nb250ZWphbm8sIEwuPC9hdXRob3I+PGF1dGhvcj5MeW1hbiwgRC4gUi48
L2F1dGhvcj48YXV0aG9yPkRvdWdoZXJ0eSwgUi4gSC48L2F1dGhvcj48YXV0aG9yPkRhbmllbHMs
IEEuIFMuPC9hdXRob3I+PGF1dGhvcj5HaG9zZSwgUy4gUy48L2F1dGhvcj48YXV0aG9yPkRlbHBo
aW4tUml0dG1vbiwgTS4gRS48L2F1dGhvcj48L2F1dGhvcnM+PC9jb250cmlidXRvcnM+PHRpdGxl
cz48dGl0bGU+TWVkaWNhdGlvbi1hc3Npc3RlZCB0cmVhdG1lbnQgd2l0aCBidXByZW5vcnBoaW5l
OiBhc3Nlc3NpbmcgdGhlIGV2aWRlbmNlPC90aXRsZT48c2Vjb25kYXJ5LXRpdGxlPlBzeWNoaWF0
ciBTZXJ2PC9zZWNvbmRhcnktdGl0bGU+PC90aXRsZXM+PHBlcmlvZGljYWw+PGZ1bGwtdGl0bGU+
UHN5Y2hpYXRyIFNlcnY8L2Z1bGwtdGl0bGU+PGFiYnItMT5Qc3ljaGlhdHJpYyBzZXJ2aWNlczwv
YWJici0xPjwvcGVyaW9kaWNhbD48cGFnZXM+MTU4LTcwPC9wYWdlcz48dm9sdW1lPjY1PC92b2x1
bWU+PG51bWJlcj4yPC9udW1iZXI+PGtleXdvcmRzPjxrZXl3b3JkPkFuYWxnZXNpY3MsIE9waW9p
ZC9hZHZlcnNlIGVmZmVjdHMvKnRoZXJhcGV1dGljIHVzZTwva2V5d29yZD48a2V5d29yZD5CdXBy
ZW5vcnBoaW5lL2FkdmVyc2UgZWZmZWN0cy8qdGhlcmFwZXV0aWMgdXNlPC9rZXl3b3JkPjxrZXl3
b3JkPkZlbWFsZTwva2V5d29yZD48a2V5d29yZD5IdW1hbnM8L2tleXdvcmQ+PGtleXdvcmQ+T3Bp
YXRlIFN1YnN0aXR1dGlvbiBUcmVhdG1lbnQvYWR2ZXJzZSBlZmZlY3RzLyptZXRob2RzL3N0YW5k
YXJkczwva2V5d29yZD48a2V5d29yZD5PcGlvaWQtUmVsYXRlZCBEaXNvcmRlcnMvKmRydWcgdGhl
cmFweTwva2V5d29yZD48a2V5d29yZD5QcmVnbmFuY3k8L2tleXdvcmQ+PGtleXdvcmQ+UHJlZ25h
bmN5IENvbXBsaWNhdGlvbnMvKmRydWcgdGhlcmFweTwva2V5d29yZD48L2tleXdvcmRzPjxkYXRl
cz48eWVhcj4yMDE0PC95ZWFyPjxwdWItZGF0ZXM+PGRhdGU+RmViIDE8L2RhdGU+PC9wdWItZGF0
ZXM+PC9kYXRlcz48aXNibj4xNTU3LTk3MDAgKEVsZWN0cm9uaWMpJiN4RDsxMDc1LTI3MzAgKExp
bmtpbmcpPC9pc2JuPjxhY2Nlc3Npb24tbnVtPjI0MjQ3MTQ3PC9hY2Nlc3Npb24tbnVtPjx1cmxz
PjxyZWxhdGVkLXVybHM+PHVybD5odHRwOi8vd3d3Lm5jYmkubmxtLm5paC5nb3YvcHVibWVkLzI0
MjQ3MTQ3PC91cmw+PC9yZWxhdGVkLXVybHM+PC91cmxzPjxlbGVjdHJvbmljLXJlc291cmNlLW51
bT4xMC4xMTc2L2FwcGkucHMuMjAxMzAwMjU2PC9lbGVjdHJvbmljLXJlc291cmNlLW51bT48L3Jl
Y29yZD48L0NpdGU+PC9FbmROb3RlPgB=
</w:fldData>
        </w:fldChar>
      </w:r>
      <w:r w:rsidR="00C00A90" w:rsidRPr="0036254C">
        <w:rPr>
          <w:rFonts w:asciiTheme="minorHAnsi" w:eastAsiaTheme="minorEastAsia" w:hAnsiTheme="minorHAnsi"/>
          <w:color w:val="0070C0"/>
          <w:kern w:val="24"/>
          <w:sz w:val="22"/>
          <w:szCs w:val="22"/>
        </w:rPr>
        <w:instrText xml:space="preserve"> ADDIN EN.CITE.DATA </w:instrText>
      </w:r>
      <w:r w:rsidR="00C00A90" w:rsidRPr="0036254C">
        <w:rPr>
          <w:rFonts w:asciiTheme="minorHAnsi" w:eastAsiaTheme="minorEastAsia" w:hAnsiTheme="minorHAnsi"/>
          <w:color w:val="0070C0"/>
          <w:kern w:val="24"/>
          <w:sz w:val="22"/>
          <w:szCs w:val="22"/>
        </w:rPr>
      </w:r>
      <w:r w:rsidR="00C00A90" w:rsidRPr="0036254C">
        <w:rPr>
          <w:rFonts w:asciiTheme="minorHAnsi" w:eastAsiaTheme="minorEastAsia" w:hAnsiTheme="minorHAnsi"/>
          <w:color w:val="0070C0"/>
          <w:kern w:val="24"/>
          <w:sz w:val="22"/>
          <w:szCs w:val="22"/>
        </w:rPr>
        <w:fldChar w:fldCharType="end"/>
      </w:r>
      <w:r w:rsidR="00C00A90" w:rsidRPr="0036254C">
        <w:rPr>
          <w:rFonts w:asciiTheme="minorHAnsi" w:eastAsiaTheme="minorEastAsia" w:hAnsiTheme="minorHAnsi"/>
          <w:color w:val="0070C0"/>
          <w:kern w:val="24"/>
          <w:sz w:val="22"/>
          <w:szCs w:val="22"/>
        </w:rPr>
      </w:r>
      <w:r w:rsidR="00C00A90" w:rsidRPr="0036254C">
        <w:rPr>
          <w:rFonts w:asciiTheme="minorHAnsi" w:eastAsiaTheme="minorEastAsia" w:hAnsiTheme="minorHAnsi"/>
          <w:color w:val="0070C0"/>
          <w:kern w:val="24"/>
          <w:sz w:val="22"/>
          <w:szCs w:val="22"/>
        </w:rPr>
        <w:fldChar w:fldCharType="separate"/>
      </w:r>
      <w:r w:rsidR="00C00A90" w:rsidRPr="0036254C">
        <w:rPr>
          <w:rFonts w:asciiTheme="minorHAnsi" w:eastAsiaTheme="minorEastAsia" w:hAnsiTheme="minorHAnsi"/>
          <w:noProof/>
          <w:color w:val="0070C0"/>
          <w:kern w:val="24"/>
          <w:sz w:val="22"/>
          <w:szCs w:val="22"/>
        </w:rPr>
        <w:t>(Clark et al., 201</w:t>
      </w:r>
      <w:r w:rsidR="00BF4B1E">
        <w:rPr>
          <w:rFonts w:asciiTheme="minorHAnsi" w:eastAsiaTheme="minorEastAsia" w:hAnsiTheme="minorHAnsi"/>
          <w:noProof/>
          <w:color w:val="0070C0"/>
          <w:kern w:val="24"/>
          <w:sz w:val="22"/>
          <w:szCs w:val="22"/>
        </w:rPr>
        <w:t>4</w:t>
      </w:r>
      <w:r w:rsidR="00C00A90" w:rsidRPr="0036254C">
        <w:rPr>
          <w:rFonts w:asciiTheme="minorHAnsi" w:eastAsiaTheme="minorEastAsia" w:hAnsiTheme="minorHAnsi"/>
          <w:noProof/>
          <w:color w:val="0070C0"/>
          <w:kern w:val="24"/>
          <w:sz w:val="22"/>
          <w:szCs w:val="22"/>
        </w:rPr>
        <w:t>; Clark et al., 201</w:t>
      </w:r>
      <w:r w:rsidR="00BF4B1E">
        <w:rPr>
          <w:rFonts w:asciiTheme="minorHAnsi" w:eastAsiaTheme="minorEastAsia" w:hAnsiTheme="minorHAnsi"/>
          <w:noProof/>
          <w:color w:val="0070C0"/>
          <w:kern w:val="24"/>
          <w:sz w:val="22"/>
          <w:szCs w:val="22"/>
        </w:rPr>
        <w:t>5</w:t>
      </w:r>
      <w:r w:rsidR="00C00A90" w:rsidRPr="0036254C">
        <w:rPr>
          <w:rFonts w:asciiTheme="minorHAnsi" w:eastAsiaTheme="minorEastAsia" w:hAnsiTheme="minorHAnsi"/>
          <w:noProof/>
          <w:color w:val="0070C0"/>
          <w:kern w:val="24"/>
          <w:sz w:val="22"/>
          <w:szCs w:val="22"/>
        </w:rPr>
        <w:t xml:space="preserve">; </w:t>
      </w:r>
      <w:r w:rsidR="00C00A90">
        <w:rPr>
          <w:rFonts w:asciiTheme="minorHAnsi" w:eastAsiaTheme="minorEastAsia" w:hAnsiTheme="minorHAnsi"/>
          <w:noProof/>
          <w:color w:val="0070C0"/>
          <w:kern w:val="24"/>
          <w:sz w:val="22"/>
          <w:szCs w:val="22"/>
        </w:rPr>
        <w:t xml:space="preserve">D'Onofrio et al., 2015; </w:t>
      </w:r>
      <w:r w:rsidR="00C00A90" w:rsidRPr="0036254C">
        <w:rPr>
          <w:rFonts w:asciiTheme="minorHAnsi" w:eastAsiaTheme="minorEastAsia" w:hAnsiTheme="minorHAnsi"/>
          <w:noProof/>
          <w:color w:val="0070C0"/>
          <w:kern w:val="24"/>
          <w:sz w:val="22"/>
          <w:szCs w:val="22"/>
        </w:rPr>
        <w:t xml:space="preserve">Fullerton et al., 2014; </w:t>
      </w:r>
      <w:r w:rsidR="00C00A90">
        <w:rPr>
          <w:rFonts w:asciiTheme="minorHAnsi" w:eastAsiaTheme="minorEastAsia" w:hAnsiTheme="minorHAnsi"/>
          <w:noProof/>
          <w:color w:val="0070C0"/>
          <w:kern w:val="24"/>
          <w:sz w:val="22"/>
          <w:szCs w:val="22"/>
        </w:rPr>
        <w:t xml:space="preserve">Haley et al., 2019; Jarvis et al., 2018; Larochelle et al., 2018; Lo-Ciganic et al., 2016; Ma et al., 2019; Mark et al., 2020; </w:t>
      </w:r>
      <w:r w:rsidR="00AA3DCB">
        <w:rPr>
          <w:rFonts w:asciiTheme="minorHAnsi" w:eastAsiaTheme="minorEastAsia" w:hAnsiTheme="minorHAnsi"/>
          <w:noProof/>
          <w:color w:val="0070C0"/>
          <w:kern w:val="24"/>
          <w:sz w:val="22"/>
          <w:szCs w:val="22"/>
        </w:rPr>
        <w:t xml:space="preserve">Mattick et al., 2003; </w:t>
      </w:r>
      <w:r w:rsidR="00C00A90" w:rsidRPr="0036254C">
        <w:rPr>
          <w:rFonts w:asciiTheme="minorHAnsi" w:eastAsiaTheme="minorEastAsia" w:hAnsiTheme="minorHAnsi"/>
          <w:noProof/>
          <w:color w:val="0070C0"/>
          <w:kern w:val="24"/>
          <w:sz w:val="22"/>
          <w:szCs w:val="22"/>
        </w:rPr>
        <w:t>Mattick</w:t>
      </w:r>
      <w:r w:rsidR="00C00A90">
        <w:rPr>
          <w:rFonts w:asciiTheme="minorHAnsi" w:eastAsiaTheme="minorEastAsia" w:hAnsiTheme="minorHAnsi"/>
          <w:noProof/>
          <w:color w:val="0070C0"/>
          <w:kern w:val="24"/>
          <w:sz w:val="22"/>
          <w:szCs w:val="22"/>
        </w:rPr>
        <w:t xml:space="preserve"> et al.</w:t>
      </w:r>
      <w:r w:rsidR="00C00A90" w:rsidRPr="0036254C">
        <w:rPr>
          <w:rFonts w:asciiTheme="minorHAnsi" w:eastAsiaTheme="minorEastAsia" w:hAnsiTheme="minorHAnsi"/>
          <w:noProof/>
          <w:color w:val="0070C0"/>
          <w:kern w:val="24"/>
          <w:sz w:val="22"/>
          <w:szCs w:val="22"/>
        </w:rPr>
        <w:t>, 2009; Mattick</w:t>
      </w:r>
      <w:r w:rsidR="00C00A90">
        <w:rPr>
          <w:rFonts w:asciiTheme="minorHAnsi" w:eastAsiaTheme="minorEastAsia" w:hAnsiTheme="minorHAnsi"/>
          <w:noProof/>
          <w:color w:val="0070C0"/>
          <w:kern w:val="24"/>
          <w:sz w:val="22"/>
          <w:szCs w:val="22"/>
        </w:rPr>
        <w:t xml:space="preserve"> et al.</w:t>
      </w:r>
      <w:r w:rsidR="00C00A90" w:rsidRPr="0036254C">
        <w:rPr>
          <w:rFonts w:asciiTheme="minorHAnsi" w:eastAsiaTheme="minorEastAsia" w:hAnsiTheme="minorHAnsi"/>
          <w:noProof/>
          <w:color w:val="0070C0"/>
          <w:kern w:val="24"/>
          <w:sz w:val="22"/>
          <w:szCs w:val="22"/>
        </w:rPr>
        <w:t>, 2014;</w:t>
      </w:r>
      <w:r w:rsidR="006A3EBF" w:rsidRPr="006A3EBF">
        <w:rPr>
          <w:rFonts w:eastAsia="Calibri" w:cs="Calibri"/>
          <w:color w:val="000000"/>
          <w:sz w:val="22"/>
          <w:szCs w:val="22"/>
        </w:rPr>
        <w:t xml:space="preserve"> </w:t>
      </w:r>
      <w:r w:rsidR="006A3EBF" w:rsidRPr="006A3EBF">
        <w:rPr>
          <w:rFonts w:asciiTheme="minorHAnsi" w:eastAsiaTheme="minorEastAsia" w:hAnsiTheme="minorHAnsi"/>
          <w:noProof/>
          <w:color w:val="0070C0"/>
          <w:kern w:val="24"/>
          <w:sz w:val="22"/>
          <w:szCs w:val="22"/>
        </w:rPr>
        <w:t>Minozzi</w:t>
      </w:r>
      <w:r w:rsidR="006A3EBF">
        <w:rPr>
          <w:rFonts w:asciiTheme="minorHAnsi" w:eastAsiaTheme="minorEastAsia" w:hAnsiTheme="minorHAnsi"/>
          <w:noProof/>
          <w:color w:val="0070C0"/>
          <w:kern w:val="24"/>
          <w:sz w:val="22"/>
          <w:szCs w:val="22"/>
        </w:rPr>
        <w:t xml:space="preserve"> et al., 2011; </w:t>
      </w:r>
      <w:r w:rsidR="00C00A90" w:rsidRPr="0036254C">
        <w:rPr>
          <w:rFonts w:asciiTheme="minorHAnsi" w:eastAsiaTheme="minorEastAsia" w:hAnsiTheme="minorHAnsi"/>
          <w:noProof/>
          <w:color w:val="0070C0"/>
          <w:kern w:val="24"/>
          <w:sz w:val="22"/>
          <w:szCs w:val="22"/>
        </w:rPr>
        <w:t xml:space="preserve"> Parran et al., 2010; Pierce et al., 2016; </w:t>
      </w:r>
      <w:r w:rsidR="00C00A90">
        <w:rPr>
          <w:rFonts w:asciiTheme="minorHAnsi" w:eastAsiaTheme="minorEastAsia" w:hAnsiTheme="minorHAnsi"/>
          <w:noProof/>
          <w:color w:val="0070C0"/>
          <w:kern w:val="24"/>
          <w:sz w:val="22"/>
          <w:szCs w:val="22"/>
        </w:rPr>
        <w:t xml:space="preserve">Schwarz et al., 2012; Sordo et al., 2017; Syed &amp; Keating, 2013; </w:t>
      </w:r>
      <w:r w:rsidR="00C00A90" w:rsidRPr="0036254C">
        <w:rPr>
          <w:rFonts w:asciiTheme="minorHAnsi" w:eastAsiaTheme="minorEastAsia" w:hAnsiTheme="minorHAnsi"/>
          <w:noProof/>
          <w:color w:val="0070C0"/>
          <w:kern w:val="24"/>
          <w:sz w:val="22"/>
          <w:szCs w:val="22"/>
        </w:rPr>
        <w:t>Thomas et al., 2014</w:t>
      </w:r>
      <w:r w:rsidR="00C00A90">
        <w:rPr>
          <w:rFonts w:asciiTheme="minorHAnsi" w:eastAsiaTheme="minorEastAsia" w:hAnsiTheme="minorHAnsi"/>
          <w:noProof/>
          <w:color w:val="0070C0"/>
          <w:kern w:val="24"/>
          <w:sz w:val="22"/>
          <w:szCs w:val="22"/>
        </w:rPr>
        <w:t>; Williams et al., 2020; Woody et al., 2014</w:t>
      </w:r>
      <w:r w:rsidR="00C00A90" w:rsidRPr="0036254C">
        <w:rPr>
          <w:rFonts w:asciiTheme="minorHAnsi" w:eastAsiaTheme="minorEastAsia" w:hAnsiTheme="minorHAnsi"/>
          <w:noProof/>
          <w:color w:val="0070C0"/>
          <w:kern w:val="24"/>
          <w:sz w:val="22"/>
          <w:szCs w:val="22"/>
        </w:rPr>
        <w:t>)</w:t>
      </w:r>
      <w:r w:rsidR="00C00A90" w:rsidRPr="0036254C">
        <w:rPr>
          <w:rFonts w:asciiTheme="minorHAnsi" w:eastAsiaTheme="minorEastAsia" w:hAnsiTheme="minorHAnsi"/>
          <w:color w:val="0070C0"/>
          <w:kern w:val="24"/>
          <w:sz w:val="22"/>
          <w:szCs w:val="22"/>
        </w:rPr>
        <w:fldChar w:fldCharType="end"/>
      </w:r>
      <w:r w:rsidR="007916B7">
        <w:rPr>
          <w:rFonts w:asciiTheme="minorHAnsi" w:eastAsiaTheme="minorHAnsi" w:hAnsiTheme="minorHAnsi" w:cstheme="minorBidi"/>
          <w:iCs/>
          <w:color w:val="0070C0"/>
          <w:sz w:val="22"/>
          <w:szCs w:val="22"/>
        </w:rPr>
        <w:t xml:space="preserve">. </w:t>
      </w:r>
      <w:r w:rsidR="004877FD">
        <w:rPr>
          <w:rFonts w:asciiTheme="minorHAnsi" w:eastAsiaTheme="minorHAnsi" w:hAnsiTheme="minorHAnsi" w:cstheme="minorBidi"/>
          <w:iCs/>
          <w:color w:val="0070C0"/>
          <w:sz w:val="22"/>
          <w:szCs w:val="22"/>
        </w:rPr>
        <w:t xml:space="preserve"> </w:t>
      </w:r>
      <w:r w:rsidR="00A228E6">
        <w:rPr>
          <w:rFonts w:asciiTheme="minorHAnsi" w:eastAsiaTheme="minorHAnsi" w:hAnsiTheme="minorHAnsi" w:cstheme="minorBidi"/>
          <w:iCs/>
          <w:color w:val="0070C0"/>
          <w:sz w:val="22"/>
          <w:szCs w:val="22"/>
        </w:rPr>
        <w:t>As described below, comprehensive reviews conclude that the evidence for the effectiveness of MOUD relative to non-medication based OUD treatment is of high to moderate quality (</w:t>
      </w:r>
      <w:r w:rsidR="00A228E6" w:rsidRPr="00A228E6">
        <w:rPr>
          <w:rFonts w:asciiTheme="minorHAnsi" w:eastAsiaTheme="minorHAnsi" w:hAnsiTheme="minorHAnsi" w:cstheme="minorBidi"/>
          <w:iCs/>
          <w:color w:val="0070C0"/>
          <w:sz w:val="22"/>
          <w:szCs w:val="22"/>
        </w:rPr>
        <w:t>American Society of Addiction Medicine</w:t>
      </w:r>
      <w:r w:rsidR="00A228E6">
        <w:rPr>
          <w:rFonts w:asciiTheme="minorHAnsi" w:eastAsiaTheme="minorHAnsi" w:hAnsiTheme="minorHAnsi" w:cstheme="minorBidi"/>
          <w:iCs/>
          <w:color w:val="0070C0"/>
          <w:sz w:val="22"/>
          <w:szCs w:val="22"/>
        </w:rPr>
        <w:t>,</w:t>
      </w:r>
      <w:r w:rsidR="00831D59">
        <w:rPr>
          <w:rFonts w:asciiTheme="minorHAnsi" w:eastAsiaTheme="minorHAnsi" w:hAnsiTheme="minorHAnsi" w:cstheme="minorBidi"/>
          <w:iCs/>
          <w:color w:val="0070C0"/>
          <w:sz w:val="22"/>
          <w:szCs w:val="22"/>
        </w:rPr>
        <w:t xml:space="preserve"> 2015,</w:t>
      </w:r>
      <w:r w:rsidR="00A228E6">
        <w:rPr>
          <w:rFonts w:asciiTheme="minorHAnsi" w:eastAsiaTheme="minorHAnsi" w:hAnsiTheme="minorHAnsi" w:cstheme="minorBidi"/>
          <w:iCs/>
          <w:color w:val="0070C0"/>
          <w:sz w:val="22"/>
          <w:szCs w:val="22"/>
        </w:rPr>
        <w:t xml:space="preserve"> </w:t>
      </w:r>
      <w:r w:rsidR="00A228E6" w:rsidRPr="00A228E6">
        <w:rPr>
          <w:rFonts w:asciiTheme="minorHAnsi" w:eastAsiaTheme="minorHAnsi" w:hAnsiTheme="minorHAnsi" w:cstheme="minorBidi"/>
          <w:iCs/>
          <w:color w:val="0070C0"/>
          <w:sz w:val="22"/>
          <w:szCs w:val="22"/>
        </w:rPr>
        <w:t>2020</w:t>
      </w:r>
      <w:r w:rsidR="00A228E6">
        <w:rPr>
          <w:rFonts w:asciiTheme="minorHAnsi" w:eastAsiaTheme="minorHAnsi" w:hAnsiTheme="minorHAnsi" w:cstheme="minorBidi"/>
          <w:iCs/>
          <w:color w:val="0070C0"/>
          <w:sz w:val="22"/>
          <w:szCs w:val="22"/>
        </w:rPr>
        <w:t xml:space="preserve">; </w:t>
      </w:r>
      <w:r w:rsidR="00767F09" w:rsidRPr="00767F09">
        <w:rPr>
          <w:rFonts w:asciiTheme="minorHAnsi" w:eastAsiaTheme="minorHAnsi" w:hAnsiTheme="minorHAnsi" w:cstheme="minorBidi"/>
          <w:iCs/>
          <w:color w:val="0070C0"/>
          <w:sz w:val="22"/>
          <w:szCs w:val="22"/>
        </w:rPr>
        <w:t>Center for Substance Abuse Treatment, 2004,</w:t>
      </w:r>
      <w:r w:rsidR="00012305">
        <w:rPr>
          <w:rFonts w:asciiTheme="minorHAnsi" w:eastAsiaTheme="minorHAnsi" w:hAnsiTheme="minorHAnsi" w:cstheme="minorBidi"/>
          <w:iCs/>
          <w:color w:val="0070C0"/>
          <w:sz w:val="22"/>
          <w:szCs w:val="22"/>
        </w:rPr>
        <w:t xml:space="preserve"> </w:t>
      </w:r>
      <w:r w:rsidR="00012305" w:rsidRPr="00767F09">
        <w:rPr>
          <w:rFonts w:asciiTheme="minorHAnsi" w:eastAsiaTheme="minorHAnsi" w:hAnsiTheme="minorHAnsi" w:cstheme="minorBidi"/>
          <w:iCs/>
          <w:color w:val="0070C0"/>
          <w:sz w:val="22"/>
          <w:szCs w:val="22"/>
        </w:rPr>
        <w:t>Center for Substance Abuse Treatment</w:t>
      </w:r>
      <w:r w:rsidR="00012305">
        <w:rPr>
          <w:rFonts w:asciiTheme="minorHAnsi" w:eastAsiaTheme="minorHAnsi" w:hAnsiTheme="minorHAnsi" w:cstheme="minorBidi"/>
          <w:iCs/>
          <w:color w:val="0070C0"/>
          <w:sz w:val="22"/>
          <w:szCs w:val="22"/>
        </w:rPr>
        <w:t>,</w:t>
      </w:r>
      <w:r w:rsidR="00767F09" w:rsidRPr="00767F09">
        <w:rPr>
          <w:rFonts w:asciiTheme="minorHAnsi" w:eastAsiaTheme="minorHAnsi" w:hAnsiTheme="minorHAnsi" w:cstheme="minorBidi"/>
          <w:iCs/>
          <w:color w:val="0070C0"/>
          <w:sz w:val="22"/>
          <w:szCs w:val="22"/>
        </w:rPr>
        <w:t xml:space="preserve"> </w:t>
      </w:r>
      <w:r w:rsidR="00B95777">
        <w:rPr>
          <w:rFonts w:asciiTheme="minorHAnsi" w:eastAsiaTheme="minorHAnsi" w:hAnsiTheme="minorHAnsi" w:cstheme="minorBidi"/>
          <w:iCs/>
          <w:color w:val="0070C0"/>
          <w:sz w:val="22"/>
          <w:szCs w:val="22"/>
        </w:rPr>
        <w:t xml:space="preserve">2005; </w:t>
      </w:r>
      <w:r w:rsidR="00A228E6">
        <w:rPr>
          <w:rFonts w:asciiTheme="minorHAnsi" w:eastAsiaTheme="minorHAnsi" w:hAnsiTheme="minorHAnsi" w:cstheme="minorBidi"/>
          <w:iCs/>
          <w:color w:val="0070C0"/>
          <w:sz w:val="22"/>
          <w:szCs w:val="22"/>
        </w:rPr>
        <w:t xml:space="preserve">Fullerton et al., 2014; Thomas et al., 2014, </w:t>
      </w:r>
      <w:proofErr w:type="spellStart"/>
      <w:r w:rsidR="00A228E6">
        <w:rPr>
          <w:rFonts w:asciiTheme="minorHAnsi" w:eastAsiaTheme="minorHAnsi" w:hAnsiTheme="minorHAnsi" w:cstheme="minorBidi"/>
          <w:iCs/>
          <w:color w:val="0070C0"/>
          <w:sz w:val="22"/>
          <w:szCs w:val="22"/>
        </w:rPr>
        <w:t>Mattick</w:t>
      </w:r>
      <w:proofErr w:type="spellEnd"/>
      <w:r w:rsidR="00A228E6">
        <w:rPr>
          <w:rFonts w:asciiTheme="minorHAnsi" w:eastAsiaTheme="minorHAnsi" w:hAnsiTheme="minorHAnsi" w:cstheme="minorBidi"/>
          <w:iCs/>
          <w:color w:val="0070C0"/>
          <w:sz w:val="22"/>
          <w:szCs w:val="22"/>
        </w:rPr>
        <w:t xml:space="preserve"> et al., 2014, </w:t>
      </w:r>
      <w:proofErr w:type="spellStart"/>
      <w:r w:rsidR="00A228E6">
        <w:rPr>
          <w:rFonts w:asciiTheme="minorHAnsi" w:eastAsiaTheme="minorHAnsi" w:hAnsiTheme="minorHAnsi" w:cstheme="minorBidi"/>
          <w:iCs/>
          <w:color w:val="0070C0"/>
          <w:sz w:val="22"/>
          <w:szCs w:val="22"/>
        </w:rPr>
        <w:t>Mattick</w:t>
      </w:r>
      <w:proofErr w:type="spellEnd"/>
      <w:r w:rsidR="00A228E6">
        <w:rPr>
          <w:rFonts w:asciiTheme="minorHAnsi" w:eastAsiaTheme="minorHAnsi" w:hAnsiTheme="minorHAnsi" w:cstheme="minorBidi"/>
          <w:iCs/>
          <w:color w:val="0070C0"/>
          <w:sz w:val="22"/>
          <w:szCs w:val="22"/>
        </w:rPr>
        <w:t xml:space="preserve"> et al., 2009, SAMHSA, 2020)</w:t>
      </w:r>
      <w:r w:rsidR="00012305">
        <w:rPr>
          <w:rFonts w:asciiTheme="minorHAnsi" w:eastAsiaTheme="minorHAnsi" w:hAnsiTheme="minorHAnsi" w:cstheme="minorBidi"/>
          <w:iCs/>
          <w:color w:val="0070C0"/>
          <w:sz w:val="22"/>
          <w:szCs w:val="22"/>
        </w:rPr>
        <w:t>.</w:t>
      </w:r>
    </w:p>
    <w:p w14:paraId="41BA0531" w14:textId="0845FCC9" w:rsidR="0066019D" w:rsidRDefault="001D55A8" w:rsidP="004877FD">
      <w:pPr>
        <w:pStyle w:val="NormalSS"/>
        <w:rPr>
          <w:rFonts w:asciiTheme="minorHAnsi" w:eastAsiaTheme="minorHAnsi" w:hAnsiTheme="minorHAnsi" w:cstheme="minorBidi"/>
          <w:iCs/>
          <w:color w:val="0070C0"/>
          <w:sz w:val="22"/>
          <w:szCs w:val="22"/>
        </w:rPr>
      </w:pPr>
      <w:bookmarkStart w:id="2" w:name="_Hlk45736939"/>
      <w:r>
        <w:rPr>
          <w:rFonts w:asciiTheme="minorHAnsi" w:eastAsiaTheme="minorHAnsi" w:hAnsiTheme="minorHAnsi" w:cstheme="minorBidi"/>
          <w:iCs/>
          <w:color w:val="0070C0"/>
          <w:sz w:val="22"/>
          <w:szCs w:val="22"/>
        </w:rPr>
        <w:t xml:space="preserve">NQF </w:t>
      </w:r>
      <w:r w:rsidR="00F54D51">
        <w:rPr>
          <w:rFonts w:asciiTheme="minorHAnsi" w:eastAsiaTheme="minorHAnsi" w:hAnsiTheme="minorHAnsi" w:cstheme="minorBidi"/>
          <w:iCs/>
          <w:color w:val="0070C0"/>
          <w:sz w:val="22"/>
          <w:szCs w:val="22"/>
        </w:rPr>
        <w:t xml:space="preserve">endorsed </w:t>
      </w:r>
      <w:r w:rsidR="00F54D51" w:rsidRPr="00A433D9">
        <w:rPr>
          <w:rFonts w:asciiTheme="minorHAnsi" w:eastAsiaTheme="minorHAnsi" w:hAnsiTheme="minorHAnsi" w:cstheme="minorBidi"/>
          <w:i/>
          <w:color w:val="0070C0"/>
          <w:sz w:val="22"/>
          <w:szCs w:val="22"/>
        </w:rPr>
        <w:t>Use of Pharmacotherapy</w:t>
      </w:r>
      <w:r w:rsidR="00F54D51">
        <w:rPr>
          <w:rFonts w:asciiTheme="minorHAnsi" w:eastAsiaTheme="minorHAnsi" w:hAnsiTheme="minorHAnsi" w:cstheme="minorBidi"/>
          <w:iCs/>
          <w:color w:val="0070C0"/>
          <w:sz w:val="22"/>
          <w:szCs w:val="22"/>
        </w:rPr>
        <w:t xml:space="preserve"> (NQF #3400) </w:t>
      </w:r>
      <w:r w:rsidR="00A433D9">
        <w:rPr>
          <w:rFonts w:asciiTheme="minorHAnsi" w:eastAsiaTheme="minorHAnsi" w:hAnsiTheme="minorHAnsi" w:cstheme="minorBidi"/>
          <w:iCs/>
          <w:color w:val="0070C0"/>
          <w:sz w:val="22"/>
          <w:szCs w:val="22"/>
        </w:rPr>
        <w:t>–</w:t>
      </w:r>
      <w:r w:rsidR="00F54D51">
        <w:rPr>
          <w:rFonts w:asciiTheme="minorHAnsi" w:eastAsiaTheme="minorHAnsi" w:hAnsiTheme="minorHAnsi" w:cstheme="minorBidi"/>
          <w:iCs/>
          <w:color w:val="0070C0"/>
          <w:sz w:val="22"/>
          <w:szCs w:val="22"/>
        </w:rPr>
        <w:t xml:space="preserve"> </w:t>
      </w:r>
      <w:r w:rsidR="00A433D9">
        <w:rPr>
          <w:rFonts w:asciiTheme="minorHAnsi" w:eastAsiaTheme="minorHAnsi" w:hAnsiTheme="minorHAnsi" w:cstheme="minorBidi"/>
          <w:iCs/>
          <w:color w:val="0070C0"/>
          <w:sz w:val="22"/>
          <w:szCs w:val="22"/>
        </w:rPr>
        <w:t>a measure of</w:t>
      </w:r>
      <w:r w:rsidR="00F54D51">
        <w:rPr>
          <w:rFonts w:asciiTheme="minorHAnsi" w:eastAsiaTheme="minorHAnsi" w:hAnsiTheme="minorHAnsi" w:cstheme="minorBidi"/>
          <w:iCs/>
          <w:color w:val="0070C0"/>
          <w:sz w:val="22"/>
          <w:szCs w:val="22"/>
        </w:rPr>
        <w:t xml:space="preserve"> </w:t>
      </w:r>
      <w:r w:rsidR="00F54D51" w:rsidRPr="00F54D51">
        <w:rPr>
          <w:rFonts w:asciiTheme="minorHAnsi" w:eastAsiaTheme="minorHAnsi" w:hAnsiTheme="minorHAnsi" w:cstheme="minorBidi"/>
          <w:iCs/>
          <w:color w:val="0070C0"/>
          <w:sz w:val="22"/>
          <w:szCs w:val="22"/>
        </w:rPr>
        <w:t xml:space="preserve">percentage of Medicaid beneficiaries ages 18 to 64 with an OUD who filled a prescription for or were administered or ordered an FDA-approved medication for </w:t>
      </w:r>
      <w:r w:rsidR="00E63BC7">
        <w:rPr>
          <w:rFonts w:asciiTheme="minorHAnsi" w:eastAsiaTheme="minorHAnsi" w:hAnsiTheme="minorHAnsi" w:cstheme="minorBidi"/>
          <w:iCs/>
          <w:color w:val="0070C0"/>
          <w:sz w:val="22"/>
          <w:szCs w:val="22"/>
        </w:rPr>
        <w:t xml:space="preserve">opioid use </w:t>
      </w:r>
      <w:r w:rsidR="00F54D51" w:rsidRPr="00F54D51">
        <w:rPr>
          <w:rFonts w:asciiTheme="minorHAnsi" w:eastAsiaTheme="minorHAnsi" w:hAnsiTheme="minorHAnsi" w:cstheme="minorBidi"/>
          <w:iCs/>
          <w:color w:val="0070C0"/>
          <w:sz w:val="22"/>
          <w:szCs w:val="22"/>
        </w:rPr>
        <w:t xml:space="preserve">disorder </w:t>
      </w:r>
      <w:r w:rsidR="00E63BC7">
        <w:rPr>
          <w:rFonts w:asciiTheme="minorHAnsi" w:eastAsiaTheme="minorHAnsi" w:hAnsiTheme="minorHAnsi" w:cstheme="minorBidi"/>
          <w:iCs/>
          <w:color w:val="0070C0"/>
          <w:sz w:val="22"/>
          <w:szCs w:val="22"/>
        </w:rPr>
        <w:t xml:space="preserve">(MOUD) </w:t>
      </w:r>
      <w:r w:rsidR="00F54D51" w:rsidRPr="00F54D51">
        <w:rPr>
          <w:rFonts w:asciiTheme="minorHAnsi" w:eastAsiaTheme="minorHAnsi" w:hAnsiTheme="minorHAnsi" w:cstheme="minorBidi"/>
          <w:iCs/>
          <w:color w:val="0070C0"/>
          <w:sz w:val="22"/>
          <w:szCs w:val="22"/>
        </w:rPr>
        <w:t>during the measure year</w:t>
      </w:r>
      <w:r w:rsidR="00A433D9">
        <w:rPr>
          <w:rFonts w:asciiTheme="minorHAnsi" w:eastAsiaTheme="minorHAnsi" w:hAnsiTheme="minorHAnsi" w:cstheme="minorBidi"/>
          <w:iCs/>
          <w:color w:val="0070C0"/>
          <w:sz w:val="22"/>
          <w:szCs w:val="22"/>
        </w:rPr>
        <w:t xml:space="preserve"> - at the health plan</w:t>
      </w:r>
      <w:r w:rsidR="00614748">
        <w:rPr>
          <w:rFonts w:asciiTheme="minorHAnsi" w:eastAsiaTheme="minorHAnsi" w:hAnsiTheme="minorHAnsi" w:cstheme="minorBidi"/>
          <w:iCs/>
          <w:color w:val="0070C0"/>
          <w:sz w:val="22"/>
          <w:szCs w:val="22"/>
        </w:rPr>
        <w:t xml:space="preserve"> and </w:t>
      </w:r>
      <w:r w:rsidR="00A433D9">
        <w:rPr>
          <w:rFonts w:asciiTheme="minorHAnsi" w:eastAsiaTheme="minorHAnsi" w:hAnsiTheme="minorHAnsi" w:cstheme="minorBidi"/>
          <w:iCs/>
          <w:color w:val="0070C0"/>
          <w:sz w:val="22"/>
          <w:szCs w:val="22"/>
        </w:rPr>
        <w:t>Medicaid program level</w:t>
      </w:r>
      <w:r w:rsidR="00F54D51" w:rsidRPr="00F54D51">
        <w:rPr>
          <w:rFonts w:asciiTheme="minorHAnsi" w:eastAsiaTheme="minorHAnsi" w:hAnsiTheme="minorHAnsi" w:cstheme="minorBidi"/>
          <w:iCs/>
          <w:color w:val="0070C0"/>
          <w:sz w:val="22"/>
          <w:szCs w:val="22"/>
        </w:rPr>
        <w:t>.</w:t>
      </w:r>
      <w:r w:rsidR="004877FD">
        <w:rPr>
          <w:rFonts w:asciiTheme="minorHAnsi" w:eastAsiaTheme="minorHAnsi" w:hAnsiTheme="minorHAnsi" w:cstheme="minorBidi"/>
          <w:iCs/>
          <w:color w:val="0070C0"/>
          <w:sz w:val="22"/>
          <w:szCs w:val="22"/>
        </w:rPr>
        <w:t xml:space="preserve"> </w:t>
      </w:r>
      <w:r w:rsidR="0075060A">
        <w:rPr>
          <w:rFonts w:asciiTheme="minorHAnsi" w:eastAsiaTheme="minorHAnsi" w:hAnsiTheme="minorHAnsi" w:cstheme="minorBidi"/>
          <w:iCs/>
          <w:color w:val="0070C0"/>
          <w:sz w:val="22"/>
          <w:szCs w:val="22"/>
        </w:rPr>
        <w:t xml:space="preserve"> </w:t>
      </w:r>
      <w:bookmarkEnd w:id="2"/>
      <w:r w:rsidR="0075060A">
        <w:rPr>
          <w:rFonts w:asciiTheme="minorHAnsi" w:eastAsiaTheme="minorHAnsi" w:hAnsiTheme="minorHAnsi" w:cstheme="minorBidi"/>
          <w:iCs/>
          <w:color w:val="0070C0"/>
          <w:sz w:val="22"/>
          <w:szCs w:val="22"/>
        </w:rPr>
        <w:t xml:space="preserve">The implementation of </w:t>
      </w:r>
      <w:r w:rsidR="00A433D9">
        <w:rPr>
          <w:rFonts w:asciiTheme="minorHAnsi" w:eastAsiaTheme="minorHAnsi" w:hAnsiTheme="minorHAnsi" w:cstheme="minorBidi"/>
          <w:iCs/>
          <w:color w:val="0070C0"/>
          <w:sz w:val="22"/>
          <w:szCs w:val="22"/>
        </w:rPr>
        <w:t xml:space="preserve">this </w:t>
      </w:r>
      <w:r w:rsidR="0075060A">
        <w:rPr>
          <w:rFonts w:asciiTheme="minorHAnsi" w:eastAsiaTheme="minorHAnsi" w:hAnsiTheme="minorHAnsi" w:cstheme="minorBidi"/>
          <w:iCs/>
          <w:color w:val="0070C0"/>
          <w:sz w:val="22"/>
          <w:szCs w:val="22"/>
        </w:rPr>
        <w:t xml:space="preserve">measure is hypothesized to lead to more people receiving MOUD, improved health care outcomes, higher treatment costs, but lower overall costs because </w:t>
      </w:r>
      <w:r w:rsidR="0014400C">
        <w:rPr>
          <w:rFonts w:asciiTheme="minorHAnsi" w:eastAsiaTheme="minorHAnsi" w:hAnsiTheme="minorHAnsi" w:cstheme="minorBidi"/>
          <w:iCs/>
          <w:color w:val="0070C0"/>
          <w:sz w:val="22"/>
          <w:szCs w:val="22"/>
        </w:rPr>
        <w:t xml:space="preserve">high cost acute care utilization are reduced and </w:t>
      </w:r>
      <w:r w:rsidR="0075060A">
        <w:rPr>
          <w:rFonts w:asciiTheme="minorHAnsi" w:eastAsiaTheme="minorHAnsi" w:hAnsiTheme="minorHAnsi" w:cstheme="minorBidi"/>
          <w:iCs/>
          <w:color w:val="0070C0"/>
          <w:sz w:val="22"/>
          <w:szCs w:val="22"/>
        </w:rPr>
        <w:t xml:space="preserve">the comorbidities associated with OUD are </w:t>
      </w:r>
      <w:r w:rsidR="0014400C">
        <w:rPr>
          <w:rFonts w:asciiTheme="minorHAnsi" w:eastAsiaTheme="minorHAnsi" w:hAnsiTheme="minorHAnsi" w:cstheme="minorBidi"/>
          <w:iCs/>
          <w:color w:val="0070C0"/>
          <w:sz w:val="22"/>
          <w:szCs w:val="22"/>
        </w:rPr>
        <w:t>treated more effectively</w:t>
      </w:r>
      <w:r w:rsidR="0075060A">
        <w:rPr>
          <w:rFonts w:asciiTheme="minorHAnsi" w:eastAsiaTheme="minorHAnsi" w:hAnsiTheme="minorHAnsi" w:cstheme="minorBidi"/>
          <w:iCs/>
          <w:color w:val="0070C0"/>
          <w:sz w:val="22"/>
          <w:szCs w:val="22"/>
        </w:rPr>
        <w:t xml:space="preserve"> (See </w:t>
      </w:r>
      <w:r w:rsidR="00A433D9">
        <w:rPr>
          <w:rFonts w:asciiTheme="minorHAnsi" w:eastAsiaTheme="minorHAnsi" w:hAnsiTheme="minorHAnsi" w:cstheme="minorBidi"/>
          <w:iCs/>
          <w:color w:val="0070C0"/>
          <w:sz w:val="22"/>
          <w:szCs w:val="22"/>
        </w:rPr>
        <w:t xml:space="preserve">Figure 1. </w:t>
      </w:r>
      <w:r w:rsidR="0075060A">
        <w:rPr>
          <w:rFonts w:asciiTheme="minorHAnsi" w:eastAsiaTheme="minorHAnsi" w:hAnsiTheme="minorHAnsi" w:cstheme="minorBidi"/>
          <w:iCs/>
          <w:color w:val="0070C0"/>
          <w:sz w:val="22"/>
          <w:szCs w:val="22"/>
        </w:rPr>
        <w:t>Logic model)</w:t>
      </w:r>
      <w:r w:rsidR="00BB4642">
        <w:rPr>
          <w:rFonts w:asciiTheme="minorHAnsi" w:eastAsiaTheme="minorHAnsi" w:hAnsiTheme="minorHAnsi" w:cstheme="minorBidi"/>
          <w:iCs/>
          <w:color w:val="0070C0"/>
          <w:sz w:val="22"/>
          <w:szCs w:val="22"/>
        </w:rPr>
        <w:t xml:space="preserve"> </w:t>
      </w:r>
      <w:r w:rsidR="00BB4642" w:rsidRPr="00BB4642">
        <w:rPr>
          <w:rFonts w:asciiTheme="minorHAnsi" w:eastAsiaTheme="minorHAnsi" w:hAnsiTheme="minorHAnsi" w:cstheme="minorBidi"/>
          <w:iCs/>
          <w:color w:val="0070C0"/>
          <w:sz w:val="22"/>
          <w:szCs w:val="22"/>
        </w:rPr>
        <w:t xml:space="preserve">(Busch et al., 2017; Clark et al., </w:t>
      </w:r>
      <w:r w:rsidR="00B95777">
        <w:rPr>
          <w:rFonts w:asciiTheme="minorHAnsi" w:eastAsiaTheme="minorHAnsi" w:hAnsiTheme="minorHAnsi" w:cstheme="minorBidi"/>
          <w:iCs/>
          <w:color w:val="0070C0"/>
          <w:sz w:val="22"/>
          <w:szCs w:val="22"/>
        </w:rPr>
        <w:t xml:space="preserve">2014; </w:t>
      </w:r>
      <w:r w:rsidR="00012305" w:rsidRPr="00C628CA">
        <w:rPr>
          <w:rFonts w:asciiTheme="minorHAnsi" w:eastAsiaTheme="minorHAnsi" w:hAnsiTheme="minorHAnsi" w:cstheme="minorBidi"/>
          <w:iCs/>
          <w:color w:val="0070C0"/>
          <w:sz w:val="22"/>
          <w:szCs w:val="22"/>
        </w:rPr>
        <w:t xml:space="preserve">Clark et al., </w:t>
      </w:r>
      <w:r w:rsidR="00BB4642" w:rsidRPr="00BB4642">
        <w:rPr>
          <w:rFonts w:asciiTheme="minorHAnsi" w:eastAsiaTheme="minorHAnsi" w:hAnsiTheme="minorHAnsi" w:cstheme="minorBidi"/>
          <w:iCs/>
          <w:color w:val="0070C0"/>
          <w:sz w:val="22"/>
          <w:szCs w:val="22"/>
        </w:rPr>
        <w:t xml:space="preserve">2015; Florence et al., 2013; Mohlman et al., 2016; </w:t>
      </w:r>
      <w:r w:rsidR="0014400C">
        <w:rPr>
          <w:rFonts w:asciiTheme="minorHAnsi" w:eastAsiaTheme="minorHAnsi" w:hAnsiTheme="minorHAnsi" w:cstheme="minorBidi"/>
          <w:iCs/>
          <w:color w:val="0070C0"/>
          <w:sz w:val="22"/>
          <w:szCs w:val="22"/>
        </w:rPr>
        <w:t xml:space="preserve">Mark et al., </w:t>
      </w:r>
      <w:r w:rsidR="003C63B7">
        <w:rPr>
          <w:rFonts w:asciiTheme="minorHAnsi" w:eastAsiaTheme="minorHAnsi" w:hAnsiTheme="minorHAnsi" w:cstheme="minorBidi"/>
          <w:iCs/>
          <w:color w:val="0070C0"/>
          <w:sz w:val="22"/>
          <w:szCs w:val="22"/>
        </w:rPr>
        <w:t xml:space="preserve">2020; </w:t>
      </w:r>
      <w:r w:rsidR="00BB4642" w:rsidRPr="00BB4642">
        <w:rPr>
          <w:rFonts w:asciiTheme="minorHAnsi" w:eastAsiaTheme="minorHAnsi" w:hAnsiTheme="minorHAnsi" w:cstheme="minorBidi"/>
          <w:iCs/>
          <w:color w:val="0070C0"/>
          <w:sz w:val="22"/>
          <w:szCs w:val="22"/>
        </w:rPr>
        <w:t xml:space="preserve">National Institute of Drug Abuse, 2019; Nielsen et al., 2016; </w:t>
      </w:r>
      <w:proofErr w:type="spellStart"/>
      <w:r w:rsidR="00BB4642" w:rsidRPr="00BB4642">
        <w:rPr>
          <w:rFonts w:asciiTheme="minorHAnsi" w:eastAsiaTheme="minorHAnsi" w:hAnsiTheme="minorHAnsi" w:cstheme="minorBidi"/>
          <w:iCs/>
          <w:color w:val="0070C0"/>
          <w:sz w:val="22"/>
          <w:szCs w:val="22"/>
        </w:rPr>
        <w:t>Ronquest</w:t>
      </w:r>
      <w:proofErr w:type="spellEnd"/>
      <w:r w:rsidR="00BB4642" w:rsidRPr="00BB4642">
        <w:rPr>
          <w:rFonts w:asciiTheme="minorHAnsi" w:eastAsiaTheme="minorHAnsi" w:hAnsiTheme="minorHAnsi" w:cstheme="minorBidi"/>
          <w:iCs/>
          <w:color w:val="0070C0"/>
          <w:sz w:val="22"/>
          <w:szCs w:val="22"/>
        </w:rPr>
        <w:t xml:space="preserve"> et al., 2018).</w:t>
      </w:r>
      <w:r w:rsidR="00987EAE">
        <w:rPr>
          <w:rFonts w:asciiTheme="minorHAnsi" w:eastAsiaTheme="minorHAnsi" w:hAnsiTheme="minorHAnsi" w:cstheme="minorBidi"/>
          <w:iCs/>
          <w:color w:val="0070C0"/>
          <w:sz w:val="22"/>
          <w:szCs w:val="22"/>
        </w:rPr>
        <w:t xml:space="preserve"> </w:t>
      </w:r>
      <w:r w:rsidR="00BB4642">
        <w:rPr>
          <w:rFonts w:asciiTheme="minorHAnsi" w:eastAsiaTheme="minorHAnsi" w:hAnsiTheme="minorHAnsi" w:cstheme="minorBidi"/>
          <w:iCs/>
          <w:color w:val="0070C0"/>
          <w:sz w:val="22"/>
          <w:szCs w:val="22"/>
        </w:rPr>
        <w:t xml:space="preserve">The potential untended consequences of the measure may include diversion and accidental overdoses such as by children.  </w:t>
      </w:r>
      <w:r w:rsidR="0066019D">
        <w:rPr>
          <w:rFonts w:asciiTheme="minorHAnsi" w:eastAsiaTheme="minorHAnsi" w:hAnsiTheme="minorHAnsi" w:cstheme="minorBidi"/>
          <w:iCs/>
          <w:color w:val="0070C0"/>
          <w:sz w:val="22"/>
          <w:szCs w:val="22"/>
        </w:rPr>
        <w:t xml:space="preserve">A recent review of </w:t>
      </w:r>
      <w:r w:rsidR="0066019D" w:rsidRPr="0066019D">
        <w:rPr>
          <w:rFonts w:asciiTheme="minorHAnsi" w:eastAsiaTheme="minorHAnsi" w:hAnsiTheme="minorHAnsi" w:cstheme="minorBidi"/>
          <w:iCs/>
          <w:color w:val="0070C0"/>
          <w:sz w:val="22"/>
          <w:szCs w:val="22"/>
        </w:rPr>
        <w:t xml:space="preserve">17 studies </w:t>
      </w:r>
      <w:r w:rsidR="0066019D">
        <w:rPr>
          <w:rFonts w:asciiTheme="minorHAnsi" w:eastAsiaTheme="minorHAnsi" w:hAnsiTheme="minorHAnsi" w:cstheme="minorBidi"/>
          <w:iCs/>
          <w:color w:val="0070C0"/>
          <w:sz w:val="22"/>
          <w:szCs w:val="22"/>
        </w:rPr>
        <w:t>finds that most people use</w:t>
      </w:r>
      <w:r w:rsidR="0066019D" w:rsidRPr="0066019D">
        <w:rPr>
          <w:rFonts w:asciiTheme="minorHAnsi" w:eastAsiaTheme="minorHAnsi" w:hAnsiTheme="minorHAnsi" w:cstheme="minorBidi"/>
          <w:iCs/>
          <w:color w:val="0070C0"/>
          <w:sz w:val="22"/>
          <w:szCs w:val="22"/>
        </w:rPr>
        <w:t xml:space="preserve"> illicit buprenorphine </w:t>
      </w:r>
      <w:r w:rsidR="0066019D">
        <w:rPr>
          <w:rFonts w:asciiTheme="minorHAnsi" w:eastAsiaTheme="minorHAnsi" w:hAnsiTheme="minorHAnsi" w:cstheme="minorBidi"/>
          <w:iCs/>
          <w:color w:val="0070C0"/>
          <w:sz w:val="22"/>
          <w:szCs w:val="22"/>
        </w:rPr>
        <w:t>to self-medicate</w:t>
      </w:r>
      <w:r w:rsidR="0066019D" w:rsidRPr="0066019D">
        <w:rPr>
          <w:rFonts w:asciiTheme="minorHAnsi" w:eastAsiaTheme="minorHAnsi" w:hAnsiTheme="minorHAnsi" w:cstheme="minorBidi"/>
          <w:iCs/>
          <w:color w:val="0070C0"/>
          <w:sz w:val="22"/>
          <w:szCs w:val="22"/>
        </w:rPr>
        <w:t xml:space="preserve"> (to manage opioid withdrawal symptoms or achieve or maintain abstinence from other opioids)</w:t>
      </w:r>
      <w:r w:rsidR="0066019D">
        <w:rPr>
          <w:rFonts w:asciiTheme="minorHAnsi" w:eastAsiaTheme="minorHAnsi" w:hAnsiTheme="minorHAnsi" w:cstheme="minorBidi"/>
          <w:iCs/>
          <w:color w:val="0070C0"/>
          <w:sz w:val="22"/>
          <w:szCs w:val="22"/>
        </w:rPr>
        <w:t>, while a smaller percentage use it to get high (</w:t>
      </w:r>
      <w:proofErr w:type="spellStart"/>
      <w:r w:rsidR="0066019D">
        <w:rPr>
          <w:rFonts w:asciiTheme="minorHAnsi" w:eastAsiaTheme="minorHAnsi" w:hAnsiTheme="minorHAnsi" w:cstheme="minorBidi"/>
          <w:iCs/>
          <w:color w:val="0070C0"/>
          <w:sz w:val="22"/>
          <w:szCs w:val="22"/>
        </w:rPr>
        <w:t>Chilcoat</w:t>
      </w:r>
      <w:proofErr w:type="spellEnd"/>
      <w:r w:rsidR="0066019D">
        <w:rPr>
          <w:rFonts w:asciiTheme="minorHAnsi" w:eastAsiaTheme="minorHAnsi" w:hAnsiTheme="minorHAnsi" w:cstheme="minorBidi"/>
          <w:iCs/>
          <w:color w:val="0070C0"/>
          <w:sz w:val="22"/>
          <w:szCs w:val="22"/>
        </w:rPr>
        <w:t xml:space="preserve"> et al., 2019)</w:t>
      </w:r>
      <w:r w:rsidR="0066019D" w:rsidRPr="0066019D">
        <w:rPr>
          <w:rFonts w:asciiTheme="minorHAnsi" w:eastAsiaTheme="minorHAnsi" w:hAnsiTheme="minorHAnsi" w:cstheme="minorBidi"/>
          <w:iCs/>
          <w:color w:val="0070C0"/>
          <w:sz w:val="22"/>
          <w:szCs w:val="22"/>
        </w:rPr>
        <w:t xml:space="preserve">. </w:t>
      </w:r>
      <w:r w:rsidR="005331EE">
        <w:rPr>
          <w:rFonts w:asciiTheme="minorHAnsi" w:eastAsiaTheme="minorHAnsi" w:hAnsiTheme="minorHAnsi" w:cstheme="minorBidi"/>
          <w:iCs/>
          <w:color w:val="0070C0"/>
          <w:sz w:val="22"/>
          <w:szCs w:val="22"/>
        </w:rPr>
        <w:t xml:space="preserve"> </w:t>
      </w:r>
      <w:r w:rsidR="006F2B3B">
        <w:rPr>
          <w:rFonts w:asciiTheme="minorHAnsi" w:eastAsiaTheme="minorHAnsi" w:hAnsiTheme="minorHAnsi" w:cstheme="minorBidi"/>
          <w:iCs/>
          <w:color w:val="0070C0"/>
          <w:sz w:val="22"/>
          <w:szCs w:val="22"/>
        </w:rPr>
        <w:t xml:space="preserve"> Between 2004 and 2011 there were 5,222 emergency department visits </w:t>
      </w:r>
      <w:r w:rsidR="00A90B7F">
        <w:rPr>
          <w:rFonts w:asciiTheme="minorHAnsi" w:eastAsiaTheme="minorHAnsi" w:hAnsiTheme="minorHAnsi" w:cstheme="minorBidi"/>
          <w:iCs/>
          <w:color w:val="0070C0"/>
          <w:sz w:val="22"/>
          <w:szCs w:val="22"/>
        </w:rPr>
        <w:t>b</w:t>
      </w:r>
      <w:r w:rsidR="006F2B3B">
        <w:rPr>
          <w:rFonts w:asciiTheme="minorHAnsi" w:eastAsiaTheme="minorHAnsi" w:hAnsiTheme="minorHAnsi" w:cstheme="minorBidi"/>
          <w:iCs/>
          <w:color w:val="0070C0"/>
          <w:sz w:val="22"/>
          <w:szCs w:val="22"/>
        </w:rPr>
        <w:t>y children ages 1 to 5 involving accidental ingestion of buprenorphine (Crane, 2017).</w:t>
      </w:r>
      <w:r w:rsidR="00E910A9">
        <w:rPr>
          <w:rFonts w:asciiTheme="minorHAnsi" w:eastAsiaTheme="minorHAnsi" w:hAnsiTheme="minorHAnsi" w:cstheme="minorBidi"/>
          <w:iCs/>
          <w:color w:val="0070C0"/>
          <w:sz w:val="22"/>
          <w:szCs w:val="22"/>
        </w:rPr>
        <w:t xml:space="preserve"> To put that number in perspective, there were 8.2 million prescriptions for buprenorphine in 2012. </w:t>
      </w:r>
      <w:r w:rsidR="005331EE">
        <w:rPr>
          <w:rFonts w:asciiTheme="minorHAnsi" w:eastAsiaTheme="minorHAnsi" w:hAnsiTheme="minorHAnsi" w:cstheme="minorBidi"/>
          <w:iCs/>
          <w:color w:val="0070C0"/>
          <w:sz w:val="22"/>
          <w:szCs w:val="22"/>
        </w:rPr>
        <w:t>Buprenorphine is available in an extended release injectable form which has no diversion potential</w:t>
      </w:r>
      <w:r w:rsidR="00A90B7F">
        <w:rPr>
          <w:rFonts w:asciiTheme="minorHAnsi" w:eastAsiaTheme="minorHAnsi" w:hAnsiTheme="minorHAnsi" w:cstheme="minorBidi"/>
          <w:iCs/>
          <w:color w:val="0070C0"/>
          <w:sz w:val="22"/>
          <w:szCs w:val="22"/>
        </w:rPr>
        <w:t xml:space="preserve"> and no potential for accidental ingestion.</w:t>
      </w:r>
      <w:r w:rsidR="005331EE">
        <w:rPr>
          <w:rFonts w:asciiTheme="minorHAnsi" w:eastAsiaTheme="minorHAnsi" w:hAnsiTheme="minorHAnsi" w:cstheme="minorBidi"/>
          <w:iCs/>
          <w:color w:val="0070C0"/>
          <w:sz w:val="22"/>
          <w:szCs w:val="22"/>
        </w:rPr>
        <w:t xml:space="preserve"> </w:t>
      </w:r>
    </w:p>
    <w:p w14:paraId="2B1D6B1F" w14:textId="6DC325E0" w:rsidR="00987EAE" w:rsidRDefault="00987EAE" w:rsidP="00D83C1D">
      <w:pPr>
        <w:pStyle w:val="NormalSS"/>
        <w:rPr>
          <w:rFonts w:asciiTheme="minorHAnsi" w:eastAsiaTheme="minorHAnsi" w:hAnsiTheme="minorHAnsi" w:cstheme="minorBidi"/>
          <w:iCs/>
          <w:color w:val="0070C0"/>
          <w:sz w:val="22"/>
          <w:szCs w:val="22"/>
        </w:rPr>
      </w:pPr>
      <w:r>
        <w:rPr>
          <w:rFonts w:asciiTheme="minorHAnsi" w:eastAsiaTheme="minorHAnsi" w:hAnsiTheme="minorHAnsi" w:cstheme="minorBidi"/>
          <w:iCs/>
          <w:color w:val="0070C0"/>
          <w:sz w:val="22"/>
          <w:szCs w:val="22"/>
        </w:rPr>
        <w:t>Despite the clear benefits of MOUD, many practitioners do not offer them to their patients with OUD. In 2018, only 40% of specialty addiction treatment facilities offered medications to treat opioid use disorder (Mark et al., 2020)</w:t>
      </w:r>
      <w:r w:rsidR="00D83C1D">
        <w:rPr>
          <w:rFonts w:asciiTheme="minorHAnsi" w:eastAsiaTheme="minorHAnsi" w:hAnsiTheme="minorHAnsi" w:cstheme="minorBidi"/>
          <w:iCs/>
          <w:color w:val="0070C0"/>
          <w:sz w:val="22"/>
          <w:szCs w:val="22"/>
        </w:rPr>
        <w:t>.</w:t>
      </w:r>
      <w:r>
        <w:rPr>
          <w:rFonts w:asciiTheme="minorHAnsi" w:eastAsiaTheme="minorHAnsi" w:hAnsiTheme="minorHAnsi" w:cstheme="minorBidi"/>
          <w:iCs/>
          <w:color w:val="0070C0"/>
          <w:sz w:val="22"/>
          <w:szCs w:val="22"/>
        </w:rPr>
        <w:t xml:space="preserve"> </w:t>
      </w:r>
      <w:r w:rsidR="00D83C1D" w:rsidRPr="00D83C1D">
        <w:rPr>
          <w:rFonts w:asciiTheme="minorHAnsi" w:eastAsiaTheme="minorHAnsi" w:hAnsiTheme="minorHAnsi" w:cstheme="minorBidi"/>
          <w:iCs/>
          <w:color w:val="0070C0"/>
          <w:sz w:val="22"/>
          <w:szCs w:val="22"/>
        </w:rPr>
        <w:t>In</w:t>
      </w:r>
      <w:r w:rsidR="00D83C1D">
        <w:rPr>
          <w:rFonts w:asciiTheme="minorHAnsi" w:eastAsiaTheme="minorHAnsi" w:hAnsiTheme="minorHAnsi" w:cstheme="minorBidi"/>
          <w:iCs/>
          <w:color w:val="0070C0"/>
          <w:sz w:val="22"/>
          <w:szCs w:val="22"/>
        </w:rPr>
        <w:t xml:space="preserve"> </w:t>
      </w:r>
      <w:r w:rsidR="00D83C1D" w:rsidRPr="00D83C1D">
        <w:rPr>
          <w:rFonts w:asciiTheme="minorHAnsi" w:eastAsiaTheme="minorHAnsi" w:hAnsiTheme="minorHAnsi" w:cstheme="minorBidi"/>
          <w:iCs/>
          <w:color w:val="0070C0"/>
          <w:sz w:val="22"/>
          <w:szCs w:val="22"/>
        </w:rPr>
        <w:t>2015, between 31% and 37% of patients with OUD in specialty</w:t>
      </w:r>
      <w:r w:rsidR="00D83C1D">
        <w:rPr>
          <w:rFonts w:asciiTheme="minorHAnsi" w:eastAsiaTheme="minorHAnsi" w:hAnsiTheme="minorHAnsi" w:cstheme="minorBidi"/>
          <w:iCs/>
          <w:color w:val="0070C0"/>
          <w:sz w:val="22"/>
          <w:szCs w:val="22"/>
        </w:rPr>
        <w:t xml:space="preserve"> </w:t>
      </w:r>
      <w:r w:rsidR="00D83C1D" w:rsidRPr="00D83C1D">
        <w:rPr>
          <w:rFonts w:asciiTheme="minorHAnsi" w:eastAsiaTheme="minorHAnsi" w:hAnsiTheme="minorHAnsi" w:cstheme="minorBidi"/>
          <w:iCs/>
          <w:color w:val="0070C0"/>
          <w:sz w:val="22"/>
          <w:szCs w:val="22"/>
        </w:rPr>
        <w:t>facilities received medications for OUD</w:t>
      </w:r>
      <w:r w:rsidR="00C41A7C">
        <w:rPr>
          <w:rFonts w:asciiTheme="minorHAnsi" w:eastAsiaTheme="minorHAnsi" w:hAnsiTheme="minorHAnsi" w:cstheme="minorBidi"/>
          <w:iCs/>
          <w:color w:val="0070C0"/>
          <w:sz w:val="22"/>
          <w:szCs w:val="22"/>
        </w:rPr>
        <w:t xml:space="preserve"> (SAMHSA, 2017)</w:t>
      </w:r>
      <w:r w:rsidR="00D83C1D">
        <w:rPr>
          <w:rFonts w:asciiTheme="minorHAnsi" w:eastAsiaTheme="minorHAnsi" w:hAnsiTheme="minorHAnsi" w:cstheme="minorBidi"/>
          <w:iCs/>
          <w:color w:val="0070C0"/>
          <w:sz w:val="22"/>
          <w:szCs w:val="22"/>
        </w:rPr>
        <w:t xml:space="preserve">. </w:t>
      </w:r>
      <w:r w:rsidR="005D3D78">
        <w:rPr>
          <w:rFonts w:asciiTheme="minorHAnsi" w:eastAsiaTheme="minorHAnsi" w:hAnsiTheme="minorHAnsi" w:cstheme="minorBidi"/>
          <w:iCs/>
          <w:color w:val="0070C0"/>
          <w:sz w:val="22"/>
          <w:szCs w:val="22"/>
        </w:rPr>
        <w:t>M</w:t>
      </w:r>
      <w:r>
        <w:rPr>
          <w:rFonts w:asciiTheme="minorHAnsi" w:eastAsiaTheme="minorHAnsi" w:hAnsiTheme="minorHAnsi" w:cstheme="minorBidi"/>
          <w:iCs/>
          <w:color w:val="0070C0"/>
          <w:sz w:val="22"/>
          <w:szCs w:val="22"/>
        </w:rPr>
        <w:t>any regions of the count</w:t>
      </w:r>
      <w:r w:rsidR="005D3D78">
        <w:rPr>
          <w:rFonts w:asciiTheme="minorHAnsi" w:eastAsiaTheme="minorHAnsi" w:hAnsiTheme="minorHAnsi" w:cstheme="minorBidi"/>
          <w:iCs/>
          <w:color w:val="0070C0"/>
          <w:sz w:val="22"/>
          <w:szCs w:val="22"/>
        </w:rPr>
        <w:t>r</w:t>
      </w:r>
      <w:r>
        <w:rPr>
          <w:rFonts w:asciiTheme="minorHAnsi" w:eastAsiaTheme="minorHAnsi" w:hAnsiTheme="minorHAnsi" w:cstheme="minorBidi"/>
          <w:iCs/>
          <w:color w:val="0070C0"/>
          <w:sz w:val="22"/>
          <w:szCs w:val="22"/>
        </w:rPr>
        <w:t xml:space="preserve">y lack adequate supply of buprenorphine waived professionals (Abraham et al., 2020, </w:t>
      </w:r>
      <w:proofErr w:type="spellStart"/>
      <w:r>
        <w:rPr>
          <w:rFonts w:asciiTheme="minorHAnsi" w:eastAsiaTheme="minorHAnsi" w:hAnsiTheme="minorHAnsi" w:cstheme="minorBidi"/>
          <w:iCs/>
          <w:color w:val="0070C0"/>
          <w:sz w:val="22"/>
          <w:szCs w:val="22"/>
        </w:rPr>
        <w:t>Andri</w:t>
      </w:r>
      <w:r w:rsidR="00082514">
        <w:rPr>
          <w:rFonts w:asciiTheme="minorHAnsi" w:eastAsiaTheme="minorHAnsi" w:hAnsiTheme="minorHAnsi" w:cstheme="minorBidi"/>
          <w:iCs/>
          <w:color w:val="0070C0"/>
          <w:sz w:val="22"/>
          <w:szCs w:val="22"/>
        </w:rPr>
        <w:t>ll</w:t>
      </w:r>
      <w:r>
        <w:rPr>
          <w:rFonts w:asciiTheme="minorHAnsi" w:eastAsiaTheme="minorHAnsi" w:hAnsiTheme="minorHAnsi" w:cstheme="minorBidi"/>
          <w:iCs/>
          <w:color w:val="0070C0"/>
          <w:sz w:val="22"/>
          <w:szCs w:val="22"/>
        </w:rPr>
        <w:t>a</w:t>
      </w:r>
      <w:proofErr w:type="spellEnd"/>
      <w:r>
        <w:rPr>
          <w:rFonts w:asciiTheme="minorHAnsi" w:eastAsiaTheme="minorHAnsi" w:hAnsiTheme="minorHAnsi" w:cstheme="minorBidi"/>
          <w:iCs/>
          <w:color w:val="0070C0"/>
          <w:sz w:val="22"/>
          <w:szCs w:val="22"/>
        </w:rPr>
        <w:t xml:space="preserve"> et al., 2020)</w:t>
      </w:r>
      <w:r w:rsidR="00D83C1D">
        <w:rPr>
          <w:rFonts w:asciiTheme="minorHAnsi" w:eastAsiaTheme="minorHAnsi" w:hAnsiTheme="minorHAnsi" w:cstheme="minorBidi"/>
          <w:iCs/>
          <w:color w:val="0070C0"/>
          <w:sz w:val="22"/>
          <w:szCs w:val="22"/>
        </w:rPr>
        <w:t xml:space="preserve">.  </w:t>
      </w:r>
      <w:r w:rsidR="00D83C1D" w:rsidRPr="00D83C1D">
        <w:rPr>
          <w:rFonts w:asciiTheme="minorHAnsi" w:eastAsiaTheme="minorHAnsi" w:hAnsiTheme="minorHAnsi" w:cstheme="minorBidi"/>
          <w:iCs/>
          <w:color w:val="0070C0"/>
          <w:sz w:val="22"/>
          <w:szCs w:val="22"/>
        </w:rPr>
        <w:t>A recent study in</w:t>
      </w:r>
      <w:r w:rsidR="00D83C1D">
        <w:rPr>
          <w:rFonts w:asciiTheme="minorHAnsi" w:eastAsiaTheme="minorHAnsi" w:hAnsiTheme="minorHAnsi" w:cstheme="minorBidi"/>
          <w:iCs/>
          <w:color w:val="0070C0"/>
          <w:sz w:val="22"/>
          <w:szCs w:val="22"/>
        </w:rPr>
        <w:t xml:space="preserve"> </w:t>
      </w:r>
      <w:r w:rsidR="00D83C1D" w:rsidRPr="00D83C1D">
        <w:rPr>
          <w:rFonts w:asciiTheme="minorHAnsi" w:eastAsiaTheme="minorHAnsi" w:hAnsiTheme="minorHAnsi" w:cstheme="minorBidi"/>
          <w:iCs/>
          <w:color w:val="0070C0"/>
          <w:sz w:val="22"/>
          <w:szCs w:val="22"/>
        </w:rPr>
        <w:t>Massachusetts reported that only 30% of those who survived an</w:t>
      </w:r>
      <w:r w:rsidR="00D83C1D">
        <w:rPr>
          <w:rFonts w:asciiTheme="minorHAnsi" w:eastAsiaTheme="minorHAnsi" w:hAnsiTheme="minorHAnsi" w:cstheme="minorBidi"/>
          <w:iCs/>
          <w:color w:val="0070C0"/>
          <w:sz w:val="22"/>
          <w:szCs w:val="22"/>
        </w:rPr>
        <w:t xml:space="preserve"> </w:t>
      </w:r>
      <w:r w:rsidR="00D83C1D" w:rsidRPr="00D83C1D">
        <w:rPr>
          <w:rFonts w:asciiTheme="minorHAnsi" w:eastAsiaTheme="minorHAnsi" w:hAnsiTheme="minorHAnsi" w:cstheme="minorBidi"/>
          <w:iCs/>
          <w:color w:val="0070C0"/>
          <w:sz w:val="22"/>
          <w:szCs w:val="22"/>
        </w:rPr>
        <w:t>opioid overdose received medications for OUD in the year after</w:t>
      </w:r>
      <w:r w:rsidR="00D83C1D">
        <w:rPr>
          <w:rFonts w:asciiTheme="minorHAnsi" w:eastAsiaTheme="minorHAnsi" w:hAnsiTheme="minorHAnsi" w:cstheme="minorBidi"/>
          <w:iCs/>
          <w:color w:val="0070C0"/>
          <w:sz w:val="22"/>
          <w:szCs w:val="22"/>
        </w:rPr>
        <w:t xml:space="preserve"> </w:t>
      </w:r>
      <w:r w:rsidR="00D83C1D" w:rsidRPr="00D83C1D">
        <w:rPr>
          <w:rFonts w:asciiTheme="minorHAnsi" w:eastAsiaTheme="minorHAnsi" w:hAnsiTheme="minorHAnsi" w:cstheme="minorBidi"/>
          <w:iCs/>
          <w:color w:val="0070C0"/>
          <w:sz w:val="22"/>
          <w:szCs w:val="22"/>
        </w:rPr>
        <w:t>their overdose</w:t>
      </w:r>
      <w:r w:rsidR="00C41A7C">
        <w:rPr>
          <w:rFonts w:asciiTheme="minorHAnsi" w:eastAsiaTheme="minorHAnsi" w:hAnsiTheme="minorHAnsi" w:cstheme="minorBidi"/>
          <w:iCs/>
          <w:color w:val="0070C0"/>
          <w:sz w:val="22"/>
          <w:szCs w:val="22"/>
        </w:rPr>
        <w:t xml:space="preserve"> (</w:t>
      </w:r>
      <w:r w:rsidR="00C41A7C" w:rsidRPr="00C41A7C">
        <w:rPr>
          <w:rFonts w:asciiTheme="minorHAnsi" w:eastAsiaTheme="minorHAnsi" w:hAnsiTheme="minorHAnsi" w:cstheme="minorBidi"/>
          <w:iCs/>
          <w:color w:val="0070C0"/>
          <w:sz w:val="22"/>
          <w:szCs w:val="22"/>
        </w:rPr>
        <w:t>Larochelle</w:t>
      </w:r>
      <w:r w:rsidR="00C41A7C">
        <w:rPr>
          <w:rFonts w:asciiTheme="minorHAnsi" w:eastAsiaTheme="minorHAnsi" w:hAnsiTheme="minorHAnsi" w:cstheme="minorBidi"/>
          <w:iCs/>
          <w:color w:val="0070C0"/>
          <w:sz w:val="22"/>
          <w:szCs w:val="22"/>
        </w:rPr>
        <w:t>, 2018)</w:t>
      </w:r>
      <w:r w:rsidR="00012305">
        <w:rPr>
          <w:rFonts w:asciiTheme="minorHAnsi" w:eastAsiaTheme="minorHAnsi" w:hAnsiTheme="minorHAnsi" w:cstheme="minorBidi"/>
          <w:iCs/>
          <w:color w:val="0070C0"/>
          <w:sz w:val="22"/>
          <w:szCs w:val="22"/>
        </w:rPr>
        <w:t>.</w:t>
      </w:r>
    </w:p>
    <w:p w14:paraId="42913F27" w14:textId="6420E41F" w:rsidR="004877FD" w:rsidRDefault="004877FD" w:rsidP="004877FD">
      <w:pPr>
        <w:pStyle w:val="NormalSS"/>
        <w:rPr>
          <w:rFonts w:asciiTheme="minorHAnsi" w:eastAsiaTheme="minorHAnsi" w:hAnsiTheme="minorHAnsi" w:cstheme="minorBidi"/>
          <w:iCs/>
          <w:color w:val="0070C0"/>
          <w:sz w:val="22"/>
          <w:szCs w:val="22"/>
        </w:rPr>
      </w:pPr>
      <w:r>
        <w:rPr>
          <w:rFonts w:asciiTheme="minorHAnsi" w:eastAsiaTheme="minorHAnsi" w:hAnsiTheme="minorHAnsi" w:cstheme="minorBidi"/>
          <w:iCs/>
          <w:color w:val="0070C0"/>
          <w:sz w:val="22"/>
          <w:szCs w:val="22"/>
        </w:rPr>
        <w:t xml:space="preserve">A 2014 </w:t>
      </w:r>
      <w:r w:rsidRPr="004877FD">
        <w:rPr>
          <w:rFonts w:asciiTheme="minorHAnsi" w:eastAsiaTheme="minorHAnsi" w:hAnsiTheme="minorHAnsi" w:cstheme="minorBidi"/>
          <w:iCs/>
          <w:color w:val="0070C0"/>
          <w:sz w:val="22"/>
          <w:szCs w:val="22"/>
        </w:rPr>
        <w:t xml:space="preserve">American Society of Addiction Medicine expert panel recommended that the </w:t>
      </w:r>
      <w:r w:rsidR="00987EAE">
        <w:rPr>
          <w:rFonts w:asciiTheme="minorHAnsi" w:eastAsiaTheme="minorHAnsi" w:hAnsiTheme="minorHAnsi" w:cstheme="minorBidi"/>
          <w:iCs/>
          <w:color w:val="0070C0"/>
          <w:sz w:val="22"/>
          <w:szCs w:val="22"/>
        </w:rPr>
        <w:t xml:space="preserve">Use </w:t>
      </w:r>
      <w:r w:rsidR="00987EAE" w:rsidRPr="00987EAE">
        <w:rPr>
          <w:rFonts w:asciiTheme="minorHAnsi" w:eastAsiaTheme="minorHAnsi" w:hAnsiTheme="minorHAnsi" w:cstheme="minorBidi"/>
          <w:i/>
          <w:color w:val="0070C0"/>
          <w:sz w:val="22"/>
          <w:szCs w:val="22"/>
        </w:rPr>
        <w:t>of Pharmacotherapy Measure</w:t>
      </w:r>
      <w:r w:rsidR="00987EAE">
        <w:rPr>
          <w:rFonts w:asciiTheme="minorHAnsi" w:eastAsiaTheme="minorHAnsi" w:hAnsiTheme="minorHAnsi" w:cstheme="minorBidi"/>
          <w:iCs/>
          <w:color w:val="0070C0"/>
          <w:sz w:val="22"/>
          <w:szCs w:val="22"/>
        </w:rPr>
        <w:t xml:space="preserve"> (NQF #3400) </w:t>
      </w:r>
      <w:r w:rsidRPr="004877FD">
        <w:rPr>
          <w:rFonts w:asciiTheme="minorHAnsi" w:eastAsiaTheme="minorHAnsi" w:hAnsiTheme="minorHAnsi" w:cstheme="minorBidi"/>
          <w:iCs/>
          <w:color w:val="0070C0"/>
          <w:sz w:val="22"/>
          <w:szCs w:val="22"/>
        </w:rPr>
        <w:t xml:space="preserve">be created as a measure at the clinician level (ASAM, 2014).  They note that individual providers </w:t>
      </w:r>
      <w:r w:rsidR="00614748">
        <w:rPr>
          <w:rFonts w:asciiTheme="minorHAnsi" w:eastAsiaTheme="minorHAnsi" w:hAnsiTheme="minorHAnsi" w:cstheme="minorBidi"/>
          <w:iCs/>
          <w:color w:val="0070C0"/>
          <w:sz w:val="22"/>
          <w:szCs w:val="22"/>
        </w:rPr>
        <w:t xml:space="preserve">could </w:t>
      </w:r>
      <w:r w:rsidRPr="004877FD">
        <w:rPr>
          <w:rFonts w:asciiTheme="minorHAnsi" w:eastAsiaTheme="minorHAnsi" w:hAnsiTheme="minorHAnsi" w:cstheme="minorBidi"/>
          <w:iCs/>
          <w:color w:val="0070C0"/>
          <w:sz w:val="22"/>
          <w:szCs w:val="22"/>
        </w:rPr>
        <w:t xml:space="preserve">use </w:t>
      </w:r>
      <w:r w:rsidR="00614748">
        <w:rPr>
          <w:rFonts w:asciiTheme="minorHAnsi" w:eastAsiaTheme="minorHAnsi" w:hAnsiTheme="minorHAnsi" w:cstheme="minorBidi"/>
          <w:iCs/>
          <w:color w:val="0070C0"/>
          <w:sz w:val="22"/>
          <w:szCs w:val="22"/>
        </w:rPr>
        <w:t xml:space="preserve">the </w:t>
      </w:r>
      <w:r w:rsidRPr="004877FD">
        <w:rPr>
          <w:rFonts w:asciiTheme="minorHAnsi" w:eastAsiaTheme="minorHAnsi" w:hAnsiTheme="minorHAnsi" w:cstheme="minorBidi"/>
          <w:iCs/>
          <w:color w:val="0070C0"/>
          <w:sz w:val="22"/>
          <w:szCs w:val="22"/>
        </w:rPr>
        <w:t>measure for quality improvement and to monitor their practices</w:t>
      </w:r>
      <w:r w:rsidR="00BA7B06">
        <w:rPr>
          <w:rFonts w:asciiTheme="minorHAnsi" w:eastAsiaTheme="minorHAnsi" w:hAnsiTheme="minorHAnsi" w:cstheme="minorBidi"/>
          <w:iCs/>
          <w:color w:val="0070C0"/>
          <w:sz w:val="22"/>
          <w:szCs w:val="22"/>
        </w:rPr>
        <w:t xml:space="preserve"> </w:t>
      </w:r>
      <w:r w:rsidRPr="004877FD">
        <w:rPr>
          <w:rFonts w:asciiTheme="minorHAnsi" w:eastAsiaTheme="minorHAnsi" w:hAnsiTheme="minorHAnsi" w:cstheme="minorBidi"/>
          <w:iCs/>
          <w:color w:val="0070C0"/>
          <w:sz w:val="22"/>
          <w:szCs w:val="22"/>
        </w:rPr>
        <w:t xml:space="preserve">(ASAM, 2014).  </w:t>
      </w:r>
      <w:r w:rsidR="00975C46">
        <w:rPr>
          <w:rFonts w:asciiTheme="minorHAnsi" w:eastAsiaTheme="minorHAnsi" w:hAnsiTheme="minorHAnsi" w:cstheme="minorBidi"/>
          <w:iCs/>
          <w:color w:val="0070C0"/>
          <w:sz w:val="22"/>
          <w:szCs w:val="22"/>
        </w:rPr>
        <w:t xml:space="preserve">The ASAM expert panel noted that the measure would be useful despite the fact </w:t>
      </w:r>
      <w:r w:rsidR="00975C46">
        <w:rPr>
          <w:rFonts w:asciiTheme="minorHAnsi" w:eastAsiaTheme="minorHAnsi" w:hAnsiTheme="minorHAnsi" w:cstheme="minorBidi"/>
          <w:iCs/>
          <w:color w:val="0070C0"/>
          <w:sz w:val="22"/>
          <w:szCs w:val="22"/>
        </w:rPr>
        <w:lastRenderedPageBreak/>
        <w:t>that there is no</w:t>
      </w:r>
      <w:r>
        <w:rPr>
          <w:rFonts w:asciiTheme="minorHAnsi" w:eastAsiaTheme="minorHAnsi" w:hAnsiTheme="minorHAnsi" w:cstheme="minorBidi"/>
          <w:iCs/>
          <w:color w:val="0070C0"/>
          <w:sz w:val="22"/>
          <w:szCs w:val="22"/>
        </w:rPr>
        <w:t xml:space="preserve"> </w:t>
      </w:r>
      <w:r w:rsidR="00975C46">
        <w:rPr>
          <w:rFonts w:asciiTheme="minorHAnsi" w:eastAsiaTheme="minorHAnsi" w:hAnsiTheme="minorHAnsi" w:cstheme="minorBidi"/>
          <w:iCs/>
          <w:color w:val="0070C0"/>
          <w:sz w:val="22"/>
          <w:szCs w:val="22"/>
        </w:rPr>
        <w:t>se</w:t>
      </w:r>
      <w:r w:rsidRPr="004877FD">
        <w:rPr>
          <w:rFonts w:asciiTheme="minorHAnsi" w:eastAsiaTheme="minorHAnsi" w:hAnsiTheme="minorHAnsi" w:cstheme="minorBidi"/>
          <w:iCs/>
          <w:color w:val="0070C0"/>
          <w:sz w:val="22"/>
          <w:szCs w:val="22"/>
        </w:rPr>
        <w:t xml:space="preserve">t time </w:t>
      </w:r>
      <w:r w:rsidR="00975C46">
        <w:rPr>
          <w:rFonts w:asciiTheme="minorHAnsi" w:eastAsiaTheme="minorHAnsi" w:hAnsiTheme="minorHAnsi" w:cstheme="minorBidi"/>
          <w:iCs/>
          <w:color w:val="0070C0"/>
          <w:sz w:val="22"/>
          <w:szCs w:val="22"/>
        </w:rPr>
        <w:t xml:space="preserve">in which a patient with OUD should be initiated on MOUD or an </w:t>
      </w:r>
      <w:r w:rsidRPr="004877FD">
        <w:rPr>
          <w:rFonts w:asciiTheme="minorHAnsi" w:eastAsiaTheme="minorHAnsi" w:hAnsiTheme="minorHAnsi" w:cstheme="minorBidi"/>
          <w:iCs/>
          <w:color w:val="0070C0"/>
          <w:sz w:val="22"/>
          <w:szCs w:val="22"/>
        </w:rPr>
        <w:t>absolute benchmark level</w:t>
      </w:r>
      <w:r w:rsidR="00975C46">
        <w:rPr>
          <w:rFonts w:asciiTheme="minorHAnsi" w:eastAsiaTheme="minorHAnsi" w:hAnsiTheme="minorHAnsi" w:cstheme="minorBidi"/>
          <w:iCs/>
          <w:color w:val="0070C0"/>
          <w:sz w:val="22"/>
          <w:szCs w:val="22"/>
        </w:rPr>
        <w:t xml:space="preserve"> to determine the appropriate percentages of patients on MOUD</w:t>
      </w:r>
      <w:r w:rsidRPr="004877FD">
        <w:rPr>
          <w:rFonts w:asciiTheme="minorHAnsi" w:eastAsiaTheme="minorHAnsi" w:hAnsiTheme="minorHAnsi" w:cstheme="minorBidi"/>
          <w:iCs/>
          <w:color w:val="0070C0"/>
          <w:sz w:val="22"/>
          <w:szCs w:val="22"/>
        </w:rPr>
        <w:t xml:space="preserve">. </w:t>
      </w:r>
      <w:r w:rsidR="00951637">
        <w:rPr>
          <w:rFonts w:asciiTheme="minorHAnsi" w:eastAsiaTheme="minorHAnsi" w:hAnsiTheme="minorHAnsi" w:cstheme="minorBidi"/>
          <w:iCs/>
          <w:color w:val="0070C0"/>
          <w:sz w:val="22"/>
          <w:szCs w:val="22"/>
        </w:rPr>
        <w:t xml:space="preserve"> They </w:t>
      </w:r>
      <w:r>
        <w:rPr>
          <w:rFonts w:asciiTheme="minorHAnsi" w:eastAsiaTheme="minorHAnsi" w:hAnsiTheme="minorHAnsi" w:cstheme="minorBidi"/>
          <w:iCs/>
          <w:color w:val="0070C0"/>
          <w:sz w:val="22"/>
          <w:szCs w:val="22"/>
        </w:rPr>
        <w:t>explain that e</w:t>
      </w:r>
      <w:r w:rsidRPr="004877FD">
        <w:rPr>
          <w:rFonts w:asciiTheme="minorHAnsi" w:eastAsiaTheme="minorHAnsi" w:hAnsiTheme="minorHAnsi" w:cstheme="minorBidi"/>
          <w:iCs/>
          <w:color w:val="0070C0"/>
          <w:sz w:val="22"/>
          <w:szCs w:val="22"/>
        </w:rPr>
        <w:t xml:space="preserve">nsuring timely treatment with OUD medications </w:t>
      </w:r>
      <w:r w:rsidR="00F75863">
        <w:rPr>
          <w:rFonts w:asciiTheme="minorHAnsi" w:eastAsiaTheme="minorHAnsi" w:hAnsiTheme="minorHAnsi" w:cstheme="minorBidi"/>
          <w:iCs/>
          <w:color w:val="0070C0"/>
          <w:sz w:val="22"/>
          <w:szCs w:val="22"/>
        </w:rPr>
        <w:t>is</w:t>
      </w:r>
      <w:r w:rsidRPr="004877FD">
        <w:rPr>
          <w:rFonts w:asciiTheme="minorHAnsi" w:eastAsiaTheme="minorHAnsi" w:hAnsiTheme="minorHAnsi" w:cstheme="minorBidi"/>
          <w:iCs/>
          <w:color w:val="0070C0"/>
          <w:sz w:val="22"/>
          <w:szCs w:val="22"/>
        </w:rPr>
        <w:t xml:space="preserve"> important </w:t>
      </w:r>
      <w:r w:rsidR="00975C46">
        <w:rPr>
          <w:rFonts w:asciiTheme="minorHAnsi" w:eastAsiaTheme="minorHAnsi" w:hAnsiTheme="minorHAnsi" w:cstheme="minorBidi"/>
          <w:iCs/>
          <w:color w:val="0070C0"/>
          <w:sz w:val="22"/>
          <w:szCs w:val="22"/>
        </w:rPr>
        <w:t>as</w:t>
      </w:r>
      <w:r w:rsidRPr="004877FD">
        <w:rPr>
          <w:rFonts w:asciiTheme="minorHAnsi" w:eastAsiaTheme="minorHAnsi" w:hAnsiTheme="minorHAnsi" w:cstheme="minorBidi"/>
          <w:iCs/>
          <w:color w:val="0070C0"/>
          <w:sz w:val="22"/>
          <w:szCs w:val="22"/>
        </w:rPr>
        <w:t xml:space="preserve"> data show that </w:t>
      </w:r>
      <w:r w:rsidR="00975C46">
        <w:rPr>
          <w:rFonts w:asciiTheme="minorHAnsi" w:eastAsiaTheme="minorHAnsi" w:hAnsiTheme="minorHAnsi" w:cstheme="minorBidi"/>
          <w:iCs/>
          <w:color w:val="0070C0"/>
          <w:sz w:val="22"/>
          <w:szCs w:val="22"/>
        </w:rPr>
        <w:t>individuals who receive MOUD</w:t>
      </w:r>
      <w:r w:rsidRPr="004877FD">
        <w:rPr>
          <w:rFonts w:asciiTheme="minorHAnsi" w:eastAsiaTheme="minorHAnsi" w:hAnsiTheme="minorHAnsi" w:cstheme="minorBidi"/>
          <w:iCs/>
          <w:color w:val="0070C0"/>
          <w:sz w:val="22"/>
          <w:szCs w:val="22"/>
        </w:rPr>
        <w:t xml:space="preserve"> are more likely to be retained in addiction treatment (</w:t>
      </w:r>
      <w:proofErr w:type="spellStart"/>
      <w:r w:rsidR="00543352" w:rsidRPr="00543352">
        <w:rPr>
          <w:rFonts w:asciiTheme="minorHAnsi" w:eastAsiaTheme="minorHAnsi" w:hAnsiTheme="minorHAnsi" w:cstheme="minorBidi"/>
          <w:iCs/>
          <w:color w:val="0070C0"/>
          <w:sz w:val="22"/>
          <w:szCs w:val="22"/>
        </w:rPr>
        <w:t>Mattick</w:t>
      </w:r>
      <w:proofErr w:type="spellEnd"/>
      <w:r w:rsidR="00543352" w:rsidRPr="00543352">
        <w:rPr>
          <w:rFonts w:asciiTheme="minorHAnsi" w:eastAsiaTheme="minorHAnsi" w:hAnsiTheme="minorHAnsi" w:cstheme="minorBidi"/>
          <w:iCs/>
          <w:color w:val="0070C0"/>
          <w:sz w:val="22"/>
          <w:szCs w:val="22"/>
        </w:rPr>
        <w:t xml:space="preserve"> et al., 20</w:t>
      </w:r>
      <w:r w:rsidR="00543352">
        <w:rPr>
          <w:rFonts w:asciiTheme="minorHAnsi" w:eastAsiaTheme="minorHAnsi" w:hAnsiTheme="minorHAnsi" w:cstheme="minorBidi"/>
          <w:iCs/>
          <w:color w:val="0070C0"/>
          <w:sz w:val="22"/>
          <w:szCs w:val="22"/>
        </w:rPr>
        <w:t xml:space="preserve">14, </w:t>
      </w:r>
      <w:r w:rsidR="00CB3E05">
        <w:rPr>
          <w:rFonts w:asciiTheme="minorHAnsi" w:eastAsiaTheme="minorHAnsi" w:hAnsiTheme="minorHAnsi" w:cstheme="minorBidi"/>
          <w:iCs/>
          <w:color w:val="0070C0"/>
          <w:sz w:val="22"/>
          <w:szCs w:val="22"/>
        </w:rPr>
        <w:t>Timko et al., 2016</w:t>
      </w:r>
      <w:r>
        <w:rPr>
          <w:rFonts w:asciiTheme="minorHAnsi" w:eastAsiaTheme="minorHAnsi" w:hAnsiTheme="minorHAnsi" w:cstheme="minorBidi"/>
          <w:iCs/>
          <w:color w:val="0070C0"/>
          <w:sz w:val="22"/>
          <w:szCs w:val="22"/>
        </w:rPr>
        <w:t xml:space="preserve">).  Further, </w:t>
      </w:r>
      <w:r w:rsidRPr="004877FD">
        <w:rPr>
          <w:rFonts w:asciiTheme="minorHAnsi" w:eastAsiaTheme="minorHAnsi" w:hAnsiTheme="minorHAnsi" w:cstheme="minorBidi"/>
          <w:iCs/>
          <w:color w:val="0070C0"/>
          <w:sz w:val="22"/>
          <w:szCs w:val="22"/>
        </w:rPr>
        <w:t>improved outcomes have been demonstrated for patients who initiate buprenorphine to treat OUD in emergency departments (D’Onofrio et al</w:t>
      </w:r>
      <w:r w:rsidR="00012305">
        <w:rPr>
          <w:rFonts w:asciiTheme="minorHAnsi" w:eastAsiaTheme="minorHAnsi" w:hAnsiTheme="minorHAnsi" w:cstheme="minorBidi"/>
          <w:iCs/>
          <w:color w:val="0070C0"/>
          <w:sz w:val="22"/>
          <w:szCs w:val="22"/>
        </w:rPr>
        <w:t>.</w:t>
      </w:r>
      <w:r w:rsidRPr="004877FD">
        <w:rPr>
          <w:rFonts w:asciiTheme="minorHAnsi" w:eastAsiaTheme="minorHAnsi" w:hAnsiTheme="minorHAnsi" w:cstheme="minorBidi"/>
          <w:iCs/>
          <w:color w:val="0070C0"/>
          <w:sz w:val="22"/>
          <w:szCs w:val="22"/>
        </w:rPr>
        <w:t xml:space="preserve">, 2015). </w:t>
      </w:r>
      <w:r w:rsidR="00CB3E05">
        <w:rPr>
          <w:rFonts w:asciiTheme="minorHAnsi" w:eastAsiaTheme="minorHAnsi" w:hAnsiTheme="minorHAnsi" w:cstheme="minorBidi"/>
          <w:iCs/>
          <w:color w:val="0070C0"/>
          <w:sz w:val="22"/>
          <w:szCs w:val="22"/>
        </w:rPr>
        <w:t xml:space="preserve"> Finally, as noted above, a large and robust portfolio of research highlights the significant mortality and morbidity benefits of MOUD. </w:t>
      </w:r>
    </w:p>
    <w:p w14:paraId="0AF8A367" w14:textId="12639105" w:rsidR="00951637" w:rsidRPr="004877FD" w:rsidRDefault="00951637" w:rsidP="004877FD">
      <w:pPr>
        <w:pStyle w:val="NormalSS"/>
        <w:rPr>
          <w:rFonts w:asciiTheme="minorHAnsi" w:eastAsiaTheme="minorHAnsi" w:hAnsiTheme="minorHAnsi" w:cstheme="minorBidi"/>
          <w:iCs/>
          <w:color w:val="0070C0"/>
          <w:sz w:val="22"/>
          <w:szCs w:val="22"/>
        </w:rPr>
      </w:pPr>
      <w:r>
        <w:rPr>
          <w:rFonts w:asciiTheme="minorHAnsi" w:eastAsiaTheme="minorHAnsi" w:hAnsiTheme="minorHAnsi" w:cstheme="minorBidi"/>
          <w:iCs/>
          <w:color w:val="0070C0"/>
          <w:sz w:val="22"/>
          <w:szCs w:val="22"/>
        </w:rPr>
        <w:t xml:space="preserve">A measure of </w:t>
      </w:r>
      <w:r w:rsidR="006E1709">
        <w:rPr>
          <w:rFonts w:asciiTheme="minorHAnsi" w:eastAsiaTheme="minorHAnsi" w:hAnsiTheme="minorHAnsi" w:cstheme="minorBidi"/>
          <w:iCs/>
          <w:color w:val="0070C0"/>
          <w:sz w:val="22"/>
          <w:szCs w:val="22"/>
        </w:rPr>
        <w:t xml:space="preserve">use of </w:t>
      </w:r>
      <w:r>
        <w:rPr>
          <w:rFonts w:asciiTheme="minorHAnsi" w:eastAsiaTheme="minorHAnsi" w:hAnsiTheme="minorHAnsi" w:cstheme="minorBidi"/>
          <w:iCs/>
          <w:color w:val="0070C0"/>
          <w:sz w:val="22"/>
          <w:szCs w:val="22"/>
        </w:rPr>
        <w:t xml:space="preserve">MOUD for OUD </w:t>
      </w:r>
      <w:r w:rsidR="00546092">
        <w:rPr>
          <w:rFonts w:asciiTheme="minorHAnsi" w:eastAsiaTheme="minorHAnsi" w:hAnsiTheme="minorHAnsi" w:cstheme="minorBidi"/>
          <w:iCs/>
          <w:color w:val="0070C0"/>
          <w:sz w:val="22"/>
          <w:szCs w:val="22"/>
        </w:rPr>
        <w:t xml:space="preserve">is being </w:t>
      </w:r>
      <w:r w:rsidR="00614748">
        <w:rPr>
          <w:rFonts w:asciiTheme="minorHAnsi" w:eastAsiaTheme="minorHAnsi" w:hAnsiTheme="minorHAnsi" w:cstheme="minorBidi"/>
          <w:iCs/>
          <w:color w:val="0070C0"/>
          <w:sz w:val="22"/>
          <w:szCs w:val="22"/>
        </w:rPr>
        <w:t>reported and used</w:t>
      </w:r>
      <w:r w:rsidR="006E1709">
        <w:rPr>
          <w:rFonts w:asciiTheme="minorHAnsi" w:eastAsiaTheme="minorHAnsi" w:hAnsiTheme="minorHAnsi" w:cstheme="minorBidi"/>
          <w:iCs/>
          <w:color w:val="0070C0"/>
          <w:sz w:val="22"/>
          <w:szCs w:val="22"/>
        </w:rPr>
        <w:t xml:space="preserve"> at the provider level </w:t>
      </w:r>
      <w:r w:rsidR="00546092">
        <w:rPr>
          <w:rFonts w:asciiTheme="minorHAnsi" w:eastAsiaTheme="minorHAnsi" w:hAnsiTheme="minorHAnsi" w:cstheme="minorBidi"/>
          <w:iCs/>
          <w:color w:val="0070C0"/>
          <w:sz w:val="22"/>
          <w:szCs w:val="22"/>
        </w:rPr>
        <w:t xml:space="preserve">is being used </w:t>
      </w:r>
      <w:r w:rsidR="006E1709">
        <w:rPr>
          <w:rFonts w:asciiTheme="minorHAnsi" w:eastAsiaTheme="minorHAnsi" w:hAnsiTheme="minorHAnsi" w:cstheme="minorBidi"/>
          <w:iCs/>
          <w:color w:val="0070C0"/>
          <w:sz w:val="22"/>
          <w:szCs w:val="22"/>
        </w:rPr>
        <w:t>in four</w:t>
      </w:r>
      <w:r w:rsidR="00546092">
        <w:rPr>
          <w:rFonts w:asciiTheme="minorHAnsi" w:eastAsiaTheme="minorHAnsi" w:hAnsiTheme="minorHAnsi" w:cstheme="minorBidi"/>
          <w:iCs/>
          <w:color w:val="0070C0"/>
          <w:sz w:val="22"/>
          <w:szCs w:val="22"/>
        </w:rPr>
        <w:t xml:space="preserve"> state Medicaid programs </w:t>
      </w:r>
      <w:r w:rsidR="00932929">
        <w:rPr>
          <w:rFonts w:asciiTheme="minorHAnsi" w:eastAsiaTheme="minorHAnsi" w:hAnsiTheme="minorHAnsi" w:cstheme="minorBidi"/>
          <w:iCs/>
          <w:color w:val="0070C0"/>
          <w:sz w:val="22"/>
          <w:szCs w:val="22"/>
        </w:rPr>
        <w:t xml:space="preserve">to help identify providers who could benefit from technical assistance </w:t>
      </w:r>
      <w:r w:rsidR="00546092">
        <w:rPr>
          <w:rFonts w:asciiTheme="minorHAnsi" w:eastAsiaTheme="minorHAnsi" w:hAnsiTheme="minorHAnsi" w:cstheme="minorBidi"/>
          <w:iCs/>
          <w:color w:val="0070C0"/>
          <w:sz w:val="22"/>
          <w:szCs w:val="22"/>
        </w:rPr>
        <w:t>(New York, Massachusetts, West Virginia, Delaware)</w:t>
      </w:r>
      <w:r w:rsidR="00012305">
        <w:rPr>
          <w:rFonts w:asciiTheme="minorHAnsi" w:eastAsiaTheme="minorHAnsi" w:hAnsiTheme="minorHAnsi" w:cstheme="minorBidi"/>
          <w:iCs/>
          <w:color w:val="0070C0"/>
          <w:sz w:val="22"/>
          <w:szCs w:val="22"/>
        </w:rPr>
        <w:t>.</w:t>
      </w:r>
      <w:r w:rsidR="00C82FAE" w:rsidRPr="00C82FAE">
        <w:t xml:space="preserve"> </w:t>
      </w:r>
      <w:r w:rsidR="00C82FAE">
        <w:rPr>
          <w:rFonts w:asciiTheme="minorHAnsi" w:eastAsiaTheme="minorHAnsi" w:hAnsiTheme="minorHAnsi" w:cstheme="minorBidi"/>
          <w:iCs/>
          <w:color w:val="0070C0"/>
          <w:sz w:val="22"/>
          <w:szCs w:val="22"/>
        </w:rPr>
        <w:t xml:space="preserve">The measure is also </w:t>
      </w:r>
      <w:r w:rsidR="00C82FAE" w:rsidRPr="00C82FAE">
        <w:rPr>
          <w:rFonts w:asciiTheme="minorHAnsi" w:eastAsiaTheme="minorHAnsi" w:hAnsiTheme="minorHAnsi" w:cstheme="minorBidi"/>
          <w:iCs/>
          <w:color w:val="0070C0"/>
          <w:sz w:val="22"/>
          <w:szCs w:val="22"/>
        </w:rPr>
        <w:t xml:space="preserve">being used at the provider-level in Centers for Medicare and Medicaid (CMS) behavioral health home demonstrations, however, </w:t>
      </w:r>
      <w:r w:rsidR="00AE2917">
        <w:rPr>
          <w:rFonts w:asciiTheme="minorHAnsi" w:eastAsiaTheme="minorHAnsi" w:hAnsiTheme="minorHAnsi" w:cstheme="minorBidi"/>
          <w:iCs/>
          <w:color w:val="0070C0"/>
          <w:sz w:val="22"/>
          <w:szCs w:val="22"/>
        </w:rPr>
        <w:t>it has</w:t>
      </w:r>
      <w:r w:rsidR="00C82FAE" w:rsidRPr="00C82FAE">
        <w:rPr>
          <w:rFonts w:asciiTheme="minorHAnsi" w:eastAsiaTheme="minorHAnsi" w:hAnsiTheme="minorHAnsi" w:cstheme="minorBidi"/>
          <w:iCs/>
          <w:color w:val="0070C0"/>
          <w:sz w:val="22"/>
          <w:szCs w:val="22"/>
        </w:rPr>
        <w:t xml:space="preserve"> not been endorsed at the provider level (CMS, 2019).</w:t>
      </w:r>
    </w:p>
    <w:p w14:paraId="25AEAF9E" w14:textId="2A0F9EBD" w:rsidR="0036254C" w:rsidRDefault="0036254C" w:rsidP="0036254C">
      <w:pPr>
        <w:spacing w:after="0"/>
      </w:pPr>
    </w:p>
    <w:bookmarkEnd w:id="1"/>
    <w:p w14:paraId="195C2DEC" w14:textId="550583F0" w:rsidR="0036254C" w:rsidRDefault="0036254C" w:rsidP="0036254C">
      <w:pPr>
        <w:spacing w:after="0"/>
        <w:sectPr w:rsidR="0036254C" w:rsidSect="004F0C3C">
          <w:pgSz w:w="12240" w:h="15840"/>
          <w:pgMar w:top="1483" w:right="1129" w:bottom="1460" w:left="1085" w:header="720" w:footer="721" w:gutter="0"/>
          <w:cols w:space="720"/>
          <w:docGrid w:linePitch="299"/>
        </w:sectPr>
      </w:pPr>
    </w:p>
    <w:p w14:paraId="72DD7D13" w14:textId="005A8749" w:rsidR="007A74C2" w:rsidRDefault="007A74C2" w:rsidP="0036254C">
      <w:pPr>
        <w:spacing w:after="0"/>
      </w:pPr>
    </w:p>
    <w:p w14:paraId="361426C2" w14:textId="77777777" w:rsidR="007A74C2" w:rsidRDefault="00184A5C">
      <w:pPr>
        <w:spacing w:after="4" w:line="249" w:lineRule="auto"/>
        <w:ind w:left="700" w:right="229" w:hanging="360"/>
      </w:pPr>
      <w:r>
        <w:rPr>
          <w:b/>
        </w:rPr>
        <w:t>1a.3</w:t>
      </w:r>
      <w:r>
        <w:t xml:space="preserve"> </w:t>
      </w:r>
      <w:r>
        <w:rPr>
          <w:b/>
        </w:rPr>
        <w:t xml:space="preserve">Value and Meaningfulness:  </w:t>
      </w:r>
      <w:r>
        <w:t xml:space="preserve"> </w:t>
      </w:r>
      <w:r>
        <w:rPr>
          <w:b/>
        </w:rPr>
        <w:t xml:space="preserve">IF </w:t>
      </w:r>
      <w:r>
        <w:t xml:space="preserve">this measure is derived from patient report, provide evidence that the target population values the measured </w:t>
      </w:r>
      <w:r>
        <w:rPr>
          <w:b/>
          <w:i/>
        </w:rPr>
        <w:t>outcome, process, or structure</w:t>
      </w:r>
      <w:r>
        <w:t xml:space="preserve"> and finds it meaningful. (Describe how and from whom their input was obtained.)</w:t>
      </w:r>
      <w:r>
        <w:rPr>
          <w:b/>
        </w:rPr>
        <w:t xml:space="preserve"> </w:t>
      </w:r>
    </w:p>
    <w:p w14:paraId="599CB276" w14:textId="5D440502" w:rsidR="007A74C2" w:rsidRPr="0036254C" w:rsidRDefault="0036254C" w:rsidP="0036254C">
      <w:pPr>
        <w:ind w:left="1132" w:hanging="432"/>
        <w:rPr>
          <w:rFonts w:asciiTheme="minorHAnsi" w:eastAsiaTheme="minorHAnsi" w:hAnsiTheme="minorHAnsi" w:cstheme="minorBidi"/>
          <w:b/>
          <w:color w:val="0000FF"/>
        </w:rPr>
      </w:pPr>
      <w:r>
        <w:rPr>
          <w:b/>
          <w:color w:val="0000FF"/>
        </w:rPr>
        <w:t>N/A</w:t>
      </w:r>
    </w:p>
    <w:p w14:paraId="6B7745E3" w14:textId="77777777" w:rsidR="007A74C2" w:rsidRDefault="00184A5C">
      <w:pPr>
        <w:spacing w:after="5" w:line="249" w:lineRule="auto"/>
        <w:ind w:left="350" w:right="209" w:hanging="10"/>
      </w:pPr>
      <w:r>
        <w:rPr>
          <w:b/>
        </w:rPr>
        <w:t xml:space="preserve">**RESPOND TO ONLY ONE SECTION BELOW -EITHER 1a.2, 1a.3 or 1a.4) ** </w:t>
      </w:r>
    </w:p>
    <w:p w14:paraId="59C0FA51" w14:textId="77777777" w:rsidR="007A74C2" w:rsidRDefault="00184A5C">
      <w:pPr>
        <w:spacing w:after="0"/>
        <w:ind w:left="354"/>
      </w:pPr>
      <w:r>
        <w:rPr>
          <w:b/>
        </w:rPr>
        <w:t xml:space="preserve"> </w:t>
      </w:r>
    </w:p>
    <w:p w14:paraId="5B4FE225" w14:textId="77777777" w:rsidR="007A74C2" w:rsidRDefault="00184A5C">
      <w:pPr>
        <w:spacing w:after="5" w:line="249" w:lineRule="auto"/>
        <w:ind w:left="771" w:right="209" w:hanging="431"/>
      </w:pPr>
      <w:r>
        <w:rPr>
          <w:b/>
        </w:rPr>
        <w:t>1a.2</w:t>
      </w:r>
      <w:r>
        <w:t xml:space="preserve"> </w:t>
      </w:r>
      <w:r>
        <w:rPr>
          <w:b/>
        </w:rPr>
        <w:t xml:space="preserve">FOR OUTCOME MEASURES including PATIENT REPORTED OUTCOMES - Provide empirical data demonstrating the relationship between the outcome (or PRO) to at least one healthcare structure, process, intervention, or service.  </w:t>
      </w:r>
    </w:p>
    <w:p w14:paraId="788FB9B5" w14:textId="0F390C44" w:rsidR="007A74C2" w:rsidRDefault="00184A5C" w:rsidP="0036254C">
      <w:pPr>
        <w:spacing w:after="0"/>
        <w:ind w:left="354"/>
      </w:pPr>
      <w:r>
        <w:t xml:space="preserve"> </w:t>
      </w:r>
    </w:p>
    <w:p w14:paraId="3CD45B07" w14:textId="1A9842E1" w:rsidR="007A74C2" w:rsidRDefault="00184A5C">
      <w:pPr>
        <w:spacing w:after="5" w:line="249" w:lineRule="auto"/>
        <w:ind w:left="350" w:right="209" w:hanging="10"/>
      </w:pPr>
      <w:r>
        <w:rPr>
          <w:b/>
        </w:rPr>
        <w:t>1a.3.</w:t>
      </w:r>
      <w:r>
        <w:rPr>
          <w:i/>
        </w:rPr>
        <w:t xml:space="preserve"> </w:t>
      </w:r>
      <w:r>
        <w:rPr>
          <w:b/>
        </w:rPr>
        <w:t xml:space="preserve">SYSTEMATIC REVIEW(SR) OF THE EVIDENCE (for INTERMEDIATE OUTCOME, PROCESS, OR </w:t>
      </w:r>
    </w:p>
    <w:p w14:paraId="39B4E233" w14:textId="77777777" w:rsidR="007A74C2" w:rsidRDefault="00184A5C">
      <w:pPr>
        <w:spacing w:after="5" w:line="249" w:lineRule="auto"/>
        <w:ind w:left="350" w:right="209" w:hanging="10"/>
      </w:pPr>
      <w:r>
        <w:rPr>
          <w:b/>
        </w:rPr>
        <w:t xml:space="preserve">STRUCTURE PERFORMANCE MEASURES, INCLUDING THOSE THAT ARE INSTRUMENT-BASED) If the evidence is not based on a systematic review go to section 1a.4) If you wish to include more than one systematic review, add additional tables.  </w:t>
      </w:r>
    </w:p>
    <w:p w14:paraId="6B56A361" w14:textId="77777777" w:rsidR="007A74C2" w:rsidRDefault="00184A5C">
      <w:pPr>
        <w:spacing w:after="0"/>
        <w:ind w:left="353"/>
      </w:pPr>
      <w:r>
        <w:rPr>
          <w:i/>
        </w:rPr>
        <w:t xml:space="preserve"> </w:t>
      </w:r>
    </w:p>
    <w:p w14:paraId="75C6ACCE" w14:textId="77777777" w:rsidR="007A74C2" w:rsidRDefault="00184A5C">
      <w:pPr>
        <w:spacing w:after="5" w:line="249" w:lineRule="auto"/>
        <w:ind w:left="350" w:right="209" w:hanging="10"/>
      </w:pPr>
      <w:r>
        <w:rPr>
          <w:b/>
        </w:rPr>
        <w:t xml:space="preserve">What is the source of the </w:t>
      </w:r>
      <w:r>
        <w:rPr>
          <w:b/>
          <w:u w:val="single" w:color="000000"/>
        </w:rPr>
        <w:t>systematic review of the body of evidence</w:t>
      </w:r>
      <w:r>
        <w:rPr>
          <w:b/>
        </w:rPr>
        <w:t xml:space="preserve"> that supports the performance measure?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 </w:t>
      </w:r>
    </w:p>
    <w:p w14:paraId="61E062AE" w14:textId="0775B428" w:rsidR="007A74C2" w:rsidRDefault="0036254C">
      <w:pPr>
        <w:spacing w:after="141" w:line="249" w:lineRule="auto"/>
        <w:ind w:left="350" w:right="229" w:hanging="10"/>
      </w:pPr>
      <w:r>
        <w:rPr>
          <w:rFonts w:ascii="Arial Unicode MS" w:eastAsia="Arial Unicode MS" w:hAnsi="Arial Unicode MS" w:cs="Arial Unicode MS" w:hint="eastAsia"/>
          <w:color w:val="0000FF"/>
          <w:kern w:val="2"/>
          <w:sz w:val="24"/>
          <w:szCs w:val="24"/>
          <w:cs/>
          <w:lang w:eastAsia="hi-IN" w:bidi="hi-IN"/>
        </w:rPr>
        <w:t>☑</w:t>
      </w:r>
      <w:r w:rsidR="00184A5C">
        <w:rPr>
          <w:rFonts w:ascii="Times New Roman" w:eastAsia="Times New Roman" w:hAnsi="Times New Roman" w:cs="Times New Roman"/>
          <w:color w:val="0000FF"/>
          <w:sz w:val="24"/>
        </w:rPr>
        <w:t xml:space="preserve"> </w:t>
      </w:r>
      <w:r w:rsidR="00184A5C">
        <w:t xml:space="preserve">Clinical Practice Guideline recommendation  (with evidence review) </w:t>
      </w:r>
    </w:p>
    <w:p w14:paraId="7836932F" w14:textId="77777777" w:rsidR="007A74C2" w:rsidRDefault="00184A5C">
      <w:pPr>
        <w:spacing w:after="128" w:line="249" w:lineRule="auto"/>
        <w:ind w:left="350" w:right="229" w:hanging="10"/>
      </w:pPr>
      <w:r>
        <w:rPr>
          <w:rFonts w:ascii="MS Gothic" w:eastAsia="MS Gothic" w:hAnsi="MS Gothic" w:cs="MS Gothic"/>
          <w:color w:val="0000FF"/>
          <w:sz w:val="24"/>
        </w:rPr>
        <w:t>☐</w:t>
      </w:r>
      <w:r>
        <w:t xml:space="preserve"> US Preventive Services Task Force Recommendation</w:t>
      </w:r>
      <w:r>
        <w:rPr>
          <w:b/>
          <w:i/>
        </w:rPr>
        <w:t xml:space="preserve"> </w:t>
      </w:r>
    </w:p>
    <w:p w14:paraId="60B97A71" w14:textId="69381497" w:rsidR="007A74C2" w:rsidRDefault="0036254C">
      <w:pPr>
        <w:spacing w:after="4" w:line="249" w:lineRule="auto"/>
        <w:ind w:left="350" w:right="229" w:hanging="10"/>
      </w:pPr>
      <w:r>
        <w:rPr>
          <w:rFonts w:ascii="Arial Unicode MS" w:eastAsia="Arial Unicode MS" w:hAnsi="Arial Unicode MS" w:cs="Arial Unicode MS" w:hint="eastAsia"/>
          <w:color w:val="0000FF"/>
          <w:kern w:val="2"/>
          <w:sz w:val="24"/>
          <w:szCs w:val="24"/>
          <w:cs/>
          <w:lang w:eastAsia="hi-IN" w:bidi="hi-IN"/>
        </w:rPr>
        <w:t>☑</w:t>
      </w:r>
      <w:r w:rsidR="00184A5C">
        <w:t xml:space="preserve"> Other systematic review and grading of the body of evidence (</w:t>
      </w:r>
      <w:r w:rsidR="00184A5C">
        <w:rPr>
          <w:i/>
        </w:rPr>
        <w:t xml:space="preserve">e.g., Cochrane Collaboration, AHRQ </w:t>
      </w:r>
    </w:p>
    <w:p w14:paraId="469B315E" w14:textId="77777777" w:rsidR="007A74C2" w:rsidRDefault="00184A5C">
      <w:pPr>
        <w:spacing w:after="116" w:line="249" w:lineRule="auto"/>
        <w:ind w:left="351" w:right="125" w:hanging="10"/>
      </w:pPr>
      <w:r>
        <w:rPr>
          <w:i/>
        </w:rPr>
        <w:t>Evidence Practice Center</w:t>
      </w:r>
      <w:r>
        <w:t xml:space="preserve">)  </w:t>
      </w:r>
    </w:p>
    <w:p w14:paraId="4AC1C7B4" w14:textId="77777777" w:rsidR="007A74C2" w:rsidRDefault="00184A5C">
      <w:pPr>
        <w:spacing w:after="4" w:line="249" w:lineRule="auto"/>
        <w:ind w:left="350" w:right="229" w:hanging="10"/>
      </w:pPr>
      <w:r>
        <w:rPr>
          <w:rFonts w:ascii="MS Gothic" w:eastAsia="MS Gothic" w:hAnsi="MS Gothic" w:cs="MS Gothic"/>
          <w:color w:val="0000FF"/>
          <w:sz w:val="24"/>
        </w:rPr>
        <w:t>☐</w:t>
      </w:r>
      <w:r>
        <w:t xml:space="preserve"> Other  </w:t>
      </w:r>
    </w:p>
    <w:p w14:paraId="07171518" w14:textId="77777777" w:rsidR="007A74C2" w:rsidRDefault="00184A5C">
      <w:pPr>
        <w:spacing w:after="0"/>
        <w:ind w:left="355"/>
      </w:pPr>
      <w:r>
        <w:rPr>
          <w:i/>
        </w:rPr>
        <w:t xml:space="preserve"> </w:t>
      </w:r>
    </w:p>
    <w:p w14:paraId="1B90DEE3" w14:textId="77777777" w:rsidR="007A74C2" w:rsidRDefault="00184A5C">
      <w:pPr>
        <w:spacing w:after="0"/>
        <w:ind w:left="355"/>
      </w:pPr>
      <w:r>
        <w:rPr>
          <w:i/>
        </w:rPr>
        <w:t xml:space="preserve"> </w:t>
      </w:r>
    </w:p>
    <w:tbl>
      <w:tblPr>
        <w:tblStyle w:val="TableGrid0"/>
        <w:tblW w:w="0" w:type="auto"/>
        <w:tblInd w:w="0" w:type="dxa"/>
        <w:tblLook w:val="04A0" w:firstRow="1" w:lastRow="0" w:firstColumn="1" w:lastColumn="0" w:noHBand="0" w:noVBand="1"/>
      </w:tblPr>
      <w:tblGrid>
        <w:gridCol w:w="2335"/>
        <w:gridCol w:w="6863"/>
      </w:tblGrid>
      <w:tr w:rsidR="0036254C" w:rsidRPr="0036254C" w14:paraId="3737517C" w14:textId="77777777" w:rsidTr="00E70109">
        <w:tc>
          <w:tcPr>
            <w:tcW w:w="2335" w:type="dxa"/>
            <w:tcBorders>
              <w:top w:val="single" w:sz="4" w:space="0" w:color="auto"/>
              <w:left w:val="single" w:sz="4" w:space="0" w:color="auto"/>
              <w:bottom w:val="single" w:sz="4" w:space="0" w:color="auto"/>
              <w:right w:val="single" w:sz="4" w:space="0" w:color="auto"/>
            </w:tcBorders>
            <w:hideMark/>
          </w:tcPr>
          <w:p w14:paraId="113A7384" w14:textId="77777777" w:rsidR="0036254C" w:rsidRDefault="0036254C">
            <w:pPr>
              <w:rPr>
                <w:rFonts w:asciiTheme="minorHAnsi" w:eastAsiaTheme="minorHAnsi" w:hAnsiTheme="minorHAnsi" w:cstheme="minorBidi"/>
                <w:b/>
                <w:color w:val="auto"/>
              </w:rPr>
            </w:pPr>
            <w:r>
              <w:rPr>
                <w:b/>
              </w:rPr>
              <w:t>Source of Systematic Review 1:</w:t>
            </w:r>
          </w:p>
          <w:p w14:paraId="0A6E4FEB" w14:textId="77777777" w:rsidR="0036254C" w:rsidRDefault="0036254C" w:rsidP="0036254C">
            <w:pPr>
              <w:numPr>
                <w:ilvl w:val="0"/>
                <w:numId w:val="7"/>
              </w:numPr>
              <w:rPr>
                <w:b/>
              </w:rPr>
            </w:pPr>
            <w:r>
              <w:rPr>
                <w:b/>
              </w:rPr>
              <w:t>Title</w:t>
            </w:r>
          </w:p>
          <w:p w14:paraId="44FCB05B" w14:textId="77777777" w:rsidR="0036254C" w:rsidRDefault="0036254C" w:rsidP="0036254C">
            <w:pPr>
              <w:numPr>
                <w:ilvl w:val="0"/>
                <w:numId w:val="7"/>
              </w:numPr>
              <w:rPr>
                <w:b/>
              </w:rPr>
            </w:pPr>
            <w:r>
              <w:rPr>
                <w:b/>
              </w:rPr>
              <w:t>Author</w:t>
            </w:r>
          </w:p>
          <w:p w14:paraId="2D065F90" w14:textId="77777777" w:rsidR="0036254C" w:rsidRDefault="0036254C" w:rsidP="0036254C">
            <w:pPr>
              <w:numPr>
                <w:ilvl w:val="0"/>
                <w:numId w:val="7"/>
              </w:numPr>
              <w:rPr>
                <w:b/>
              </w:rPr>
            </w:pPr>
            <w:r>
              <w:rPr>
                <w:b/>
              </w:rPr>
              <w:t>Date</w:t>
            </w:r>
          </w:p>
          <w:p w14:paraId="688CDC3F" w14:textId="77777777" w:rsidR="0036254C" w:rsidRDefault="0036254C" w:rsidP="0036254C">
            <w:pPr>
              <w:numPr>
                <w:ilvl w:val="0"/>
                <w:numId w:val="7"/>
              </w:numPr>
              <w:rPr>
                <w:b/>
              </w:rPr>
            </w:pPr>
            <w:r>
              <w:rPr>
                <w:b/>
              </w:rPr>
              <w:t>Citation, including page number</w:t>
            </w:r>
          </w:p>
          <w:p w14:paraId="7EEA3AEB" w14:textId="77777777" w:rsidR="0036254C" w:rsidRDefault="0036254C" w:rsidP="0036254C">
            <w:pPr>
              <w:numPr>
                <w:ilvl w:val="0"/>
                <w:numId w:val="7"/>
              </w:numPr>
              <w:rPr>
                <w:b/>
              </w:rPr>
            </w:pPr>
            <w:r>
              <w:rPr>
                <w:b/>
              </w:rPr>
              <w:t>URL</w:t>
            </w:r>
          </w:p>
        </w:tc>
        <w:tc>
          <w:tcPr>
            <w:tcW w:w="6863" w:type="dxa"/>
            <w:tcBorders>
              <w:top w:val="single" w:sz="4" w:space="0" w:color="auto"/>
              <w:left w:val="single" w:sz="4" w:space="0" w:color="auto"/>
              <w:bottom w:val="single" w:sz="4" w:space="0" w:color="auto"/>
              <w:right w:val="single" w:sz="4" w:space="0" w:color="auto"/>
            </w:tcBorders>
            <w:hideMark/>
          </w:tcPr>
          <w:p w14:paraId="7C4E00F0" w14:textId="669FF9D5" w:rsidR="0036254C" w:rsidRDefault="0036254C" w:rsidP="00E70109">
            <w:r>
              <w:rPr>
                <w:b/>
              </w:rPr>
              <w:t>Title:</w:t>
            </w:r>
            <w:r>
              <w:t xml:space="preserve"> </w:t>
            </w:r>
            <w:r w:rsidR="008F668A">
              <w:t>The ASAM National Practice Guideline for the Treatment of Opioid Use Disorder – 2020 Focused Update</w:t>
            </w:r>
          </w:p>
          <w:p w14:paraId="5786E867" w14:textId="77777777" w:rsidR="0036254C" w:rsidRDefault="0036254C" w:rsidP="00E70109">
            <w:r>
              <w:rPr>
                <w:b/>
              </w:rPr>
              <w:t>Author:</w:t>
            </w:r>
            <w:r>
              <w:t xml:space="preserve"> American Society of Addiction Medicine</w:t>
            </w:r>
          </w:p>
          <w:p w14:paraId="6D8EA2F0" w14:textId="3307713B" w:rsidR="0036254C" w:rsidRDefault="0036254C" w:rsidP="00E70109">
            <w:r>
              <w:rPr>
                <w:b/>
              </w:rPr>
              <w:t>Date:</w:t>
            </w:r>
            <w:r>
              <w:t xml:space="preserve"> Adopted by the ASAM Board of Directors </w:t>
            </w:r>
            <w:r w:rsidR="008F668A">
              <w:t>December 18, 2019</w:t>
            </w:r>
          </w:p>
          <w:p w14:paraId="6621A911" w14:textId="77777777" w:rsidR="00A228E6" w:rsidRDefault="0036254C" w:rsidP="00A228E6">
            <w:r>
              <w:rPr>
                <w:b/>
              </w:rPr>
              <w:t>Citation:</w:t>
            </w:r>
            <w:r>
              <w:t xml:space="preserve"> American Society of Addiction Medicine. (20</w:t>
            </w:r>
            <w:r w:rsidR="00C54429">
              <w:t>20</w:t>
            </w:r>
            <w:r>
              <w:t xml:space="preserve">). National practice guideline for the use of medications in the treatment of addiction involving opioid use. </w:t>
            </w:r>
          </w:p>
          <w:p w14:paraId="6F29F20A" w14:textId="4CD0177B" w:rsidR="0036254C" w:rsidRDefault="0036254C" w:rsidP="00A228E6">
            <w:pPr>
              <w:rPr>
                <w:b/>
              </w:rPr>
            </w:pPr>
            <w:r>
              <w:rPr>
                <w:b/>
              </w:rPr>
              <w:t>URL:</w:t>
            </w:r>
            <w:r>
              <w:t xml:space="preserve"> </w:t>
            </w:r>
            <w:hyperlink r:id="rId31" w:history="1">
              <w:r w:rsidR="00C54429">
                <w:rPr>
                  <w:rStyle w:val="Hyperlink"/>
                </w:rPr>
                <w:t>https://www.asam.org/docs/default-source/quality-science/npg-jam-supplement.pdf?sfvrsn=a00a52c2_2</w:t>
              </w:r>
            </w:hyperlink>
          </w:p>
        </w:tc>
      </w:tr>
      <w:tr w:rsidR="0036254C" w:rsidRPr="0036254C" w14:paraId="43FA7B38" w14:textId="77777777" w:rsidTr="00E70109">
        <w:tc>
          <w:tcPr>
            <w:tcW w:w="2335" w:type="dxa"/>
            <w:tcBorders>
              <w:top w:val="single" w:sz="4" w:space="0" w:color="auto"/>
              <w:left w:val="single" w:sz="4" w:space="0" w:color="auto"/>
              <w:bottom w:val="single" w:sz="4" w:space="0" w:color="auto"/>
              <w:right w:val="single" w:sz="4" w:space="0" w:color="auto"/>
            </w:tcBorders>
            <w:hideMark/>
          </w:tcPr>
          <w:p w14:paraId="603DD298" w14:textId="77777777" w:rsidR="0036254C" w:rsidRDefault="0036254C">
            <w:r>
              <w:t xml:space="preserve">Quote the guideline or recommendation verbatim about the process, structure or intermediate outcome being measured. If not </w:t>
            </w:r>
            <w:r>
              <w:lastRenderedPageBreak/>
              <w:t>a guideline, summarize the conclusions from the SR.</w:t>
            </w:r>
          </w:p>
        </w:tc>
        <w:tc>
          <w:tcPr>
            <w:tcW w:w="6863" w:type="dxa"/>
            <w:tcBorders>
              <w:top w:val="single" w:sz="4" w:space="0" w:color="auto"/>
              <w:left w:val="single" w:sz="4" w:space="0" w:color="auto"/>
              <w:bottom w:val="single" w:sz="4" w:space="0" w:color="auto"/>
              <w:right w:val="single" w:sz="4" w:space="0" w:color="auto"/>
            </w:tcBorders>
          </w:tcPr>
          <w:p w14:paraId="48745B40" w14:textId="5185EE5A" w:rsidR="00FF2072" w:rsidRDefault="00FF2072" w:rsidP="00FF2072">
            <w:r>
              <w:lastRenderedPageBreak/>
              <w:t>p. 11, “Methadone is a recommended</w:t>
            </w:r>
          </w:p>
          <w:p w14:paraId="32DD7BBF" w14:textId="77777777" w:rsidR="00FF2072" w:rsidRDefault="00FF2072" w:rsidP="00FF2072">
            <w:r>
              <w:t>treatment for patients with opioid use disorder, who</w:t>
            </w:r>
          </w:p>
          <w:p w14:paraId="75E10B86" w14:textId="77777777" w:rsidR="00FF2072" w:rsidRDefault="00FF2072" w:rsidP="00FF2072">
            <w:r>
              <w:t>are able to give informed consent and have no specific</w:t>
            </w:r>
          </w:p>
          <w:p w14:paraId="21B0E261" w14:textId="35FE12BD" w:rsidR="00FF2072" w:rsidRDefault="00FF2072" w:rsidP="00FF2072">
            <w:r>
              <w:t>contraindication for this treatment.”</w:t>
            </w:r>
          </w:p>
          <w:p w14:paraId="7C0F9669" w14:textId="77777777" w:rsidR="00FF2072" w:rsidRDefault="00FF2072" w:rsidP="005331EE"/>
          <w:p w14:paraId="1BDE77A8" w14:textId="6F21BAFE" w:rsidR="005331EE" w:rsidRDefault="0036254C" w:rsidP="005331EE">
            <w:r>
              <w:lastRenderedPageBreak/>
              <w:t>p.</w:t>
            </w:r>
            <w:r w:rsidR="005331EE">
              <w:t>12</w:t>
            </w:r>
            <w:r>
              <w:t>, “</w:t>
            </w:r>
            <w:r w:rsidR="005331EE">
              <w:t>Buprenorphine is a recommended treatment for patients with opioid use disorder, who are able to give informed consent and have no specific contraindication for this treatment.”</w:t>
            </w:r>
          </w:p>
          <w:p w14:paraId="3B75513B" w14:textId="7D0A28F6" w:rsidR="00FF2072" w:rsidRDefault="00FF2072" w:rsidP="00FF2072">
            <w:r>
              <w:t>p. 13, “</w:t>
            </w:r>
            <w:r w:rsidR="005331EE">
              <w:t xml:space="preserve"> </w:t>
            </w:r>
            <w:r>
              <w:t>Extended-release injectable naltrexone</w:t>
            </w:r>
          </w:p>
          <w:p w14:paraId="1EBA1D4D" w14:textId="77777777" w:rsidR="00FF2072" w:rsidRDefault="00FF2072" w:rsidP="00FF2072">
            <w:r>
              <w:t>is a recommended treatment for preventing relapse</w:t>
            </w:r>
          </w:p>
          <w:p w14:paraId="6502D6C8" w14:textId="77777777" w:rsidR="00FF2072" w:rsidRDefault="00FF2072" w:rsidP="00FF2072">
            <w:r>
              <w:t>to opioid use disorder in patients who are no longer</w:t>
            </w:r>
          </w:p>
          <w:p w14:paraId="38F69F42" w14:textId="77777777" w:rsidR="00FF2072" w:rsidRDefault="00FF2072" w:rsidP="00FF2072">
            <w:r>
              <w:t>physically dependent on opioids, able to give informed</w:t>
            </w:r>
          </w:p>
          <w:p w14:paraId="7C82E0E4" w14:textId="1C6245C6" w:rsidR="0036254C" w:rsidRDefault="00FF2072" w:rsidP="00E70109">
            <w:r>
              <w:t>consent, and have no contraindications for this treatment.”</w:t>
            </w:r>
          </w:p>
        </w:tc>
      </w:tr>
      <w:tr w:rsidR="0036254C" w:rsidRPr="0036254C" w14:paraId="26621820" w14:textId="77777777" w:rsidTr="00E70109">
        <w:tc>
          <w:tcPr>
            <w:tcW w:w="2335" w:type="dxa"/>
            <w:tcBorders>
              <w:top w:val="single" w:sz="4" w:space="0" w:color="auto"/>
              <w:left w:val="single" w:sz="4" w:space="0" w:color="auto"/>
              <w:bottom w:val="single" w:sz="4" w:space="0" w:color="auto"/>
              <w:right w:val="single" w:sz="4" w:space="0" w:color="auto"/>
            </w:tcBorders>
            <w:hideMark/>
          </w:tcPr>
          <w:p w14:paraId="7B55FEDD" w14:textId="77777777" w:rsidR="0036254C" w:rsidRDefault="0036254C">
            <w:r>
              <w:lastRenderedPageBreak/>
              <w:t xml:space="preserve">Grade assigned to the </w:t>
            </w:r>
            <w:r>
              <w:rPr>
                <w:b/>
              </w:rPr>
              <w:t>evidence</w:t>
            </w:r>
            <w:r>
              <w:t xml:space="preserve"> associated with the recommendation with the definition of the grade</w:t>
            </w:r>
          </w:p>
        </w:tc>
        <w:tc>
          <w:tcPr>
            <w:tcW w:w="6863" w:type="dxa"/>
            <w:tcBorders>
              <w:top w:val="single" w:sz="4" w:space="0" w:color="auto"/>
              <w:left w:val="single" w:sz="4" w:space="0" w:color="auto"/>
              <w:bottom w:val="single" w:sz="4" w:space="0" w:color="auto"/>
              <w:right w:val="single" w:sz="4" w:space="0" w:color="auto"/>
            </w:tcBorders>
            <w:hideMark/>
          </w:tcPr>
          <w:p w14:paraId="2D1F573A" w14:textId="77777777" w:rsidR="0036254C" w:rsidRDefault="0036254C">
            <w:r>
              <w:t xml:space="preserve">Not Applicable. The guidelines cited above do not provide grades (e.g., USPSTF grades A, B, etc.). </w:t>
            </w:r>
          </w:p>
        </w:tc>
      </w:tr>
      <w:tr w:rsidR="0036254C" w:rsidRPr="0036254C" w14:paraId="0FE75BD8" w14:textId="77777777" w:rsidTr="00E70109">
        <w:tc>
          <w:tcPr>
            <w:tcW w:w="2335" w:type="dxa"/>
            <w:tcBorders>
              <w:top w:val="single" w:sz="4" w:space="0" w:color="auto"/>
              <w:left w:val="single" w:sz="4" w:space="0" w:color="auto"/>
              <w:bottom w:val="single" w:sz="4" w:space="0" w:color="auto"/>
              <w:right w:val="single" w:sz="4" w:space="0" w:color="auto"/>
            </w:tcBorders>
            <w:hideMark/>
          </w:tcPr>
          <w:p w14:paraId="1C44451D" w14:textId="77777777" w:rsidR="0036254C" w:rsidRDefault="0036254C">
            <w:r>
              <w:t>Provide all other grades and definitions from the evidence grading system</w:t>
            </w:r>
          </w:p>
        </w:tc>
        <w:tc>
          <w:tcPr>
            <w:tcW w:w="6863" w:type="dxa"/>
            <w:tcBorders>
              <w:top w:val="single" w:sz="4" w:space="0" w:color="auto"/>
              <w:left w:val="single" w:sz="4" w:space="0" w:color="auto"/>
              <w:bottom w:val="single" w:sz="4" w:space="0" w:color="auto"/>
              <w:right w:val="single" w:sz="4" w:space="0" w:color="auto"/>
            </w:tcBorders>
            <w:hideMark/>
          </w:tcPr>
          <w:p w14:paraId="021C39F0" w14:textId="77777777" w:rsidR="0036254C" w:rsidRDefault="0036254C">
            <w:r>
              <w:t>The ASAM practice guidelines were developed by using the RAND appropriateness method. Guideline developers reviewed existing literature and guidelines, treatment scenarios, appropriateness ratings, and other documents. An independent panel convened by ASAM oversaw development of the guidelines.</w:t>
            </w:r>
          </w:p>
        </w:tc>
      </w:tr>
      <w:tr w:rsidR="0036254C" w:rsidRPr="0036254C" w14:paraId="14CB67E1" w14:textId="77777777" w:rsidTr="00E70109">
        <w:tc>
          <w:tcPr>
            <w:tcW w:w="2335" w:type="dxa"/>
            <w:tcBorders>
              <w:top w:val="single" w:sz="4" w:space="0" w:color="auto"/>
              <w:left w:val="single" w:sz="4" w:space="0" w:color="auto"/>
              <w:bottom w:val="single" w:sz="4" w:space="0" w:color="auto"/>
              <w:right w:val="single" w:sz="4" w:space="0" w:color="auto"/>
            </w:tcBorders>
            <w:hideMark/>
          </w:tcPr>
          <w:p w14:paraId="39BB3507" w14:textId="77777777" w:rsidR="0036254C" w:rsidRDefault="0036254C">
            <w:r>
              <w:t xml:space="preserve">Grade assigned to the </w:t>
            </w:r>
            <w:r>
              <w:rPr>
                <w:b/>
              </w:rPr>
              <w:t>recommendation</w:t>
            </w:r>
            <w:r>
              <w:t xml:space="preserve"> with definition of the grade</w:t>
            </w:r>
          </w:p>
        </w:tc>
        <w:tc>
          <w:tcPr>
            <w:tcW w:w="6863" w:type="dxa"/>
            <w:tcBorders>
              <w:top w:val="single" w:sz="4" w:space="0" w:color="auto"/>
              <w:left w:val="single" w:sz="4" w:space="0" w:color="auto"/>
              <w:bottom w:val="single" w:sz="4" w:space="0" w:color="auto"/>
              <w:right w:val="single" w:sz="4" w:space="0" w:color="auto"/>
            </w:tcBorders>
            <w:hideMark/>
          </w:tcPr>
          <w:p w14:paraId="5DEE29EE" w14:textId="77777777" w:rsidR="0036254C" w:rsidRDefault="0036254C">
            <w:r>
              <w:t>Not Applicable. The guidelines cited above do not provide grades (e.g., USPSTF grades A, B, etc.).</w:t>
            </w:r>
          </w:p>
        </w:tc>
      </w:tr>
      <w:tr w:rsidR="0036254C" w:rsidRPr="0036254C" w14:paraId="50377E40" w14:textId="77777777" w:rsidTr="00E70109">
        <w:tc>
          <w:tcPr>
            <w:tcW w:w="2335" w:type="dxa"/>
            <w:tcBorders>
              <w:top w:val="single" w:sz="4" w:space="0" w:color="auto"/>
              <w:left w:val="single" w:sz="4" w:space="0" w:color="auto"/>
              <w:bottom w:val="single" w:sz="4" w:space="0" w:color="auto"/>
              <w:right w:val="single" w:sz="4" w:space="0" w:color="auto"/>
            </w:tcBorders>
            <w:hideMark/>
          </w:tcPr>
          <w:p w14:paraId="5A5CE31A" w14:textId="77777777" w:rsidR="0036254C" w:rsidRDefault="0036254C">
            <w:r>
              <w:t>Provide all other grades and definitions from the recommendation grading system</w:t>
            </w:r>
          </w:p>
        </w:tc>
        <w:tc>
          <w:tcPr>
            <w:tcW w:w="6863" w:type="dxa"/>
            <w:tcBorders>
              <w:top w:val="single" w:sz="4" w:space="0" w:color="auto"/>
              <w:left w:val="single" w:sz="4" w:space="0" w:color="auto"/>
              <w:bottom w:val="single" w:sz="4" w:space="0" w:color="auto"/>
              <w:right w:val="single" w:sz="4" w:space="0" w:color="auto"/>
            </w:tcBorders>
            <w:hideMark/>
          </w:tcPr>
          <w:p w14:paraId="38813769" w14:textId="77777777" w:rsidR="0036254C" w:rsidRDefault="0036254C">
            <w:r>
              <w:t>The ASAM practice guidelines were developed by using the RAND appropriateness method. Guideline developers reviewed existing literature and guidelines, treatment scenarios, appropriateness ratings, and other documents. An independent panel convened by ASAM oversaw development of the guidelines.</w:t>
            </w:r>
          </w:p>
        </w:tc>
      </w:tr>
      <w:tr w:rsidR="0036254C" w:rsidRPr="0036254C" w14:paraId="30F75195" w14:textId="77777777" w:rsidTr="00E70109">
        <w:tc>
          <w:tcPr>
            <w:tcW w:w="2335" w:type="dxa"/>
            <w:tcBorders>
              <w:top w:val="single" w:sz="4" w:space="0" w:color="auto"/>
              <w:left w:val="single" w:sz="4" w:space="0" w:color="auto"/>
              <w:bottom w:val="single" w:sz="4" w:space="0" w:color="auto"/>
              <w:right w:val="single" w:sz="4" w:space="0" w:color="auto"/>
            </w:tcBorders>
            <w:hideMark/>
          </w:tcPr>
          <w:p w14:paraId="7BF3458C" w14:textId="77777777" w:rsidR="0036254C" w:rsidRDefault="0036254C">
            <w:r>
              <w:t>Body of evidence:</w:t>
            </w:r>
          </w:p>
          <w:p w14:paraId="3EC00611" w14:textId="77777777" w:rsidR="0036254C" w:rsidRDefault="0036254C" w:rsidP="00E70109">
            <w:r>
              <w:t>Quantity – how many studies?</w:t>
            </w:r>
          </w:p>
          <w:p w14:paraId="67B59DE7" w14:textId="77777777" w:rsidR="0036254C" w:rsidRDefault="0036254C" w:rsidP="00E70109">
            <w:r>
              <w:t>Quality – what type of studies?</w:t>
            </w:r>
          </w:p>
        </w:tc>
        <w:tc>
          <w:tcPr>
            <w:tcW w:w="6863" w:type="dxa"/>
            <w:tcBorders>
              <w:top w:val="single" w:sz="4" w:space="0" w:color="auto"/>
              <w:left w:val="single" w:sz="4" w:space="0" w:color="auto"/>
              <w:bottom w:val="single" w:sz="4" w:space="0" w:color="auto"/>
              <w:right w:val="single" w:sz="4" w:space="0" w:color="auto"/>
            </w:tcBorders>
            <w:hideMark/>
          </w:tcPr>
          <w:p w14:paraId="3D779E0E" w14:textId="3C7BCFB4" w:rsidR="0036254C" w:rsidRDefault="0036254C">
            <w:r>
              <w:t xml:space="preserve">The number of studies referenced in support of the guidelines was </w:t>
            </w:r>
            <w:r w:rsidR="00604D7F">
              <w:t>215</w:t>
            </w:r>
            <w:r>
              <w:t>.  The quality of the evidence selected indicates that included studies were considered to be of high quality by an expert panel.</w:t>
            </w:r>
          </w:p>
        </w:tc>
      </w:tr>
      <w:tr w:rsidR="0036254C" w:rsidRPr="0036254C" w14:paraId="622B6962" w14:textId="77777777" w:rsidTr="00E70109">
        <w:tc>
          <w:tcPr>
            <w:tcW w:w="2335" w:type="dxa"/>
            <w:tcBorders>
              <w:top w:val="single" w:sz="4" w:space="0" w:color="auto"/>
              <w:left w:val="single" w:sz="4" w:space="0" w:color="auto"/>
              <w:bottom w:val="single" w:sz="4" w:space="0" w:color="auto"/>
              <w:right w:val="single" w:sz="4" w:space="0" w:color="auto"/>
            </w:tcBorders>
            <w:hideMark/>
          </w:tcPr>
          <w:p w14:paraId="1B019A72" w14:textId="218984F1" w:rsidR="0036254C" w:rsidRDefault="0036254C">
            <w:r>
              <w:t>Estimates of benefit and consistency across studies</w:t>
            </w:r>
          </w:p>
        </w:tc>
        <w:tc>
          <w:tcPr>
            <w:tcW w:w="6863" w:type="dxa"/>
            <w:tcBorders>
              <w:top w:val="single" w:sz="4" w:space="0" w:color="auto"/>
              <w:left w:val="single" w:sz="4" w:space="0" w:color="auto"/>
              <w:bottom w:val="single" w:sz="4" w:space="0" w:color="auto"/>
              <w:right w:val="single" w:sz="4" w:space="0" w:color="auto"/>
            </w:tcBorders>
          </w:tcPr>
          <w:p w14:paraId="2C9B6C5C" w14:textId="011B877D" w:rsidR="0036254C" w:rsidRDefault="0036254C">
            <w:r>
              <w:t xml:space="preserve">Buprenorphine pharmacotherapy is recommended for the treatment of opioid use disorder </w:t>
            </w:r>
            <w:r>
              <w:fldChar w:fldCharType="begin"/>
            </w:r>
            <w:r>
              <w:instrText xml:space="preserve"> ADDIN EN.CITE &lt;EndNote&gt;&lt;Cite&gt;&lt;Author&gt;American Society of Addiction Medicine&lt;/Author&gt;&lt;Year&gt;2015&lt;/Year&gt;&lt;RecNum&gt;219&lt;/RecNum&gt;&lt;DisplayText&gt;(American Society of Addiction Medicine, 2015)&lt;/DisplayText&gt;&lt;record&gt;&lt;rec-number&gt;219&lt;/rec-number&gt;&lt;foreign-keys&gt;&lt;key app="EN" db-id="5wxraezd9pev2pe5ervx2rfh5dv0ss52tf2z" timestamp="1481737023"&gt;219&lt;/key&gt;&lt;/foreign-keys&gt;&lt;ref-type name="Web Page"&gt;12&lt;/ref-type&gt;&lt;contributors&gt;&lt;authors&gt;&lt;author&gt;American Society of Addiction Medicine,&lt;/author&gt;&lt;/authors&gt;&lt;/contributors&gt;&lt;titles&gt;&lt;title&gt;National practice guideline for the use of medications in the treatment of addiction involving opioid use&lt;/title&gt;&lt;/titles&gt;&lt;volume&gt;2016&lt;/volume&gt;&lt;number&gt;December 14&lt;/number&gt;&lt;dates&gt;&lt;year&gt;2015&lt;/year&gt;&lt;/dates&gt;&lt;urls&gt;&lt;related-urls&gt;&lt;url&gt;http://www.asam.org/quality-practice/guidelines-and-consensus-documents/npg/jam-article&lt;/url&gt;&lt;/related-urls&gt;&lt;/urls&gt;&lt;/record&gt;&lt;/Cite&gt;&lt;/EndNote&gt;</w:instrText>
            </w:r>
            <w:r>
              <w:fldChar w:fldCharType="separate"/>
            </w:r>
            <w:r>
              <w:t>(American Society of Addiction Medicine, 20</w:t>
            </w:r>
            <w:r w:rsidR="00B869FE">
              <w:t>20</w:t>
            </w:r>
            <w:r>
              <w:t>)</w:t>
            </w:r>
            <w:r>
              <w:fldChar w:fldCharType="end"/>
            </w:r>
            <w:r>
              <w:t xml:space="preserve">. </w:t>
            </w:r>
            <w:r w:rsidR="00604D7F">
              <w:t xml:space="preserve">Buprenorphine relieves drug cravings without producing euphoria, and with reduced risk of dangerous and adverse effects compared with full agonist opioids. In addition to its pharmacological properties, an advantage of buprenorphine is that it can be prescribed in office-based treatment settings. The FDA approved buprenorphine in 2002, making it the first medication eligible to be prescribed by certified physicians through the Drug Addiction Treatment Act of 2000 (DATA 2000).105 Through DATA 2000, physicians may apply for waivers to prescribe certain narcotic schedule III, IV, or V medications, including buprenorphine, from their office settings. This provision of the act expands access to community-based treatment options and mitigates the need to receive treatment through more specialized, and often less available, OTPs. However, buprenorphine may also be administered in an OTP setting with </w:t>
            </w:r>
            <w:r w:rsidR="00604D7F">
              <w:lastRenderedPageBreak/>
              <w:t>similar program and administration requirements to those for methadone. Recent legislation has further expanded the types of practitioners who can prescribe buprenorphine for the treatment of opioid use disorder. The Comprehensive Addiction and Recovery Act (CARA) signed into law in July 2016 extended the authority to prescribe buprenorphine to qualifying NPs and PAs who obtain a waiver.</w:t>
            </w:r>
            <w:r w:rsidR="00E54F30">
              <w:t xml:space="preserve"> </w:t>
            </w:r>
            <w:r w:rsidR="00604D7F">
              <w:t>The SUPPORT for Patients and Community Act (Congress.gov) signed into law in October 2018 further expanded buprenorphine prescribing privileges (through October 1, 2023) to qualifying clinical nurse specialists, certified registered nurse anesthetists, and certified nurse midwives.</w:t>
            </w:r>
          </w:p>
          <w:p w14:paraId="3E97B796" w14:textId="59B3BB02" w:rsidR="0036254C" w:rsidRDefault="00604D7F">
            <w:r>
              <w:t>Methadone, a slow-acting opioid agonist, is an effective treatment for opioid withdrawal management and the treatment of opioid use disorder. Methadone is taken orally so that it reaches the brain slowly, dampening the rewarding effect that can occur with other routes of administration while preventing withdrawal symptoms. Methadone has been used since the 1960 s to treat heroin addiction and remains an effective treatment option. Many studies have demonstrated its superiority to medication-free approaches.</w:t>
            </w:r>
            <w:r w:rsidR="00E54F30">
              <w:t xml:space="preserve"> </w:t>
            </w:r>
            <w:r>
              <w:t>In the United States, Methadone is only available through approved OTPs, where it is dispensed to patients on a daily or almost daily basis in the initial stages of treatment, and in acute care settings (under limited circumstances). Federal and state laws allow take-home doses for patients who have demonstrated treatment progress and are judged to be at low risk for diversion, and for whom the therapeutic benefits of take-home doses outweigh the risks.</w:t>
            </w:r>
          </w:p>
          <w:p w14:paraId="0A49F7FD" w14:textId="77777777" w:rsidR="00604D7F" w:rsidRDefault="00604D7F"/>
          <w:p w14:paraId="5D6AB840" w14:textId="6A9E3E19" w:rsidR="0036254C" w:rsidRDefault="00604D7F">
            <w:r>
              <w:t>Extended-release injectable naltrexone and under limited circumstances, oral naltrexone, are effective treatments recommended for patients to prevent relapse to opioid use disorder, are able to give informed consent, are fully withdrawn from opioids, and have no specific contraindications for this treatment.</w:t>
            </w:r>
          </w:p>
        </w:tc>
      </w:tr>
      <w:tr w:rsidR="0036254C" w:rsidRPr="0036254C" w14:paraId="718FA870" w14:textId="77777777" w:rsidTr="00E70109">
        <w:tc>
          <w:tcPr>
            <w:tcW w:w="2335" w:type="dxa"/>
            <w:tcBorders>
              <w:top w:val="single" w:sz="4" w:space="0" w:color="auto"/>
              <w:left w:val="single" w:sz="4" w:space="0" w:color="auto"/>
              <w:bottom w:val="single" w:sz="4" w:space="0" w:color="auto"/>
              <w:right w:val="single" w:sz="4" w:space="0" w:color="auto"/>
            </w:tcBorders>
            <w:hideMark/>
          </w:tcPr>
          <w:p w14:paraId="3676B14A" w14:textId="77777777" w:rsidR="0036254C" w:rsidRDefault="0036254C">
            <w:r>
              <w:lastRenderedPageBreak/>
              <w:t>What harms were identified?</w:t>
            </w:r>
          </w:p>
        </w:tc>
        <w:tc>
          <w:tcPr>
            <w:tcW w:w="6863" w:type="dxa"/>
            <w:tcBorders>
              <w:top w:val="single" w:sz="4" w:space="0" w:color="auto"/>
              <w:left w:val="single" w:sz="4" w:space="0" w:color="auto"/>
              <w:bottom w:val="single" w:sz="4" w:space="0" w:color="auto"/>
              <w:right w:val="single" w:sz="4" w:space="0" w:color="auto"/>
            </w:tcBorders>
            <w:hideMark/>
          </w:tcPr>
          <w:p w14:paraId="027C31D0" w14:textId="77777777" w:rsidR="0036254C" w:rsidRDefault="0036254C">
            <w:r>
              <w:t xml:space="preserve">Sufficient evidence points to the safety and efficacy of buprenorphine for the treatment of OUD </w:t>
            </w:r>
            <w:r>
              <w:fldChar w:fldCharType="begin">
                <w:fldData xml:space="preserve">PEVuZE5vdGU+PENpdGU+PEF1dGhvcj5QYXJyYW48L0F1dGhvcj48WWVhcj4yMDEwPC9ZZWFyPjxS
ZWNOdW0+MTU4PC9SZWNOdW0+PERpc3BsYXlUZXh0PihQYXJyYW4gZXQgYWwuLCAyMDEwKTwvRGlz
cGxheVRleHQ+PHJlY29yZD48cmVjLW51bWJlcj4xNTg8L3JlYy1udW1iZXI+PGZvcmVpZ24ta2V5
cz48a2V5IGFwcD0iRU4iIGRiLWlkPSI1d3hyYWV6ZDlwZXYycGU1ZXJ2eDJyZmg1ZHYwc3M1MnRm
MnoiIHRpbWVzdGFtcD0iMTQ4MDQzNDQxNiI+MTU4PC9rZXk+PC9mb3JlaWduLWtleXM+PHJlZi10
eXBlIG5hbWU9IkpvdXJuYWwgQXJ0aWNsZSI+MTc8L3JlZi10eXBlPjxjb250cmlidXRvcnM+PGF1
dGhvcnM+PGF1dGhvcj5QYXJyYW4sIFQuIFYuPC9hdXRob3I+PGF1dGhvcj5BZGVsbWFuLCBDLiBB
LjwvYXV0aG9yPjxhdXRob3I+TWVya2luLCBCLjwvYXV0aG9yPjxhdXRob3I+UGFnYW5vLCBNLiBF
LjwvYXV0aG9yPjxhdXRob3I+RGVmcmFuY28sIFIuPC9hdXRob3I+PGF1dGhvcj5Jb25lc2N1LCBS
LiBBLjwvYXV0aG9yPjxhdXRob3I+TWFjZSwgQS4gRy48L2F1dGhvcj48L2F1dGhvcnM+PC9jb250
cmlidXRvcnM+PGF1dGgtYWRkcmVzcz5Sb3NhcnkgSGFsbCwgU3QuIFZpbmNlbnQgQ2hhcml0eSBI
b3NwaXRhbCwgQ2xldmVsYW5kLCBPSCA0NDExNSwgVW5pdGVkIFN0YXRlcy4gdHZwQGN3cnUuZWR1
PC9hdXRoLWFkZHJlc3M+PHRpdGxlcz48dGl0bGU+TG9uZy10ZXJtIG91dGNvbWVzIG9mIG9mZmlj
ZS1iYXNlZCBidXByZW5vcnBoaW5lL25hbG94b25lIG1haW50ZW5hbmNlIHRoZXJhcHk8L3RpdGxl
PjxzZWNvbmRhcnktdGl0bGU+RHJ1ZyBBbGNvaG9sIERlcGVuZDwvc2Vjb25kYXJ5LXRpdGxlPjwv
dGl0bGVzPjxwZXJpb2RpY2FsPjxmdWxsLXRpdGxlPkRydWcgQWxjb2hvbCBEZXBlbmQ8L2Z1bGwt
dGl0bGU+PC9wZXJpb2RpY2FsPjxwYWdlcz41Ni02MDwvcGFnZXM+PHZvbHVtZT4xMDY8L3ZvbHVt
ZT48bnVtYmVyPjE8L251bWJlcj48a2V5d29yZHM+PGtleXdvcmQ+QWR1bHQ8L2tleXdvcmQ+PGtl
eXdvcmQ+QWdlZDwva2V5d29yZD48a2V5d29yZD5CdXByZW5vcnBoaW5lLyp0aGVyYXBldXRpYyB1
c2U8L2tleXdvcmQ+PGtleXdvcmQ+Q3Jvc3MtU2VjdGlvbmFsIFN0dWRpZXM8L2tleXdvcmQ+PGtl
eXdvcmQ+RW1wbG95bWVudDwva2V5d29yZD48a2V5d29yZD5GZW1hbGU8L2tleXdvcmQ+PGtleXdv
cmQ+Rm9sbG93LVVwIFN0dWRpZXM8L2tleXdvcmQ+PGtleXdvcmQ+SHVtYW5zPC9rZXl3b3JkPjxr
ZXl3b3JkPkxvbmctVGVybSBDYXJlPC9rZXl3b3JkPjxrZXl3b3JkPk1hbGU8L2tleXdvcmQ+PGtl
eXdvcmQ+TWlkZGxlIEFnZWQ8L2tleXdvcmQ+PGtleXdvcmQ+TmFsb3hvbmUvKnRoZXJhcGV1dGlj
IHVzZTwva2V5d29yZD48a2V5d29yZD5OYXJjb3RpYyBBbnRhZ29uaXN0cy8qdGhlcmFwZXV0aWMg
dXNlPC9rZXl3b3JkPjxrZXl3b3JkPk9waW9pZC1SZWxhdGVkIERpc29yZGVycy8qcmVoYWJpbGl0
YXRpb248L2tleXdvcmQ+PGtleXdvcmQ+UGF0aWVudCBDb21wbGlhbmNlPC9rZXl3b3JkPjxrZXl3
b3JkPlJldHJvc3BlY3RpdmUgU3R1ZGllczwva2V5d29yZD48a2V5d29yZD5Tb2Npb2Vjb25vbWlj
IEZhY3RvcnM8L2tleXdvcmQ+PGtleXdvcmQ+U3Vic3RhbmNlIFdpdGhkcmF3YWwgU3luZHJvbWUv
cHJldmVudGlvbiAmYW1wOyBjb250cm9sPC9rZXl3b3JkPjxrZXl3b3JkPlRyZWF0bWVudCBPdXRj
b21lPC9rZXl3b3JkPjxrZXl3b3JkPllvdW5nIEFkdWx0PC9rZXl3b3JkPjwva2V5d29yZHM+PGRh
dGVzPjx5ZWFyPjIwMTA8L3llYXI+PHB1Yi1kYXRlcz48ZGF0ZT5KYW4gMTwvZGF0ZT48L3B1Yi1k
YXRlcz48L2RhdGVzPjxpc2JuPjE4NzktMDA0NiAoRWxlY3Ryb25pYykmI3hEOzAzNzYtODcxNiAo
TGlua2luZyk8L2lzYm4+PGFjY2Vzc2lvbi1udW0+MTk3MTcyNDk8L2FjY2Vzc2lvbi1udW0+PHVy
bHM+PHJlbGF0ZWQtdXJscz48dXJsPmh0dHA6Ly93d3cubmNiaS5ubG0ubmloLmdvdi9wdWJtZWQv
MTk3MTcyNDk8L3VybD48L3JlbGF0ZWQtdXJscz48L3VybHM+PGN1c3RvbTI+UE1DMzI2MzY5OTwv
Y3VzdG9tMj48ZWxlY3Ryb25pYy1yZXNvdXJjZS1udW0+MTAuMTAxNi9qLmRydWdhbGNkZXAuMjAw
OS4wNy4wMTM8L2VsZWN0cm9uaWMtcmVzb3VyY2UtbnVtPjwvcmVjb3JkPjwvQ2l0ZT48L0VuZE5v
dGU+AG==
</w:fldData>
              </w:fldChar>
            </w:r>
            <w:r>
              <w:instrText xml:space="preserve"> ADDIN EN.CITE </w:instrText>
            </w:r>
            <w:r>
              <w:fldChar w:fldCharType="begin">
                <w:fldData xml:space="preserve">PEVuZE5vdGU+PENpdGU+PEF1dGhvcj5QYXJyYW48L0F1dGhvcj48WWVhcj4yMDEwPC9ZZWFyPjxS
ZWNOdW0+MTU4PC9SZWNOdW0+PERpc3BsYXlUZXh0PihQYXJyYW4gZXQgYWwuLCAyMDEwKTwvRGlz
cGxheVRleHQ+PHJlY29yZD48cmVjLW51bWJlcj4xNTg8L3JlYy1udW1iZXI+PGZvcmVpZ24ta2V5
cz48a2V5IGFwcD0iRU4iIGRiLWlkPSI1d3hyYWV6ZDlwZXYycGU1ZXJ2eDJyZmg1ZHYwc3M1MnRm
MnoiIHRpbWVzdGFtcD0iMTQ4MDQzNDQxNiI+MTU4PC9rZXk+PC9mb3JlaWduLWtleXM+PHJlZi10
eXBlIG5hbWU9IkpvdXJuYWwgQXJ0aWNsZSI+MTc8L3JlZi10eXBlPjxjb250cmlidXRvcnM+PGF1
dGhvcnM+PGF1dGhvcj5QYXJyYW4sIFQuIFYuPC9hdXRob3I+PGF1dGhvcj5BZGVsbWFuLCBDLiBB
LjwvYXV0aG9yPjxhdXRob3I+TWVya2luLCBCLjwvYXV0aG9yPjxhdXRob3I+UGFnYW5vLCBNLiBF
LjwvYXV0aG9yPjxhdXRob3I+RGVmcmFuY28sIFIuPC9hdXRob3I+PGF1dGhvcj5Jb25lc2N1LCBS
LiBBLjwvYXV0aG9yPjxhdXRob3I+TWFjZSwgQS4gRy48L2F1dGhvcj48L2F1dGhvcnM+PC9jb250
cmlidXRvcnM+PGF1dGgtYWRkcmVzcz5Sb3NhcnkgSGFsbCwgU3QuIFZpbmNlbnQgQ2hhcml0eSBI
b3NwaXRhbCwgQ2xldmVsYW5kLCBPSCA0NDExNSwgVW5pdGVkIFN0YXRlcy4gdHZwQGN3cnUuZWR1
PC9hdXRoLWFkZHJlc3M+PHRpdGxlcz48dGl0bGU+TG9uZy10ZXJtIG91dGNvbWVzIG9mIG9mZmlj
ZS1iYXNlZCBidXByZW5vcnBoaW5lL25hbG94b25lIG1haW50ZW5hbmNlIHRoZXJhcHk8L3RpdGxl
PjxzZWNvbmRhcnktdGl0bGU+RHJ1ZyBBbGNvaG9sIERlcGVuZDwvc2Vjb25kYXJ5LXRpdGxlPjwv
dGl0bGVzPjxwZXJpb2RpY2FsPjxmdWxsLXRpdGxlPkRydWcgQWxjb2hvbCBEZXBlbmQ8L2Z1bGwt
dGl0bGU+PC9wZXJpb2RpY2FsPjxwYWdlcz41Ni02MDwvcGFnZXM+PHZvbHVtZT4xMDY8L3ZvbHVt
ZT48bnVtYmVyPjE8L251bWJlcj48a2V5d29yZHM+PGtleXdvcmQ+QWR1bHQ8L2tleXdvcmQ+PGtl
eXdvcmQ+QWdlZDwva2V5d29yZD48a2V5d29yZD5CdXByZW5vcnBoaW5lLyp0aGVyYXBldXRpYyB1
c2U8L2tleXdvcmQ+PGtleXdvcmQ+Q3Jvc3MtU2VjdGlvbmFsIFN0dWRpZXM8L2tleXdvcmQ+PGtl
eXdvcmQ+RW1wbG95bWVudDwva2V5d29yZD48a2V5d29yZD5GZW1hbGU8L2tleXdvcmQ+PGtleXdv
cmQ+Rm9sbG93LVVwIFN0dWRpZXM8L2tleXdvcmQ+PGtleXdvcmQ+SHVtYW5zPC9rZXl3b3JkPjxr
ZXl3b3JkPkxvbmctVGVybSBDYXJlPC9rZXl3b3JkPjxrZXl3b3JkPk1hbGU8L2tleXdvcmQ+PGtl
eXdvcmQ+TWlkZGxlIEFnZWQ8L2tleXdvcmQ+PGtleXdvcmQ+TmFsb3hvbmUvKnRoZXJhcGV1dGlj
IHVzZTwva2V5d29yZD48a2V5d29yZD5OYXJjb3RpYyBBbnRhZ29uaXN0cy8qdGhlcmFwZXV0aWMg
dXNlPC9rZXl3b3JkPjxrZXl3b3JkPk9waW9pZC1SZWxhdGVkIERpc29yZGVycy8qcmVoYWJpbGl0
YXRpb248L2tleXdvcmQ+PGtleXdvcmQ+UGF0aWVudCBDb21wbGlhbmNlPC9rZXl3b3JkPjxrZXl3
b3JkPlJldHJvc3BlY3RpdmUgU3R1ZGllczwva2V5d29yZD48a2V5d29yZD5Tb2Npb2Vjb25vbWlj
IEZhY3RvcnM8L2tleXdvcmQ+PGtleXdvcmQ+U3Vic3RhbmNlIFdpdGhkcmF3YWwgU3luZHJvbWUv
cHJldmVudGlvbiAmYW1wOyBjb250cm9sPC9rZXl3b3JkPjxrZXl3b3JkPlRyZWF0bWVudCBPdXRj
b21lPC9rZXl3b3JkPjxrZXl3b3JkPllvdW5nIEFkdWx0PC9rZXl3b3JkPjwva2V5d29yZHM+PGRh
dGVzPjx5ZWFyPjIwMTA8L3llYXI+PHB1Yi1kYXRlcz48ZGF0ZT5KYW4gMTwvZGF0ZT48L3B1Yi1k
YXRlcz48L2RhdGVzPjxpc2JuPjE4NzktMDA0NiAoRWxlY3Ryb25pYykmI3hEOzAzNzYtODcxNiAo
TGlua2luZyk8L2lzYm4+PGFjY2Vzc2lvbi1udW0+MTk3MTcyNDk8L2FjY2Vzc2lvbi1udW0+PHVy
bHM+PHJlbGF0ZWQtdXJscz48dXJsPmh0dHA6Ly93d3cubmNiaS5ubG0ubmloLmdvdi9wdWJtZWQv
MTk3MTcyNDk8L3VybD48L3JlbGF0ZWQtdXJscz48L3VybHM+PGN1c3RvbTI+UE1DMzI2MzY5OTwv
Y3VzdG9tMj48ZWxlY3Ryb25pYy1yZXNvdXJjZS1udW0+MTAuMTAxNi9qLmRydWdhbGNkZXAuMjAw
OS4wNy4wMTM8L2VsZWN0cm9uaWMtcmVzb3VyY2UtbnVtPjwvcmVjb3JkPjwvQ2l0ZT48L0VuZE5v
dGU+AG==
</w:fldData>
              </w:fldChar>
            </w:r>
            <w:r>
              <w:instrText xml:space="preserve"> ADDIN EN.CITE.DATA </w:instrText>
            </w:r>
            <w:r>
              <w:fldChar w:fldCharType="end"/>
            </w:r>
            <w:r>
              <w:fldChar w:fldCharType="separate"/>
            </w:r>
            <w:r>
              <w:t>(Parran et al., 2010)</w:t>
            </w:r>
            <w:r>
              <w:fldChar w:fldCharType="end"/>
            </w:r>
            <w:r>
              <w:t xml:space="preserve">. The risk of fatal overdose on buprenorphine is substantially lower than that associated with the use of other opioid medications such as methadone because of the ceiling effects of buprenorphine across a wide range of doses </w:t>
            </w:r>
            <w:r>
              <w:fldChar w:fldCharType="begin"/>
            </w:r>
            <w:r>
              <w:instrText xml:space="preserve"> ADDIN EN.CITE &lt;EndNote&gt;&lt;Cite&gt;&lt;Author&gt;American Society of Addiction Medicine&lt;/Author&gt;&lt;Year&gt;2015&lt;/Year&gt;&lt;RecNum&gt;219&lt;/RecNum&gt;&lt;DisplayText&gt;(American Society of Addiction Medicine, 2015)&lt;/DisplayText&gt;&lt;record&gt;&lt;rec-number&gt;219&lt;/rec-number&gt;&lt;foreign-keys&gt;&lt;key app="EN" db-id="5wxraezd9pev2pe5ervx2rfh5dv0ss52tf2z" timestamp="1481737023"&gt;219&lt;/key&gt;&lt;/foreign-keys&gt;&lt;ref-type name="Web Page"&gt;12&lt;/ref-type&gt;&lt;contributors&gt;&lt;authors&gt;&lt;author&gt;American Society of Addiction Medicine,&lt;/author&gt;&lt;/authors&gt;&lt;/contributors&gt;&lt;titles&gt;&lt;title&gt;National practice guideline for the use of medications in the treatment of addiction involving opioid use&lt;/title&gt;&lt;/titles&gt;&lt;volume&gt;2016&lt;/volume&gt;&lt;number&gt;December 14&lt;/number&gt;&lt;dates&gt;&lt;year&gt;2015&lt;/year&gt;&lt;/dates&gt;&lt;urls&gt;&lt;related-urls&gt;&lt;url&gt;http://www.asam.org/quality-practice/guidelines-and-consensus-documents/npg/jam-article&lt;/url&gt;&lt;/related-urls&gt;&lt;/urls&gt;&lt;/record&gt;&lt;/Cite&gt;&lt;/EndNote&gt;</w:instrText>
            </w:r>
            <w:r>
              <w:fldChar w:fldCharType="separate"/>
            </w:r>
            <w:r>
              <w:t>(American Society of Addiction Medicine, 2015)</w:t>
            </w:r>
            <w:r>
              <w:fldChar w:fldCharType="end"/>
            </w:r>
            <w:r>
              <w:t xml:space="preserve">. </w:t>
            </w:r>
          </w:p>
        </w:tc>
      </w:tr>
    </w:tbl>
    <w:p w14:paraId="4A865139" w14:textId="77777777" w:rsidR="0036254C" w:rsidRDefault="0036254C" w:rsidP="0036254C">
      <w:pPr>
        <w:rPr>
          <w:rFonts w:asciiTheme="minorHAnsi" w:hAnsiTheme="minorHAnsi" w:cstheme="minorBidi"/>
        </w:rPr>
      </w:pPr>
    </w:p>
    <w:tbl>
      <w:tblPr>
        <w:tblStyle w:val="TableGrid0"/>
        <w:tblW w:w="0" w:type="auto"/>
        <w:tblInd w:w="0" w:type="dxa"/>
        <w:tblLook w:val="04A0" w:firstRow="1" w:lastRow="0" w:firstColumn="1" w:lastColumn="0" w:noHBand="0" w:noVBand="1"/>
      </w:tblPr>
      <w:tblGrid>
        <w:gridCol w:w="2335"/>
        <w:gridCol w:w="6863"/>
      </w:tblGrid>
      <w:tr w:rsidR="0036254C" w14:paraId="4A7EF8DA"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1DE6D43F" w14:textId="77777777" w:rsidR="0036254C" w:rsidRDefault="0036254C">
            <w:pPr>
              <w:rPr>
                <w:b/>
              </w:rPr>
            </w:pPr>
            <w:r>
              <w:rPr>
                <w:b/>
              </w:rPr>
              <w:t>Source of Systematic Review 2:</w:t>
            </w:r>
          </w:p>
          <w:p w14:paraId="3B6934E0" w14:textId="77777777" w:rsidR="0036254C" w:rsidRDefault="0036254C" w:rsidP="0036254C">
            <w:pPr>
              <w:numPr>
                <w:ilvl w:val="0"/>
                <w:numId w:val="7"/>
              </w:numPr>
              <w:rPr>
                <w:b/>
              </w:rPr>
            </w:pPr>
            <w:r>
              <w:rPr>
                <w:b/>
              </w:rPr>
              <w:t>Title</w:t>
            </w:r>
          </w:p>
          <w:p w14:paraId="4E1E53DC" w14:textId="77777777" w:rsidR="0036254C" w:rsidRDefault="0036254C" w:rsidP="0036254C">
            <w:pPr>
              <w:numPr>
                <w:ilvl w:val="0"/>
                <w:numId w:val="7"/>
              </w:numPr>
              <w:rPr>
                <w:b/>
              </w:rPr>
            </w:pPr>
            <w:r>
              <w:rPr>
                <w:b/>
              </w:rPr>
              <w:t>Author</w:t>
            </w:r>
          </w:p>
          <w:p w14:paraId="7C83FAA1" w14:textId="77777777" w:rsidR="0036254C" w:rsidRDefault="0036254C" w:rsidP="0036254C">
            <w:pPr>
              <w:numPr>
                <w:ilvl w:val="0"/>
                <w:numId w:val="7"/>
              </w:numPr>
              <w:rPr>
                <w:b/>
              </w:rPr>
            </w:pPr>
            <w:r>
              <w:rPr>
                <w:b/>
              </w:rPr>
              <w:t>Date</w:t>
            </w:r>
          </w:p>
          <w:p w14:paraId="6E32FF47" w14:textId="77777777" w:rsidR="0036254C" w:rsidRDefault="0036254C" w:rsidP="0036254C">
            <w:pPr>
              <w:numPr>
                <w:ilvl w:val="0"/>
                <w:numId w:val="7"/>
              </w:numPr>
              <w:rPr>
                <w:b/>
              </w:rPr>
            </w:pPr>
            <w:r>
              <w:rPr>
                <w:b/>
              </w:rPr>
              <w:t>Citation, including page number</w:t>
            </w:r>
          </w:p>
          <w:p w14:paraId="35782C52" w14:textId="77777777" w:rsidR="0036254C" w:rsidRDefault="0036254C" w:rsidP="0036254C">
            <w:pPr>
              <w:numPr>
                <w:ilvl w:val="0"/>
                <w:numId w:val="7"/>
              </w:numPr>
              <w:rPr>
                <w:b/>
              </w:rPr>
            </w:pPr>
            <w:r>
              <w:rPr>
                <w:b/>
              </w:rPr>
              <w:t>URL</w:t>
            </w:r>
          </w:p>
        </w:tc>
        <w:tc>
          <w:tcPr>
            <w:tcW w:w="6863" w:type="dxa"/>
            <w:tcBorders>
              <w:top w:val="single" w:sz="4" w:space="0" w:color="auto"/>
              <w:left w:val="single" w:sz="4" w:space="0" w:color="auto"/>
              <w:bottom w:val="single" w:sz="4" w:space="0" w:color="auto"/>
              <w:right w:val="single" w:sz="4" w:space="0" w:color="auto"/>
            </w:tcBorders>
            <w:hideMark/>
          </w:tcPr>
          <w:p w14:paraId="37072CE2" w14:textId="77777777" w:rsidR="0036254C" w:rsidRDefault="0036254C" w:rsidP="002E7226">
            <w:r>
              <w:rPr>
                <w:b/>
              </w:rPr>
              <w:t>Title:</w:t>
            </w:r>
            <w:r>
              <w:t xml:space="preserve"> Medication-Assisted Treatment With Methadone: Assessing the Evidence</w:t>
            </w:r>
          </w:p>
          <w:p w14:paraId="439124AF" w14:textId="77777777" w:rsidR="002E7226" w:rsidRDefault="0036254C" w:rsidP="002E7226">
            <w:r>
              <w:rPr>
                <w:b/>
              </w:rPr>
              <w:t>Author:</w:t>
            </w:r>
            <w:r>
              <w:t xml:space="preserve"> Fullerton, C. A., Kim, M., Thomas, C. P., Lyman, D. R., </w:t>
            </w:r>
            <w:proofErr w:type="spellStart"/>
            <w:r>
              <w:t>Montejano</w:t>
            </w:r>
            <w:proofErr w:type="spellEnd"/>
            <w:r>
              <w:t>, L. B., Dougherty, R. H., Daniels, A. S., Ghose, S. S., &amp; Delphin-</w:t>
            </w:r>
            <w:proofErr w:type="spellStart"/>
            <w:r>
              <w:t>Rittmon</w:t>
            </w:r>
            <w:proofErr w:type="spellEnd"/>
            <w:r>
              <w:t>, M. E.</w:t>
            </w:r>
          </w:p>
          <w:p w14:paraId="3F17AEB9" w14:textId="4C827361" w:rsidR="0036254C" w:rsidRDefault="0036254C" w:rsidP="002E7226">
            <w:r>
              <w:rPr>
                <w:b/>
              </w:rPr>
              <w:t>Date:</w:t>
            </w:r>
            <w:r>
              <w:t xml:space="preserve"> 2014</w:t>
            </w:r>
          </w:p>
          <w:p w14:paraId="0A96BFC2" w14:textId="77777777" w:rsidR="0036254C" w:rsidRDefault="0036254C" w:rsidP="002E7226">
            <w:r>
              <w:rPr>
                <w:b/>
              </w:rPr>
              <w:t>Citation:</w:t>
            </w:r>
            <w:r>
              <w:t xml:space="preserve"> Fullerton, C. A., Kim, M., Thomas, C. P., Lyman, D. R., </w:t>
            </w:r>
            <w:proofErr w:type="spellStart"/>
            <w:r>
              <w:t>Montejano</w:t>
            </w:r>
            <w:proofErr w:type="spellEnd"/>
            <w:r>
              <w:t>, L. B., Dougherty, R. H., ... &amp; Delphin-</w:t>
            </w:r>
            <w:proofErr w:type="spellStart"/>
            <w:r>
              <w:t>Rittmon</w:t>
            </w:r>
            <w:proofErr w:type="spellEnd"/>
            <w:r>
              <w:t xml:space="preserve">, M. E. (2014). Medication-assisted treatment with methadone: assessing the evidence. </w:t>
            </w:r>
            <w:r>
              <w:rPr>
                <w:i/>
                <w:iCs/>
              </w:rPr>
              <w:t>Psychiatric Services</w:t>
            </w:r>
            <w:r>
              <w:t xml:space="preserve">, </w:t>
            </w:r>
            <w:r>
              <w:rPr>
                <w:i/>
                <w:iCs/>
              </w:rPr>
              <w:t>65</w:t>
            </w:r>
            <w:r>
              <w:t>(2), 146-157.</w:t>
            </w:r>
          </w:p>
          <w:p w14:paraId="54473311" w14:textId="77777777" w:rsidR="0036254C" w:rsidRDefault="0036254C" w:rsidP="002E7226">
            <w:pPr>
              <w:pStyle w:val="EndNoteBibliography"/>
              <w:numPr>
                <w:ilvl w:val="0"/>
                <w:numId w:val="0"/>
              </w:numPr>
              <w:rPr>
                <w:b/>
              </w:rPr>
            </w:pPr>
            <w:r>
              <w:rPr>
                <w:b/>
              </w:rPr>
              <w:lastRenderedPageBreak/>
              <w:t>URL:</w:t>
            </w:r>
            <w:r>
              <w:t xml:space="preserve"> N/A</w:t>
            </w:r>
          </w:p>
        </w:tc>
      </w:tr>
      <w:tr w:rsidR="0036254C" w:rsidRPr="0036254C" w14:paraId="56C1B3EB"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041DAFB2" w14:textId="77777777" w:rsidR="0036254C" w:rsidRDefault="0036254C">
            <w:r>
              <w:lastRenderedPageBreak/>
              <w:t>Quote the guideline or recommendation verbatim about the process, structure or intermediate outcome being measured. If not a guideline, summarize the conclusions from the SR.</w:t>
            </w:r>
          </w:p>
        </w:tc>
        <w:tc>
          <w:tcPr>
            <w:tcW w:w="6863" w:type="dxa"/>
            <w:tcBorders>
              <w:top w:val="single" w:sz="4" w:space="0" w:color="auto"/>
              <w:left w:val="single" w:sz="4" w:space="0" w:color="auto"/>
              <w:bottom w:val="single" w:sz="4" w:space="0" w:color="auto"/>
              <w:right w:val="single" w:sz="4" w:space="0" w:color="auto"/>
            </w:tcBorders>
          </w:tcPr>
          <w:p w14:paraId="01E9F3BE" w14:textId="77777777" w:rsidR="0036254C" w:rsidRDefault="0036254C">
            <w:r>
              <w:t>“Overall, there is a high level of evidence for the effectiveness of [Methadone Maintenance Treatment [MMT)] in improving treatment retention and decreasing illicit opioid use (see box on previous page). Research findings regarding the impact of MMT on many secondary outcomes, such as mortality, drug-related HIV risk behaviors, and criminal activity, are less conclusive but suggest positive trends. Finally, research has not conclusively shown positive impacts on sex-related HIV risk behaviors, nonopioid illicit drug or alcohol use, or other social consequences. Methadone maintenance doses above 60 mg confer greater efficacy in retention and suppression of illicit opioid use; however, there is limited evidence that doses above 100 mg provide additional benefits. No evidence has emerged to delineate the duration of MMT beyond an indefinite period. Although MMT generally is believed to reduce mortality risk among individuals with opioid dependence, methadone is also associated with significant adverse events, such as respiratory depression and cardiac arrhythmias, in the presence of rapid titrations or other risk factors. There is no clear evidence that structured psychotherapy provided in addition to the psychosocial support normally offered at methadone treatment centers conveys additional benefit. MMT improves pregnancy-related outcomes by reducing illicit drug use and increasing treatment retention. However, newborn infants of mothers treated with methadone during pregnancy may be born with NAS irrespective of the methadone dose used by the mothers.”</w:t>
            </w:r>
          </w:p>
          <w:p w14:paraId="07387CB8" w14:textId="77777777" w:rsidR="0036254C" w:rsidRDefault="0036254C"/>
          <w:p w14:paraId="1D155745" w14:textId="77777777" w:rsidR="0036254C" w:rsidRDefault="0036254C">
            <w:r>
              <w:t>“MMT is an important treatment option for opioid dependence. Providers, consumers, and family members should be educated about the benefits of MMT in helping individuals manage opioid use disorders and about appropriate ways to avoid the significant adverse events that can occur with methadone. Providers and consumers need to be educated regarding appropriate doses to improve efficacy and appropriate initiation to minimize adverse events. Because of MMT’s relative efficacy, efforts should be made to increase access to MMT for all individuals who struggle with opioid use disorders. Directors of state mental health and substance abuse agencies and community health organizations should look for methods to increase access to MMT, and purchasers of health care services should cover appropriately monitored MMT.”</w:t>
            </w:r>
          </w:p>
        </w:tc>
      </w:tr>
      <w:tr w:rsidR="0036254C" w:rsidRPr="0036254C" w14:paraId="79CDF388"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6020225C" w14:textId="77777777" w:rsidR="0036254C" w:rsidRDefault="0036254C">
            <w:r>
              <w:t xml:space="preserve">Grade assigned to the </w:t>
            </w:r>
            <w:r>
              <w:rPr>
                <w:b/>
              </w:rPr>
              <w:t>evidence</w:t>
            </w:r>
            <w:r>
              <w:t xml:space="preserve"> associated with the recommendation with the definition of the grade</w:t>
            </w:r>
          </w:p>
        </w:tc>
        <w:tc>
          <w:tcPr>
            <w:tcW w:w="6863" w:type="dxa"/>
            <w:tcBorders>
              <w:top w:val="single" w:sz="4" w:space="0" w:color="auto"/>
              <w:left w:val="single" w:sz="4" w:space="0" w:color="auto"/>
              <w:bottom w:val="single" w:sz="4" w:space="0" w:color="auto"/>
              <w:right w:val="single" w:sz="4" w:space="0" w:color="auto"/>
            </w:tcBorders>
          </w:tcPr>
          <w:p w14:paraId="4BD31FCD" w14:textId="77777777" w:rsidR="0036254C" w:rsidRDefault="0036254C">
            <w:r>
              <w:t>“Because of the large number of trials included as individual studies or as part of review articles, the overall evidence rating for MMT is high. Several meta-analyses, reviews, and RCTs representing more than three independent RCTs have reported on the primary outcomes of MMT, which are retention in treatment and reduction of illicit opioid use. In addition, meta-analyses, reviews, RCTs, and quasi-experimental studies representing more than three RCTs or two RCTs and two quasi-experimental studies have addressed secondary outcomes such as other illicit drug use, HIV risk behaviors, criminal behaviors, heroin craving, and mortality.”</w:t>
            </w:r>
          </w:p>
          <w:p w14:paraId="7C418D12" w14:textId="77777777" w:rsidR="0036254C" w:rsidRDefault="0036254C">
            <w:r>
              <w:lastRenderedPageBreak/>
              <w:t xml:space="preserve">“Evidence for the effectiveness of methadone maintenance treatment: high. Evidence clearly shows that MMT has a positive impact </w:t>
            </w:r>
            <w:proofErr w:type="gramStart"/>
            <w:r>
              <w:t>on:</w:t>
            </w:r>
            <w:proofErr w:type="gramEnd"/>
            <w:r>
              <w:t xml:space="preserve"> retention in treatment, illicit opioid use. Evidence is less clear but suggestive that MMT has a positive impact </w:t>
            </w:r>
            <w:proofErr w:type="gramStart"/>
            <w:r>
              <w:t>on:</w:t>
            </w:r>
            <w:proofErr w:type="gramEnd"/>
            <w:r>
              <w:t xml:space="preserve"> mortality, illicit drug use (nonopioid), drug-related HIV risk behaviors, criminal activity, evidence suggests that MMT has little impact on: sex-related HIV risk behaviors.”</w:t>
            </w:r>
          </w:p>
        </w:tc>
      </w:tr>
      <w:tr w:rsidR="0036254C" w:rsidRPr="0036254C" w14:paraId="35017BA3"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6D049C51" w14:textId="77777777" w:rsidR="0036254C" w:rsidRDefault="0036254C">
            <w:r>
              <w:lastRenderedPageBreak/>
              <w:t>Provide all other grades and definitions from the evidence grading system</w:t>
            </w:r>
          </w:p>
        </w:tc>
        <w:tc>
          <w:tcPr>
            <w:tcW w:w="6863" w:type="dxa"/>
            <w:tcBorders>
              <w:top w:val="single" w:sz="4" w:space="0" w:color="auto"/>
              <w:left w:val="single" w:sz="4" w:space="0" w:color="auto"/>
              <w:bottom w:val="single" w:sz="4" w:space="0" w:color="auto"/>
              <w:right w:val="single" w:sz="4" w:space="0" w:color="auto"/>
            </w:tcBorders>
          </w:tcPr>
          <w:p w14:paraId="64EDCFA0" w14:textId="77777777" w:rsidR="0036254C" w:rsidRDefault="0036254C">
            <w:r>
              <w:t>“Three levels of evidence (high, moderate, and low) were used to indicate the overall research quality of the collection of studies. Ratings were based on predefined benchmarks that considered the number of studies and their methodological quality. If ratings were dissimilar, a consensus opinion was reached.”</w:t>
            </w:r>
          </w:p>
          <w:p w14:paraId="1243253D" w14:textId="77777777" w:rsidR="0036254C" w:rsidRDefault="0036254C"/>
          <w:p w14:paraId="34F84F28" w14:textId="77777777" w:rsidR="0036254C" w:rsidRDefault="0036254C">
            <w:r>
              <w:t xml:space="preserve">“High ratings indicate confidence in the reported outcomes and are based on three or more RCTs with adequate designs or two RCTs plus two </w:t>
            </w:r>
            <w:proofErr w:type="spellStart"/>
            <w:r>
              <w:t>quasiexperimental</w:t>
            </w:r>
            <w:proofErr w:type="spellEnd"/>
            <w:r>
              <w:t xml:space="preserve"> studies with adequate designs. Moderate ratings indicate that there is some adequate research to judge the service, although it is possible that future research could influence reported results. Moderate ratings are based on the following three options: two or more </w:t>
            </w:r>
            <w:proofErr w:type="spellStart"/>
            <w:r>
              <w:t>quasiexperimental</w:t>
            </w:r>
            <w:proofErr w:type="spellEnd"/>
            <w:r>
              <w:t xml:space="preserve"> studies with adequate design; one quasi-experimental study plus one RCT with adequate design; or at least two RCTs with some methodological weaknesses or at least three quasi-experimental studies with some methodological weaknesses. Low ratings indicate that research for this service is not adequate to draw evidence based conclusions. Low ratings indicate that studies have nonexperimental designs, there are no RCTs, or there is no more than one adequately designed quasi-experimental study.”</w:t>
            </w:r>
          </w:p>
        </w:tc>
      </w:tr>
      <w:tr w:rsidR="0036254C" w14:paraId="32CA61E0"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14F0E858" w14:textId="77777777" w:rsidR="0036254C" w:rsidRDefault="0036254C">
            <w:r>
              <w:t xml:space="preserve">Grade assigned to the </w:t>
            </w:r>
            <w:r>
              <w:rPr>
                <w:b/>
              </w:rPr>
              <w:t>recommendation</w:t>
            </w:r>
            <w:r>
              <w:t xml:space="preserve"> with definition of the grade</w:t>
            </w:r>
          </w:p>
        </w:tc>
        <w:tc>
          <w:tcPr>
            <w:tcW w:w="6863" w:type="dxa"/>
            <w:tcBorders>
              <w:top w:val="single" w:sz="4" w:space="0" w:color="auto"/>
              <w:left w:val="single" w:sz="4" w:space="0" w:color="auto"/>
              <w:bottom w:val="single" w:sz="4" w:space="0" w:color="auto"/>
              <w:right w:val="single" w:sz="4" w:space="0" w:color="auto"/>
            </w:tcBorders>
            <w:hideMark/>
          </w:tcPr>
          <w:p w14:paraId="790E406C" w14:textId="2227DFD2" w:rsidR="0036254C" w:rsidRDefault="00543352">
            <w:r>
              <w:t>N/A</w:t>
            </w:r>
          </w:p>
        </w:tc>
      </w:tr>
      <w:tr w:rsidR="0036254C" w14:paraId="1C1907DF"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1919A4EB" w14:textId="77777777" w:rsidR="0036254C" w:rsidRDefault="0036254C">
            <w:r>
              <w:t>Provide all other grades and definitions from the recommendation grading system</w:t>
            </w:r>
          </w:p>
        </w:tc>
        <w:tc>
          <w:tcPr>
            <w:tcW w:w="6863" w:type="dxa"/>
            <w:tcBorders>
              <w:top w:val="single" w:sz="4" w:space="0" w:color="auto"/>
              <w:left w:val="single" w:sz="4" w:space="0" w:color="auto"/>
              <w:bottom w:val="single" w:sz="4" w:space="0" w:color="auto"/>
              <w:right w:val="single" w:sz="4" w:space="0" w:color="auto"/>
            </w:tcBorders>
            <w:hideMark/>
          </w:tcPr>
          <w:p w14:paraId="07D89D59" w14:textId="77777777" w:rsidR="0036254C" w:rsidRDefault="0036254C">
            <w:r>
              <w:t>N/A</w:t>
            </w:r>
          </w:p>
        </w:tc>
      </w:tr>
      <w:tr w:rsidR="0036254C" w:rsidRPr="0036254C" w14:paraId="245BFA9D"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074FB3C2" w14:textId="77777777" w:rsidR="0036254C" w:rsidRDefault="0036254C">
            <w:r>
              <w:t>Body of evidence:</w:t>
            </w:r>
          </w:p>
          <w:p w14:paraId="17AFC05E" w14:textId="77777777" w:rsidR="0036254C" w:rsidRDefault="0036254C" w:rsidP="0036254C">
            <w:pPr>
              <w:numPr>
                <w:ilvl w:val="0"/>
                <w:numId w:val="8"/>
              </w:numPr>
            </w:pPr>
            <w:r>
              <w:t>Quantity – how many studies?</w:t>
            </w:r>
          </w:p>
          <w:p w14:paraId="4C73940A" w14:textId="77777777" w:rsidR="0036254C" w:rsidRDefault="0036254C" w:rsidP="0036254C">
            <w:pPr>
              <w:numPr>
                <w:ilvl w:val="0"/>
                <w:numId w:val="8"/>
              </w:numPr>
            </w:pPr>
            <w:r>
              <w:t>Quality – what type of studies?</w:t>
            </w:r>
          </w:p>
        </w:tc>
        <w:tc>
          <w:tcPr>
            <w:tcW w:w="6863" w:type="dxa"/>
            <w:tcBorders>
              <w:top w:val="single" w:sz="4" w:space="0" w:color="auto"/>
              <w:left w:val="single" w:sz="4" w:space="0" w:color="auto"/>
              <w:bottom w:val="single" w:sz="4" w:space="0" w:color="auto"/>
              <w:right w:val="single" w:sz="4" w:space="0" w:color="auto"/>
            </w:tcBorders>
          </w:tcPr>
          <w:p w14:paraId="514377E9" w14:textId="687CE4BC" w:rsidR="0036254C" w:rsidRDefault="0036254C" w:rsidP="00543352">
            <w:r>
              <w:t>“Authors reviewed meta-analyses, systematic reviews, and individual studies of MMT from 1995 through 2012. Databases searched were PubMed, PsycINFO, Applied Social Sciences Index and Abstracts, Sociological Abstracts, Social Services Abstracts, and Published International Literature on Traumatic Stress.</w:t>
            </w:r>
            <w:r w:rsidR="00543352">
              <w:t xml:space="preserve"> </w:t>
            </w:r>
            <w:r>
              <w:t>The literature search found 7 RCTs and two retrospective, quasi-experimental studies. 15 reviews or meta-analyses that examined multiple studies [were also included].</w:t>
            </w:r>
            <w:r w:rsidR="00543352">
              <w:t xml:space="preserve"> </w:t>
            </w:r>
          </w:p>
        </w:tc>
      </w:tr>
      <w:tr w:rsidR="0036254C" w:rsidRPr="0036254C" w14:paraId="20E8323B"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77AA321F" w14:textId="77777777" w:rsidR="0036254C" w:rsidRDefault="0036254C">
            <w:r>
              <w:t xml:space="preserve">Estimates of benefit and consistency across studies </w:t>
            </w:r>
          </w:p>
        </w:tc>
        <w:tc>
          <w:tcPr>
            <w:tcW w:w="6863" w:type="dxa"/>
            <w:tcBorders>
              <w:top w:val="single" w:sz="4" w:space="0" w:color="auto"/>
              <w:left w:val="single" w:sz="4" w:space="0" w:color="auto"/>
              <w:bottom w:val="single" w:sz="4" w:space="0" w:color="auto"/>
              <w:right w:val="single" w:sz="4" w:space="0" w:color="auto"/>
            </w:tcBorders>
          </w:tcPr>
          <w:p w14:paraId="5751CE57" w14:textId="77777777" w:rsidR="0036254C" w:rsidRDefault="0036254C">
            <w:r>
              <w:t>“Research supports MMT’s positive impact on treatment retention and suppression of heroin use, particularly at higher methadone doses. Findings regarding secondary outcomes are mixed, although there is general support that MMT has a positive impact on criminal activity associated with heroin use, as well as on mortality and risk behaviors for HIV and hepatitis C infection.”</w:t>
            </w:r>
          </w:p>
          <w:p w14:paraId="7865BBD7" w14:textId="77777777" w:rsidR="0036254C" w:rsidRDefault="0036254C"/>
          <w:p w14:paraId="71E417F2" w14:textId="77777777" w:rsidR="0036254C" w:rsidRDefault="0036254C">
            <w:r>
              <w:t>“In general, these and later studies found that when MMT is provided at adequate dose levels, it is more effective than no medication treatment in retaining patients in treatment and reducing illicit opioid use.”</w:t>
            </w:r>
          </w:p>
          <w:p w14:paraId="56778E08" w14:textId="77777777" w:rsidR="0036254C" w:rsidRDefault="0036254C"/>
          <w:p w14:paraId="4390B122" w14:textId="77777777" w:rsidR="0036254C" w:rsidRDefault="0036254C">
            <w:r>
              <w:t>“MMT during pregnancy was associated with decreased illicit opioid use, increased rates of prenatal retention in treatment, decreased pregnancy complications, and generally improved fetal outcomes.”</w:t>
            </w:r>
          </w:p>
        </w:tc>
      </w:tr>
      <w:tr w:rsidR="0036254C" w:rsidRPr="0036254C" w14:paraId="70659FBA"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06DBC2DA" w14:textId="77777777" w:rsidR="0036254C" w:rsidRDefault="0036254C">
            <w:r>
              <w:lastRenderedPageBreak/>
              <w:t>What harms were identified?</w:t>
            </w:r>
          </w:p>
        </w:tc>
        <w:tc>
          <w:tcPr>
            <w:tcW w:w="6863" w:type="dxa"/>
            <w:tcBorders>
              <w:top w:val="single" w:sz="4" w:space="0" w:color="auto"/>
              <w:left w:val="single" w:sz="4" w:space="0" w:color="auto"/>
              <w:bottom w:val="single" w:sz="4" w:space="0" w:color="auto"/>
              <w:right w:val="single" w:sz="4" w:space="0" w:color="auto"/>
            </w:tcBorders>
          </w:tcPr>
          <w:p w14:paraId="37CEC843" w14:textId="77777777" w:rsidR="0036254C" w:rsidRDefault="0036254C">
            <w:r>
              <w:t>“MMT has been found to put newborn infants at risk for neonatal abstinence syndrome (NAS)—a condition characterized by dysfunction of the autonomic nervous system, gastrointestinal tract, and respiratory system and by irritability of the central nervous system. NAS often requires detoxification treatment in the hospital with a morphine taper. Reported rates of withdrawal symptoms among neonates born to opioid-addicted mothers who continued to use opiates within a week of giving birth range from 55% to 94%, and rates of NAS that develop among neonates as a result of treating the mother with MMT during pregnancy fall into this range. Recent studies on the long-term impact of NAS on development are scant. Older studies indicated no differences in cognitive performance among four-year old children of mothers receiving MMT and children of mothers with similar demographic characteristics in a control group. However, scores of children in both groups were lower than population norms.”</w:t>
            </w:r>
          </w:p>
          <w:p w14:paraId="12E58C7B" w14:textId="77777777" w:rsidR="0036254C" w:rsidRDefault="0036254C"/>
          <w:p w14:paraId="0B4B11DE" w14:textId="77777777" w:rsidR="0036254C" w:rsidRDefault="0036254C">
            <w:r>
              <w:t xml:space="preserve">“Between 1999 and 2004, deaths attributed to methadone increased by 390%. Evidence suggests that this change was largely related to the increased use of methadone for pain analgesia rather than MMT. Nonetheless, the sharp rise of methadone-related deaths highlights safety issues—in particular, the risks of respiratory depression and cardiac QT interval prolongation. The QT interval is a measure of time between the start of the Q wave and the end of the T wave in the heart’s electrical cycle that is measured by an electrocardiogram. Prolongation of the QT interval can lead to serious heart arrhythmias such as </w:t>
            </w:r>
            <w:proofErr w:type="spellStart"/>
            <w:r>
              <w:t>Torsades</w:t>
            </w:r>
            <w:proofErr w:type="spellEnd"/>
            <w:r>
              <w:t xml:space="preserve"> de Pointes (</w:t>
            </w:r>
            <w:proofErr w:type="spellStart"/>
            <w:r>
              <w:t>TdP</w:t>
            </w:r>
            <w:proofErr w:type="spellEnd"/>
            <w:r>
              <w:t>) and sudden death.”</w:t>
            </w:r>
          </w:p>
          <w:p w14:paraId="59F93A8D" w14:textId="77777777" w:rsidR="0036254C" w:rsidRDefault="0036254C"/>
          <w:p w14:paraId="4948294F" w14:textId="77777777" w:rsidR="0036254C" w:rsidRDefault="0036254C">
            <w:r>
              <w:t xml:space="preserve">“As a result of this rise in mortality, the U.S. Food and Drug Administration issued a physician safety alert in 2006 highlighting fatalities and cardiac arrhythmias associated with methadone. Respiratory depression is most often a consequence of methadone accumulation and use of concurrent illicit drugs or medications that also suppress the central nervous system. Reviews suggest that initiation into methadone treatment is a particularly vulnerable time in both methadone maintenance and pain therapy populations, particularly if the dose is increased rapidly. The most common drugs associated with respiratory suppression are benzodiazepines and alcohol. Deaths from respiratory depression may also be caused by inappropriate dosing by methadone recipients and by diversion of methadone, which occurs when individuals who have a </w:t>
            </w:r>
            <w:r>
              <w:lastRenderedPageBreak/>
              <w:t>prescription for methadone sell or give their methadone to others rather than using it themselves.”</w:t>
            </w:r>
          </w:p>
        </w:tc>
      </w:tr>
      <w:tr w:rsidR="0036254C" w:rsidRPr="0036254C" w14:paraId="5E4B529D"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05AD8F38" w14:textId="77777777" w:rsidR="0036254C" w:rsidRDefault="0036254C">
            <w:r>
              <w:lastRenderedPageBreak/>
              <w:t>Identify any new studies conducted since the SR. Do the new studies change the conclusions from the SR?</w:t>
            </w:r>
          </w:p>
        </w:tc>
        <w:tc>
          <w:tcPr>
            <w:tcW w:w="6863" w:type="dxa"/>
            <w:tcBorders>
              <w:top w:val="single" w:sz="4" w:space="0" w:color="auto"/>
              <w:left w:val="single" w:sz="4" w:space="0" w:color="auto"/>
              <w:bottom w:val="single" w:sz="4" w:space="0" w:color="auto"/>
              <w:right w:val="single" w:sz="4" w:space="0" w:color="auto"/>
            </w:tcBorders>
            <w:hideMark/>
          </w:tcPr>
          <w:p w14:paraId="6E5C1981" w14:textId="77777777" w:rsidR="0036254C" w:rsidRDefault="0036254C">
            <w:r>
              <w:t>See systematic review 1 which supports these recommendations.</w:t>
            </w:r>
          </w:p>
        </w:tc>
      </w:tr>
    </w:tbl>
    <w:p w14:paraId="0AAD287B" w14:textId="77777777" w:rsidR="0036254C" w:rsidRDefault="0036254C" w:rsidP="0036254C">
      <w:pPr>
        <w:rPr>
          <w:rFonts w:asciiTheme="minorHAnsi" w:hAnsiTheme="minorHAnsi" w:cstheme="minorBidi"/>
        </w:rPr>
      </w:pPr>
    </w:p>
    <w:tbl>
      <w:tblPr>
        <w:tblStyle w:val="TableGrid0"/>
        <w:tblW w:w="0" w:type="auto"/>
        <w:tblInd w:w="0" w:type="dxa"/>
        <w:tblLook w:val="04A0" w:firstRow="1" w:lastRow="0" w:firstColumn="1" w:lastColumn="0" w:noHBand="0" w:noVBand="1"/>
      </w:tblPr>
      <w:tblGrid>
        <w:gridCol w:w="2335"/>
        <w:gridCol w:w="6863"/>
      </w:tblGrid>
      <w:tr w:rsidR="0036254C" w14:paraId="6B5D592E"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2FF6A930" w14:textId="77777777" w:rsidR="0036254C" w:rsidRDefault="0036254C">
            <w:pPr>
              <w:rPr>
                <w:b/>
              </w:rPr>
            </w:pPr>
            <w:bookmarkStart w:id="3" w:name="_Hlk40096722"/>
            <w:r>
              <w:rPr>
                <w:b/>
              </w:rPr>
              <w:t>Source of Systematic Review 3:</w:t>
            </w:r>
          </w:p>
          <w:p w14:paraId="24C55A40" w14:textId="77777777" w:rsidR="0036254C" w:rsidRDefault="0036254C" w:rsidP="0036254C">
            <w:pPr>
              <w:numPr>
                <w:ilvl w:val="0"/>
                <w:numId w:val="7"/>
              </w:numPr>
              <w:rPr>
                <w:b/>
              </w:rPr>
            </w:pPr>
            <w:r>
              <w:rPr>
                <w:b/>
              </w:rPr>
              <w:t>Title</w:t>
            </w:r>
          </w:p>
          <w:p w14:paraId="42240B7D" w14:textId="77777777" w:rsidR="0036254C" w:rsidRDefault="0036254C" w:rsidP="0036254C">
            <w:pPr>
              <w:numPr>
                <w:ilvl w:val="0"/>
                <w:numId w:val="7"/>
              </w:numPr>
              <w:rPr>
                <w:b/>
              </w:rPr>
            </w:pPr>
            <w:r>
              <w:rPr>
                <w:b/>
              </w:rPr>
              <w:t>Author</w:t>
            </w:r>
          </w:p>
          <w:p w14:paraId="7BD983C3" w14:textId="77777777" w:rsidR="0036254C" w:rsidRDefault="0036254C" w:rsidP="0036254C">
            <w:pPr>
              <w:numPr>
                <w:ilvl w:val="0"/>
                <w:numId w:val="7"/>
              </w:numPr>
              <w:rPr>
                <w:b/>
              </w:rPr>
            </w:pPr>
            <w:r>
              <w:rPr>
                <w:b/>
              </w:rPr>
              <w:t>Date</w:t>
            </w:r>
          </w:p>
          <w:p w14:paraId="62A0C95F" w14:textId="77777777" w:rsidR="0036254C" w:rsidRDefault="0036254C" w:rsidP="0036254C">
            <w:pPr>
              <w:numPr>
                <w:ilvl w:val="0"/>
                <w:numId w:val="7"/>
              </w:numPr>
              <w:rPr>
                <w:b/>
              </w:rPr>
            </w:pPr>
            <w:r>
              <w:rPr>
                <w:b/>
              </w:rPr>
              <w:t>Citation, including page number</w:t>
            </w:r>
          </w:p>
          <w:p w14:paraId="4D5A3354" w14:textId="77777777" w:rsidR="0036254C" w:rsidRDefault="0036254C" w:rsidP="0036254C">
            <w:pPr>
              <w:numPr>
                <w:ilvl w:val="0"/>
                <w:numId w:val="7"/>
              </w:numPr>
              <w:rPr>
                <w:b/>
              </w:rPr>
            </w:pPr>
            <w:r>
              <w:rPr>
                <w:b/>
              </w:rPr>
              <w:t>URL</w:t>
            </w:r>
          </w:p>
        </w:tc>
        <w:tc>
          <w:tcPr>
            <w:tcW w:w="6863" w:type="dxa"/>
            <w:tcBorders>
              <w:top w:val="single" w:sz="4" w:space="0" w:color="auto"/>
              <w:left w:val="single" w:sz="4" w:space="0" w:color="auto"/>
              <w:bottom w:val="single" w:sz="4" w:space="0" w:color="auto"/>
              <w:right w:val="single" w:sz="4" w:space="0" w:color="auto"/>
            </w:tcBorders>
            <w:hideMark/>
          </w:tcPr>
          <w:p w14:paraId="19EFD58E" w14:textId="77777777" w:rsidR="0036254C" w:rsidRDefault="0036254C" w:rsidP="00543352">
            <w:r>
              <w:rPr>
                <w:b/>
              </w:rPr>
              <w:t>Title:</w:t>
            </w:r>
            <w:r>
              <w:t xml:space="preserve"> Medication-Assisted Treatment With Buprenorphine: Assessing the Evidence</w:t>
            </w:r>
          </w:p>
          <w:p w14:paraId="20E0553F" w14:textId="77777777" w:rsidR="0036254C" w:rsidRDefault="0036254C" w:rsidP="00543352">
            <w:r>
              <w:rPr>
                <w:b/>
              </w:rPr>
              <w:t>Author:</w:t>
            </w:r>
            <w:r>
              <w:t xml:space="preserve"> Thomas, C. P., Fullerton, C. A., Kim, M., </w:t>
            </w:r>
            <w:proofErr w:type="spellStart"/>
            <w:r>
              <w:t>Montejano</w:t>
            </w:r>
            <w:proofErr w:type="spellEnd"/>
            <w:r>
              <w:t>, L., Lyman, D. R., Dougherty, R. H., Daniels, A., S., Ghose, S. S., Delphin-</w:t>
            </w:r>
            <w:proofErr w:type="spellStart"/>
            <w:r>
              <w:t>Rittmon</w:t>
            </w:r>
            <w:proofErr w:type="spellEnd"/>
            <w:r>
              <w:t>, M. E.</w:t>
            </w:r>
          </w:p>
          <w:p w14:paraId="59330F40" w14:textId="77777777" w:rsidR="0036254C" w:rsidRDefault="0036254C" w:rsidP="00543352">
            <w:r>
              <w:rPr>
                <w:b/>
              </w:rPr>
              <w:t>Date:</w:t>
            </w:r>
            <w:r>
              <w:t xml:space="preserve"> 2014</w:t>
            </w:r>
          </w:p>
          <w:p w14:paraId="16DD0164" w14:textId="77777777" w:rsidR="0036254C" w:rsidRDefault="0036254C" w:rsidP="00543352">
            <w:r>
              <w:rPr>
                <w:b/>
              </w:rPr>
              <w:t>Citation:</w:t>
            </w:r>
            <w:r>
              <w:t xml:space="preserve"> Thomas, C. P., Fullerton, C. A., Kim, M., </w:t>
            </w:r>
            <w:proofErr w:type="spellStart"/>
            <w:r>
              <w:t>Montejano</w:t>
            </w:r>
            <w:proofErr w:type="spellEnd"/>
            <w:r>
              <w:t>, L., Lyman, D. R., Dougherty, R. H., ... &amp; Delphin-</w:t>
            </w:r>
            <w:proofErr w:type="spellStart"/>
            <w:r>
              <w:t>Rittmon</w:t>
            </w:r>
            <w:proofErr w:type="spellEnd"/>
            <w:r>
              <w:t xml:space="preserve">, M. E. (2014). Medication-assisted treatment with buprenorphine: assessing the evidence. </w:t>
            </w:r>
            <w:r>
              <w:rPr>
                <w:i/>
                <w:iCs/>
              </w:rPr>
              <w:t>Psychiatric Services</w:t>
            </w:r>
            <w:r>
              <w:t xml:space="preserve">, </w:t>
            </w:r>
            <w:r>
              <w:rPr>
                <w:i/>
                <w:iCs/>
              </w:rPr>
              <w:t>65</w:t>
            </w:r>
            <w:r>
              <w:t>(2), 158-170.</w:t>
            </w:r>
          </w:p>
          <w:p w14:paraId="378B0576" w14:textId="77777777" w:rsidR="0036254C" w:rsidRDefault="0036254C" w:rsidP="00543352">
            <w:pPr>
              <w:pStyle w:val="EndNoteBibliography"/>
              <w:numPr>
                <w:ilvl w:val="0"/>
                <w:numId w:val="0"/>
              </w:numPr>
              <w:rPr>
                <w:b/>
              </w:rPr>
            </w:pPr>
            <w:r>
              <w:rPr>
                <w:b/>
              </w:rPr>
              <w:t>URL:</w:t>
            </w:r>
            <w:r>
              <w:t xml:space="preserve"> N/A</w:t>
            </w:r>
          </w:p>
        </w:tc>
      </w:tr>
      <w:tr w:rsidR="0036254C" w:rsidRPr="0036254C" w14:paraId="3575DED2"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77332754" w14:textId="77777777" w:rsidR="0036254C" w:rsidRDefault="0036254C">
            <w:r>
              <w:t>Quote the guideline or recommendation verbatim about the process, structure or intermediate outcome being measured. If not a guideline, summarize the conclusions from the SR.</w:t>
            </w:r>
          </w:p>
        </w:tc>
        <w:tc>
          <w:tcPr>
            <w:tcW w:w="6863" w:type="dxa"/>
            <w:tcBorders>
              <w:top w:val="single" w:sz="4" w:space="0" w:color="auto"/>
              <w:left w:val="single" w:sz="4" w:space="0" w:color="auto"/>
              <w:bottom w:val="single" w:sz="4" w:space="0" w:color="auto"/>
              <w:right w:val="single" w:sz="4" w:space="0" w:color="auto"/>
            </w:tcBorders>
          </w:tcPr>
          <w:p w14:paraId="0078B7D5" w14:textId="77777777" w:rsidR="0036254C" w:rsidRDefault="0036254C">
            <w:r>
              <w:t>“[Buprenorphine Maintenance Treatment] (BMT)” is associated with improved outcomes compared with placebo for individuals and pregnant women with opioid use disorders.”</w:t>
            </w:r>
          </w:p>
          <w:p w14:paraId="323112AA" w14:textId="77777777" w:rsidR="0036254C" w:rsidRDefault="0036254C"/>
          <w:p w14:paraId="1FA5C4A6" w14:textId="77777777" w:rsidR="0036254C" w:rsidRDefault="0036254C">
            <w:r>
              <w:t>“Policy makers have reason to promote access to BMT for patients in substance use treatment who may wish to choose BMT as a potentially safer alternative to [Methadone Maintenance Treatment (MMT)]. Administrators of substance use treatment programs, community health centers, and managed care organizations and other purchasers of health care services, such as Medicare, Medicaid, and commercial insurance carriers, should give careful consideration to BMT as a covered benefit.”</w:t>
            </w:r>
          </w:p>
        </w:tc>
      </w:tr>
      <w:tr w:rsidR="0036254C" w:rsidRPr="0036254C" w14:paraId="46615D37"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05F1FD90" w14:textId="77777777" w:rsidR="0036254C" w:rsidRDefault="0036254C">
            <w:r>
              <w:t xml:space="preserve">Grade assigned to the </w:t>
            </w:r>
            <w:r>
              <w:rPr>
                <w:b/>
              </w:rPr>
              <w:t>evidence</w:t>
            </w:r>
            <w:r>
              <w:t xml:space="preserve"> associated with the recommendation with the definition of the grade</w:t>
            </w:r>
          </w:p>
        </w:tc>
        <w:tc>
          <w:tcPr>
            <w:tcW w:w="6863" w:type="dxa"/>
            <w:tcBorders>
              <w:top w:val="single" w:sz="4" w:space="0" w:color="auto"/>
              <w:left w:val="single" w:sz="4" w:space="0" w:color="auto"/>
              <w:bottom w:val="single" w:sz="4" w:space="0" w:color="auto"/>
              <w:right w:val="single" w:sz="4" w:space="0" w:color="auto"/>
            </w:tcBorders>
          </w:tcPr>
          <w:p w14:paraId="2F99423F" w14:textId="77777777" w:rsidR="0036254C" w:rsidRDefault="0036254C">
            <w:r>
              <w:t>The research designs of the identified studies were examined. Three levels of evidence (high, moderate, and low) were used to indicate the overall research quality of the collection of studies. Ratings were based on predefined benchmarks that considered the number of studies and their methodological quality. If ratings were dissimilar (occurring for 13% of the studies rated), a consensus opinion was reached.”</w:t>
            </w:r>
          </w:p>
          <w:p w14:paraId="258F48EC" w14:textId="77777777" w:rsidR="0036254C" w:rsidRDefault="0036254C"/>
          <w:p w14:paraId="04ED5E01" w14:textId="77777777" w:rsidR="0036254C" w:rsidRDefault="0036254C">
            <w:r>
              <w:t xml:space="preserve">“In general, high ratings indicate confidence in the reported outcomes and are based on three or more RCTs with adequate designs or two RCTs plus two quasi-experimental studies with adequate designs. Moderate ratings indicate that there is some adequate research to judge the service, although it is possible that future research could influence reported results. Moderate ratings are based on the following three options: two or more </w:t>
            </w:r>
            <w:proofErr w:type="spellStart"/>
            <w:r>
              <w:t>quasiexperimental</w:t>
            </w:r>
            <w:proofErr w:type="spellEnd"/>
            <w:r>
              <w:t xml:space="preserve"> studies with adequate design; one quasi-experimental study plus one RCT with adequate design; or at least two RCTs with some methodological weaknesses or at least three quasi-experimental studies with some methodological weaknesses. Low ratings </w:t>
            </w:r>
            <w:r>
              <w:lastRenderedPageBreak/>
              <w:t>indicate that research for this service is not adequate to draw evidence based conclusions. Low ratings indicate that studies have nonexperimental designs, there are no RCTs, or there is no more than one adequately designed quasi-experimental study.”</w:t>
            </w:r>
          </w:p>
          <w:p w14:paraId="213BFECB" w14:textId="77777777" w:rsidR="0036254C" w:rsidRDefault="0036254C"/>
          <w:p w14:paraId="15AA6E97" w14:textId="77777777" w:rsidR="0036254C" w:rsidRDefault="0036254C">
            <w:r>
              <w:t xml:space="preserve">The grade assigned to the evidence was “high”.  The author’s stated that “because of the large number of trials, the overall evidence for BMT was rated as high. </w:t>
            </w:r>
            <w:proofErr w:type="gramStart"/>
            <w:r>
              <w:t>Thus</w:t>
            </w:r>
            <w:proofErr w:type="gramEnd"/>
            <w:r>
              <w:t xml:space="preserve"> the level of research evidence is similar for BMT and MMT. In addition, multiple meta-analyses, reviews, and more than three independent RCTs have compared BMT with MMT on the primary outcomes stated above, and these results are also based on a high level of evidence in RCTs or reviews. Secondary outcomes, such as use of other illicit drugs, criminal behaviors, and other measures of addiction severity or psychosocial functioning varied among studies; as a result, the evidence for these secondary outcomes is not as strong.”</w:t>
            </w:r>
          </w:p>
        </w:tc>
      </w:tr>
      <w:tr w:rsidR="0036254C" w14:paraId="37540A5C"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2041CFF6" w14:textId="77777777" w:rsidR="0036254C" w:rsidRDefault="0036254C">
            <w:r>
              <w:lastRenderedPageBreak/>
              <w:t>Provide all other grades and definitions from the evidence grading system</w:t>
            </w:r>
          </w:p>
        </w:tc>
        <w:tc>
          <w:tcPr>
            <w:tcW w:w="6863" w:type="dxa"/>
            <w:tcBorders>
              <w:top w:val="single" w:sz="4" w:space="0" w:color="auto"/>
              <w:left w:val="single" w:sz="4" w:space="0" w:color="auto"/>
              <w:bottom w:val="single" w:sz="4" w:space="0" w:color="auto"/>
              <w:right w:val="single" w:sz="4" w:space="0" w:color="auto"/>
            </w:tcBorders>
            <w:hideMark/>
          </w:tcPr>
          <w:p w14:paraId="17D3E710" w14:textId="77777777" w:rsidR="0036254C" w:rsidRDefault="0036254C">
            <w:r>
              <w:t>N/A</w:t>
            </w:r>
          </w:p>
        </w:tc>
      </w:tr>
      <w:tr w:rsidR="0036254C" w:rsidRPr="0036254C" w14:paraId="65F170EF"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2E1E3215" w14:textId="77777777" w:rsidR="0036254C" w:rsidRDefault="0036254C">
            <w:r>
              <w:t xml:space="preserve">Grade assigned to the </w:t>
            </w:r>
            <w:r>
              <w:rPr>
                <w:b/>
              </w:rPr>
              <w:t>recommendation</w:t>
            </w:r>
            <w:r>
              <w:t xml:space="preserve"> with definition of the grade</w:t>
            </w:r>
          </w:p>
        </w:tc>
        <w:tc>
          <w:tcPr>
            <w:tcW w:w="6863" w:type="dxa"/>
            <w:tcBorders>
              <w:top w:val="single" w:sz="4" w:space="0" w:color="auto"/>
              <w:left w:val="single" w:sz="4" w:space="0" w:color="auto"/>
              <w:bottom w:val="single" w:sz="4" w:space="0" w:color="auto"/>
              <w:right w:val="single" w:sz="4" w:space="0" w:color="auto"/>
            </w:tcBorders>
          </w:tcPr>
          <w:p w14:paraId="57740E1E" w14:textId="77777777" w:rsidR="0036254C" w:rsidRDefault="0036254C">
            <w:r>
              <w:t xml:space="preserve">“Evidence for the effectiveness of BMT: high. Evidence clearly shows that BMT has a positive impact compared with placebo </w:t>
            </w:r>
            <w:proofErr w:type="gramStart"/>
            <w:r>
              <w:t>on:</w:t>
            </w:r>
            <w:proofErr w:type="gramEnd"/>
            <w:r>
              <w:t xml:space="preserve"> retention in treatment, and illicit opioid use. Evidence is mixed for its impact on: nonopioid illicit drug use.”</w:t>
            </w:r>
          </w:p>
          <w:p w14:paraId="1A4E8179" w14:textId="77777777" w:rsidR="0036254C" w:rsidRDefault="0036254C"/>
          <w:p w14:paraId="50C9BA00" w14:textId="77777777" w:rsidR="0036254C" w:rsidRDefault="0036254C">
            <w:r>
              <w:t xml:space="preserve">“In general, high ratings indicate confidence in the reported outcomes and are based on three or more RCTs with adequate designs or two RCTs plus two quasi-experimental studies with adequate designs. Moderate ratings indicate that there is some adequate research to judge the service, although it is possible that future research could influence reported results. Moderate ratings are based on the following three options: two or more </w:t>
            </w:r>
            <w:proofErr w:type="spellStart"/>
            <w:r>
              <w:t>quasiexperimental</w:t>
            </w:r>
            <w:proofErr w:type="spellEnd"/>
            <w:r>
              <w:t xml:space="preserve"> studies with adequate design; one quasi-experimental study plus one RCT with adequate design; or at least two RCTs with some methodological weaknesses or at least three quasi-experimental studies with some methodological weaknesses. Low ratings indicate that research for this service is not adequate to draw evidence based conclusions. Low ratings indicate that studies have nonexperimental designs, there are no RCTs, or there is no more than one adequately designed quasi-experimental study.”</w:t>
            </w:r>
          </w:p>
        </w:tc>
      </w:tr>
      <w:tr w:rsidR="0036254C" w14:paraId="469E9CAA"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7A865FFB" w14:textId="77777777" w:rsidR="0036254C" w:rsidRDefault="0036254C">
            <w:r>
              <w:t>Provide all other grades and definitions from the recommendation grading system</w:t>
            </w:r>
          </w:p>
        </w:tc>
        <w:tc>
          <w:tcPr>
            <w:tcW w:w="6863" w:type="dxa"/>
            <w:tcBorders>
              <w:top w:val="single" w:sz="4" w:space="0" w:color="auto"/>
              <w:left w:val="single" w:sz="4" w:space="0" w:color="auto"/>
              <w:bottom w:val="single" w:sz="4" w:space="0" w:color="auto"/>
              <w:right w:val="single" w:sz="4" w:space="0" w:color="auto"/>
            </w:tcBorders>
            <w:hideMark/>
          </w:tcPr>
          <w:p w14:paraId="101D1440" w14:textId="77777777" w:rsidR="0036254C" w:rsidRDefault="0036254C">
            <w:r>
              <w:t>N/A</w:t>
            </w:r>
          </w:p>
        </w:tc>
      </w:tr>
      <w:tr w:rsidR="0036254C" w:rsidRPr="0036254C" w14:paraId="05AF4BCD"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4DECEF30" w14:textId="77777777" w:rsidR="0036254C" w:rsidRDefault="0036254C">
            <w:r>
              <w:t>Body of evidence:</w:t>
            </w:r>
          </w:p>
          <w:p w14:paraId="15A0DE94" w14:textId="77777777" w:rsidR="0036254C" w:rsidRDefault="0036254C" w:rsidP="0036254C">
            <w:pPr>
              <w:numPr>
                <w:ilvl w:val="0"/>
                <w:numId w:val="8"/>
              </w:numPr>
            </w:pPr>
            <w:r>
              <w:t>Quantity – how many studies?</w:t>
            </w:r>
          </w:p>
          <w:p w14:paraId="57879AF2" w14:textId="77777777" w:rsidR="0036254C" w:rsidRDefault="0036254C" w:rsidP="0036254C">
            <w:pPr>
              <w:numPr>
                <w:ilvl w:val="0"/>
                <w:numId w:val="8"/>
              </w:numPr>
            </w:pPr>
            <w:r>
              <w:lastRenderedPageBreak/>
              <w:t>Quality – what type of studies?</w:t>
            </w:r>
          </w:p>
        </w:tc>
        <w:tc>
          <w:tcPr>
            <w:tcW w:w="6863" w:type="dxa"/>
            <w:tcBorders>
              <w:top w:val="single" w:sz="4" w:space="0" w:color="auto"/>
              <w:left w:val="single" w:sz="4" w:space="0" w:color="auto"/>
              <w:bottom w:val="single" w:sz="4" w:space="0" w:color="auto"/>
              <w:right w:val="single" w:sz="4" w:space="0" w:color="auto"/>
            </w:tcBorders>
            <w:hideMark/>
          </w:tcPr>
          <w:p w14:paraId="08502530" w14:textId="77777777" w:rsidR="0036254C" w:rsidRDefault="0036254C">
            <w:r>
              <w:lastRenderedPageBreak/>
              <w:t>“The literature search revealed 16 RCTs, a randomized cross-over study, a study using a self-administered survey, and a retrospective descriptive study. RCTs used either buprenorphine alone or buprenorphine-naloxone. The search also found seven reviews or meta-analyses.”</w:t>
            </w:r>
          </w:p>
        </w:tc>
      </w:tr>
      <w:tr w:rsidR="0036254C" w:rsidRPr="0036254C" w14:paraId="04E50E46"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30FBB524" w14:textId="77777777" w:rsidR="0036254C" w:rsidRDefault="0036254C">
            <w:r>
              <w:t xml:space="preserve">Estimates of benefit and consistency across studies </w:t>
            </w:r>
          </w:p>
        </w:tc>
        <w:tc>
          <w:tcPr>
            <w:tcW w:w="6863" w:type="dxa"/>
            <w:tcBorders>
              <w:top w:val="single" w:sz="4" w:space="0" w:color="auto"/>
              <w:left w:val="single" w:sz="4" w:space="0" w:color="auto"/>
              <w:bottom w:val="single" w:sz="4" w:space="0" w:color="auto"/>
              <w:right w:val="single" w:sz="4" w:space="0" w:color="auto"/>
            </w:tcBorders>
          </w:tcPr>
          <w:p w14:paraId="4360EC5C" w14:textId="77777777" w:rsidR="0036254C" w:rsidRDefault="0036254C">
            <w:r>
              <w:t>“Buprenorphine has a better safety profile than methadone, and the ability to prescribe buprenorphine in office facilities as opposed to only in opioid treatment programs improves access to care and earlier initiation of treatment. A key advantage of buprenorphine is its availability.”</w:t>
            </w:r>
          </w:p>
          <w:p w14:paraId="78586DCB" w14:textId="77777777" w:rsidR="0036254C" w:rsidRDefault="0036254C"/>
          <w:p w14:paraId="737905EB" w14:textId="77777777" w:rsidR="0036254C" w:rsidRDefault="0036254C">
            <w:r>
              <w:t>“Both BMT and MMT improve pregnancy-related outcomes by reducing illicit drug use during pregnancy.”</w:t>
            </w:r>
          </w:p>
        </w:tc>
      </w:tr>
      <w:tr w:rsidR="0036254C" w:rsidRPr="0036254C" w14:paraId="069B54C7"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62613752" w14:textId="77777777" w:rsidR="0036254C" w:rsidRDefault="0036254C">
            <w:r>
              <w:t>What harms were identified?</w:t>
            </w:r>
          </w:p>
        </w:tc>
        <w:tc>
          <w:tcPr>
            <w:tcW w:w="6863" w:type="dxa"/>
            <w:tcBorders>
              <w:top w:val="single" w:sz="4" w:space="0" w:color="auto"/>
              <w:left w:val="single" w:sz="4" w:space="0" w:color="auto"/>
              <w:bottom w:val="single" w:sz="4" w:space="0" w:color="auto"/>
              <w:right w:val="single" w:sz="4" w:space="0" w:color="auto"/>
            </w:tcBorders>
          </w:tcPr>
          <w:p w14:paraId="46941EDA" w14:textId="77777777" w:rsidR="0036254C" w:rsidRDefault="0036254C">
            <w:r>
              <w:t xml:space="preserve">“The pharmacology of buprenorphine affords it a better safety profile than methadone, which is important considering that methadone is associated with one-third of opioid-related overdose deaths annually. Because it is a partial agonist at the mu opiate receptor, it has a ceiling effect that limits its potential to cause respiratory depression compared with methadone. However, this risk still exists, especially if buprenorphine is used in combination with other central nervous system depressants such as benzodiazepines or alcohol or is used in higher doses. In addition, unlike methadone, buprenorphine at standard doses does not affect cardiac electrophysiology by lengthening the cardiac QT interval—a mechanism that can lead to serious cardiac arrhythmias. Buprenorphine also has fewer drug interactions than methadone, especially with HIV medications. Taken together, the articles reviewed suggest that the efficacy of BMT is dose dependent, and dose is important to </w:t>
            </w:r>
            <w:proofErr w:type="gramStart"/>
            <w:r>
              <w:t>take into account</w:t>
            </w:r>
            <w:proofErr w:type="gramEnd"/>
            <w:r>
              <w:t xml:space="preserve"> when comparing medications.”</w:t>
            </w:r>
          </w:p>
          <w:p w14:paraId="3B7077C6" w14:textId="77777777" w:rsidR="0036254C" w:rsidRDefault="0036254C"/>
          <w:p w14:paraId="64AFB3F4" w14:textId="77777777" w:rsidR="0036254C" w:rsidRDefault="0036254C">
            <w:r>
              <w:t>“Infants of mothers treated with buprenorphine during pregnancy may be born with NAS, although NAS appears to be less severe in infants of mothers treated with buprenorphine than of those treated with methadone.”</w:t>
            </w:r>
          </w:p>
          <w:p w14:paraId="43978D5A" w14:textId="77777777" w:rsidR="0036254C" w:rsidRDefault="0036254C"/>
          <w:p w14:paraId="28169D3F" w14:textId="77777777" w:rsidR="0036254C" w:rsidRDefault="0036254C">
            <w:r>
              <w:t>“Buprenorphine naloxone retains some potential for abuse intravenously, but the combination has less abuse potential as measured by self-administration than buprenorphine alone or heroin.”</w:t>
            </w:r>
          </w:p>
        </w:tc>
      </w:tr>
      <w:tr w:rsidR="0036254C" w:rsidRPr="0036254C" w14:paraId="39199113"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1010166F" w14:textId="77777777" w:rsidR="0036254C" w:rsidRDefault="0036254C">
            <w:r>
              <w:t>Identify any new studies conducted since the SR. Do the new studies change the conclusions from the SR?</w:t>
            </w:r>
          </w:p>
        </w:tc>
        <w:tc>
          <w:tcPr>
            <w:tcW w:w="6863" w:type="dxa"/>
            <w:tcBorders>
              <w:top w:val="single" w:sz="4" w:space="0" w:color="auto"/>
              <w:left w:val="single" w:sz="4" w:space="0" w:color="auto"/>
              <w:bottom w:val="single" w:sz="4" w:space="0" w:color="auto"/>
              <w:right w:val="single" w:sz="4" w:space="0" w:color="auto"/>
            </w:tcBorders>
            <w:hideMark/>
          </w:tcPr>
          <w:p w14:paraId="54396662" w14:textId="77777777" w:rsidR="0036254C" w:rsidRDefault="0036254C">
            <w:r>
              <w:t>See systematic review 1 which supports these recommendations.</w:t>
            </w:r>
          </w:p>
        </w:tc>
      </w:tr>
      <w:bookmarkEnd w:id="3"/>
    </w:tbl>
    <w:p w14:paraId="24DF46B8" w14:textId="77777777" w:rsidR="0036254C" w:rsidRDefault="0036254C" w:rsidP="0036254C">
      <w:pPr>
        <w:rPr>
          <w:rFonts w:asciiTheme="minorHAnsi" w:hAnsiTheme="minorHAnsi" w:cstheme="minorBidi"/>
        </w:rPr>
      </w:pPr>
    </w:p>
    <w:tbl>
      <w:tblPr>
        <w:tblStyle w:val="TableGrid0"/>
        <w:tblW w:w="0" w:type="auto"/>
        <w:tblInd w:w="0" w:type="dxa"/>
        <w:tblLook w:val="04A0" w:firstRow="1" w:lastRow="0" w:firstColumn="1" w:lastColumn="0" w:noHBand="0" w:noVBand="1"/>
      </w:tblPr>
      <w:tblGrid>
        <w:gridCol w:w="2335"/>
        <w:gridCol w:w="6863"/>
      </w:tblGrid>
      <w:tr w:rsidR="0036254C" w:rsidRPr="0036254C" w14:paraId="5B00C6D4"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24A8B8E4" w14:textId="77777777" w:rsidR="0036254C" w:rsidRDefault="0036254C">
            <w:pPr>
              <w:rPr>
                <w:b/>
              </w:rPr>
            </w:pPr>
            <w:r>
              <w:rPr>
                <w:b/>
              </w:rPr>
              <w:t>Source of Systematic Review 4:</w:t>
            </w:r>
          </w:p>
          <w:p w14:paraId="77C9D792" w14:textId="77777777" w:rsidR="0036254C" w:rsidRDefault="0036254C" w:rsidP="0036254C">
            <w:pPr>
              <w:numPr>
                <w:ilvl w:val="0"/>
                <w:numId w:val="7"/>
              </w:numPr>
              <w:rPr>
                <w:b/>
              </w:rPr>
            </w:pPr>
            <w:r>
              <w:rPr>
                <w:b/>
              </w:rPr>
              <w:t>Title</w:t>
            </w:r>
          </w:p>
          <w:p w14:paraId="155FE697" w14:textId="77777777" w:rsidR="0036254C" w:rsidRDefault="0036254C" w:rsidP="0036254C">
            <w:pPr>
              <w:numPr>
                <w:ilvl w:val="0"/>
                <w:numId w:val="7"/>
              </w:numPr>
              <w:rPr>
                <w:b/>
              </w:rPr>
            </w:pPr>
            <w:r>
              <w:rPr>
                <w:b/>
              </w:rPr>
              <w:t>Author</w:t>
            </w:r>
          </w:p>
          <w:p w14:paraId="1B1DEDB9" w14:textId="77777777" w:rsidR="0036254C" w:rsidRDefault="0036254C" w:rsidP="0036254C">
            <w:pPr>
              <w:numPr>
                <w:ilvl w:val="0"/>
                <w:numId w:val="7"/>
              </w:numPr>
              <w:rPr>
                <w:b/>
              </w:rPr>
            </w:pPr>
            <w:r>
              <w:rPr>
                <w:b/>
              </w:rPr>
              <w:t>Date</w:t>
            </w:r>
          </w:p>
          <w:p w14:paraId="663594E4" w14:textId="77777777" w:rsidR="0036254C" w:rsidRDefault="0036254C" w:rsidP="0036254C">
            <w:pPr>
              <w:numPr>
                <w:ilvl w:val="0"/>
                <w:numId w:val="7"/>
              </w:numPr>
              <w:rPr>
                <w:b/>
              </w:rPr>
            </w:pPr>
            <w:r>
              <w:rPr>
                <w:b/>
              </w:rPr>
              <w:lastRenderedPageBreak/>
              <w:t>Citation, including page number</w:t>
            </w:r>
          </w:p>
          <w:p w14:paraId="309DE1FF" w14:textId="77777777" w:rsidR="0036254C" w:rsidRDefault="0036254C" w:rsidP="0036254C">
            <w:pPr>
              <w:numPr>
                <w:ilvl w:val="0"/>
                <w:numId w:val="7"/>
              </w:numPr>
              <w:rPr>
                <w:b/>
              </w:rPr>
            </w:pPr>
            <w:r>
              <w:rPr>
                <w:b/>
              </w:rPr>
              <w:t>URL</w:t>
            </w:r>
          </w:p>
        </w:tc>
        <w:tc>
          <w:tcPr>
            <w:tcW w:w="6863" w:type="dxa"/>
            <w:tcBorders>
              <w:top w:val="single" w:sz="4" w:space="0" w:color="auto"/>
              <w:left w:val="single" w:sz="4" w:space="0" w:color="auto"/>
              <w:bottom w:val="single" w:sz="4" w:space="0" w:color="auto"/>
              <w:right w:val="single" w:sz="4" w:space="0" w:color="auto"/>
            </w:tcBorders>
            <w:hideMark/>
          </w:tcPr>
          <w:p w14:paraId="266A292E" w14:textId="77777777" w:rsidR="0036254C" w:rsidRDefault="0036254C" w:rsidP="00543352">
            <w:r>
              <w:rPr>
                <w:b/>
              </w:rPr>
              <w:lastRenderedPageBreak/>
              <w:t>Title:</w:t>
            </w:r>
            <w:r>
              <w:t xml:space="preserve"> Buprenorphine maintenance versus placebo or methadone maintenance for opioid dependence.</w:t>
            </w:r>
          </w:p>
          <w:p w14:paraId="51BAA379" w14:textId="77777777" w:rsidR="0036254C" w:rsidRDefault="0036254C" w:rsidP="00543352">
            <w:r>
              <w:rPr>
                <w:b/>
              </w:rPr>
              <w:t>Author:</w:t>
            </w:r>
            <w:r>
              <w:t xml:space="preserve"> </w:t>
            </w:r>
            <w:proofErr w:type="spellStart"/>
            <w:r>
              <w:t>Mattick</w:t>
            </w:r>
            <w:proofErr w:type="spellEnd"/>
            <w:r>
              <w:t xml:space="preserve"> RP, Breen C, Kimber J, and </w:t>
            </w:r>
            <w:proofErr w:type="spellStart"/>
            <w:r>
              <w:t>Davoli</w:t>
            </w:r>
            <w:proofErr w:type="spellEnd"/>
            <w:r>
              <w:t xml:space="preserve"> M.</w:t>
            </w:r>
          </w:p>
          <w:p w14:paraId="001E4A07" w14:textId="77777777" w:rsidR="0036254C" w:rsidRDefault="0036254C" w:rsidP="00543352">
            <w:r>
              <w:rPr>
                <w:b/>
              </w:rPr>
              <w:t>Date:</w:t>
            </w:r>
            <w:r>
              <w:t xml:space="preserve"> 2014</w:t>
            </w:r>
          </w:p>
          <w:p w14:paraId="250AA5B1" w14:textId="77777777" w:rsidR="0036254C" w:rsidRDefault="0036254C" w:rsidP="00543352">
            <w:r>
              <w:rPr>
                <w:b/>
              </w:rPr>
              <w:t>Citation:</w:t>
            </w:r>
            <w:r>
              <w:t xml:space="preserve"> </w:t>
            </w:r>
            <w:proofErr w:type="spellStart"/>
            <w:r>
              <w:t>Mattick</w:t>
            </w:r>
            <w:proofErr w:type="spellEnd"/>
            <w:r>
              <w:t xml:space="preserve"> RP, Breen C, Kimber J, and </w:t>
            </w:r>
            <w:proofErr w:type="spellStart"/>
            <w:r>
              <w:t>Davoli</w:t>
            </w:r>
            <w:proofErr w:type="spellEnd"/>
            <w:r>
              <w:t xml:space="preserve"> M. Buprenorphine maintenance versus placebo or methadone maintenance for opioid </w:t>
            </w:r>
            <w:r>
              <w:lastRenderedPageBreak/>
              <w:t>dependence. Cochrane Database of Systematic Reviews 2014, Issue 2. Art. No.: CD002207. DOI: 10.1002/14651858.CD002207.pub4.</w:t>
            </w:r>
          </w:p>
          <w:p w14:paraId="24834528" w14:textId="77777777" w:rsidR="0036254C" w:rsidRDefault="0036254C" w:rsidP="00543352">
            <w:pPr>
              <w:rPr>
                <w:b/>
              </w:rPr>
            </w:pPr>
            <w:r>
              <w:rPr>
                <w:b/>
              </w:rPr>
              <w:t>URL:</w:t>
            </w:r>
            <w:r>
              <w:t xml:space="preserve"> </w:t>
            </w:r>
            <w:hyperlink r:id="rId32" w:history="1">
              <w:r>
                <w:rPr>
                  <w:rStyle w:val="Hyperlink"/>
                </w:rPr>
                <w:t>http://onlinelibrary.wiley.com/doi/-10.1002/14651858.CD002207.pub4/epdf</w:t>
              </w:r>
            </w:hyperlink>
          </w:p>
        </w:tc>
      </w:tr>
      <w:tr w:rsidR="0036254C" w:rsidRPr="0036254C" w14:paraId="306494FB"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47D88ECD" w14:textId="77777777" w:rsidR="0036254C" w:rsidRDefault="0036254C">
            <w:r>
              <w:lastRenderedPageBreak/>
              <w:t>Quote the guideline or recommendation verbatim about the process, structure or intermediate outcome being measured. If not a guideline, summarize the conclusions from the SR.</w:t>
            </w:r>
          </w:p>
        </w:tc>
        <w:tc>
          <w:tcPr>
            <w:tcW w:w="6863" w:type="dxa"/>
            <w:tcBorders>
              <w:top w:val="single" w:sz="4" w:space="0" w:color="auto"/>
              <w:left w:val="single" w:sz="4" w:space="0" w:color="auto"/>
              <w:bottom w:val="single" w:sz="4" w:space="0" w:color="auto"/>
              <w:right w:val="single" w:sz="4" w:space="0" w:color="auto"/>
            </w:tcBorders>
            <w:hideMark/>
          </w:tcPr>
          <w:p w14:paraId="59EB3BDE" w14:textId="77777777" w:rsidR="0036254C" w:rsidRDefault="0036254C">
            <w:r>
              <w:t xml:space="preserve">A meta-analysis of 31 trials found that the quality of evidence for buprenorphine maintenance varied from high to moderate </w:t>
            </w:r>
            <w:r>
              <w:fldChar w:fldCharType="begin"/>
            </w:r>
            <w:r>
              <w:instrText xml:space="preserve"> ADDIN EN.CITE &lt;EndNote&gt;&lt;Cite&gt;&lt;Author&gt;Mattick&lt;/Author&gt;&lt;Year&gt;2014&lt;/Year&gt;&lt;RecNum&gt;239&lt;/RecNum&gt;&lt;DisplayText&gt;(R.P.  Mattick et al., 2014)&lt;/DisplayText&gt;&lt;record&gt;&lt;rec-number&gt;239&lt;/rec-number&gt;&lt;foreign-keys&gt;&lt;key app="EN" db-id="5wxraezd9pev2pe5ervx2rfh5dv0ss52tf2z" timestamp="1485378131"&gt;239&lt;/key&gt;&lt;/foreign-keys&gt;&lt;ref-type name="Report"&gt;27&lt;/ref-type&gt;&lt;contributors&gt;&lt;authors&gt;&lt;author&gt;Mattick, R.P. &lt;/author&gt;&lt;author&gt;Breen, C. &lt;/author&gt;&lt;author&gt;Kimber, J.&lt;/author&gt;&lt;author&gt;Davoli, M.&lt;/author&gt;&lt;/authors&gt;&lt;/contributors&gt;&lt;titles&gt;&lt;title&gt;Buprenorphine maintenance versus placebo or methadone maintenance for opioid dependence&lt;/title&gt;&lt;secondary-title&gt;Cochrane Database of Systematic Reviews. Issue 2. Art. No.: CD002207. DOI: 10.1002/14651858.CD002207.pub4.&lt;/secondary-title&gt;&lt;/titles&gt;&lt;dates&gt;&lt;year&gt;2014&lt;/year&gt;&lt;/dates&gt;&lt;urls&gt;&lt;/urls&gt;&lt;/record&gt;&lt;/Cite&gt;&lt;/EndNote&gt;</w:instrText>
            </w:r>
            <w:r>
              <w:fldChar w:fldCharType="separate"/>
            </w:r>
            <w:r>
              <w:rPr>
                <w:noProof/>
              </w:rPr>
              <w:t>(R.P.  Mattick et al., 2014)</w:t>
            </w:r>
            <w:r>
              <w:fldChar w:fldCharType="end"/>
            </w:r>
            <w:r>
              <w:t>. The analysis examined randomized controlled trials of buprenorphine maintenance treatment versus placebo or methadone treatment for management of opioid use disorders. Strong evidence indicated that buprenorphine is superior to placebo medication in retention of participants in treatment at all dosing levels considered in the analyses. Specifically, buprenorphine retained participants better than a placebo at low doses (2 to 6 mg), at medium doses (7 to 15 mg), and at high doses (≥ 16 mg). The authors based their conclusion on placebo-controlled trials, concluding that buprenorphine is an effective medication for retaining individuals with an OUD in treatment at any dose above 2 mg and for suppressing illicit opioid use (at doses 16 mg or greater).</w:t>
            </w:r>
          </w:p>
        </w:tc>
      </w:tr>
      <w:tr w:rsidR="0036254C" w:rsidRPr="0036254C" w14:paraId="1A83FB52"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1DB43927" w14:textId="77777777" w:rsidR="0036254C" w:rsidRDefault="0036254C">
            <w:r>
              <w:t xml:space="preserve">Grade assigned to the </w:t>
            </w:r>
            <w:r>
              <w:rPr>
                <w:b/>
              </w:rPr>
              <w:t>evidence</w:t>
            </w:r>
            <w:r>
              <w:t xml:space="preserve"> associated with the recommendation with the definition of the grade</w:t>
            </w:r>
          </w:p>
        </w:tc>
        <w:tc>
          <w:tcPr>
            <w:tcW w:w="6863" w:type="dxa"/>
            <w:tcBorders>
              <w:top w:val="single" w:sz="4" w:space="0" w:color="auto"/>
              <w:left w:val="single" w:sz="4" w:space="0" w:color="auto"/>
              <w:bottom w:val="single" w:sz="4" w:space="0" w:color="auto"/>
              <w:right w:val="single" w:sz="4" w:space="0" w:color="auto"/>
            </w:tcBorders>
            <w:hideMark/>
          </w:tcPr>
          <w:p w14:paraId="26014A16" w14:textId="77777777" w:rsidR="0036254C" w:rsidRDefault="0036254C">
            <w:r>
              <w:t xml:space="preserve">The Cochrane review meta-analyses include grades. The meta-analysis of  buprenorphine treatment </w:t>
            </w:r>
            <w:r>
              <w:fldChar w:fldCharType="begin"/>
            </w:r>
            <w:r>
              <w:instrText xml:space="preserve"> ADDIN EN.CITE &lt;EndNote&gt;&lt;Cite&gt;&lt;Author&gt;Mattick&lt;/Author&gt;&lt;Year&gt;2014&lt;/Year&gt;&lt;RecNum&gt;239&lt;/RecNum&gt;&lt;DisplayText&gt;(R.P.  Mattick et al., 2014)&lt;/DisplayText&gt;&lt;record&gt;&lt;rec-number&gt;239&lt;/rec-number&gt;&lt;foreign-keys&gt;&lt;key app="EN" db-id="5wxraezd9pev2pe5ervx2rfh5dv0ss52tf2z" timestamp="1485378131"&gt;239&lt;/key&gt;&lt;/foreign-keys&gt;&lt;ref-type name="Report"&gt;27&lt;/ref-type&gt;&lt;contributors&gt;&lt;authors&gt;&lt;author&gt;Mattick, R.P. &lt;/author&gt;&lt;author&gt;Breen, C. &lt;/author&gt;&lt;author&gt;Kimber, J.&lt;/author&gt;&lt;author&gt;Davoli, M.&lt;/author&gt;&lt;/authors&gt;&lt;/contributors&gt;&lt;titles&gt;&lt;title&gt;Buprenorphine maintenance versus placebo or methadone maintenance for opioid dependence&lt;/title&gt;&lt;secondary-title&gt;Cochrane Database of Systematic Reviews. Issue 2. Art. No.: CD002207. DOI: 10.1002/14651858.CD002207.pub4.&lt;/secondary-title&gt;&lt;/titles&gt;&lt;dates&gt;&lt;year&gt;2014&lt;/year&gt;&lt;/dates&gt;&lt;urls&gt;&lt;/urls&gt;&lt;/record&gt;&lt;/Cite&gt;&lt;/EndNote&gt;</w:instrText>
            </w:r>
            <w:r>
              <w:fldChar w:fldCharType="separate"/>
            </w:r>
            <w:r>
              <w:rPr>
                <w:noProof/>
              </w:rPr>
              <w:t>(R.P.  Mattick et al., 2014)</w:t>
            </w:r>
            <w:r>
              <w:fldChar w:fldCharType="end"/>
            </w:r>
            <w:r>
              <w:t xml:space="preserve"> assigned high to moderate grades to the studies under review. </w:t>
            </w:r>
          </w:p>
        </w:tc>
      </w:tr>
      <w:tr w:rsidR="0036254C" w:rsidRPr="0036254C" w14:paraId="4AA678E6"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544D3DA6" w14:textId="77777777" w:rsidR="0036254C" w:rsidRDefault="0036254C">
            <w:r>
              <w:t>Provide all other grades and definitions from the evidence grading system</w:t>
            </w:r>
          </w:p>
        </w:tc>
        <w:tc>
          <w:tcPr>
            <w:tcW w:w="6863" w:type="dxa"/>
            <w:tcBorders>
              <w:top w:val="single" w:sz="4" w:space="0" w:color="auto"/>
              <w:left w:val="single" w:sz="4" w:space="0" w:color="auto"/>
              <w:bottom w:val="single" w:sz="4" w:space="0" w:color="auto"/>
              <w:right w:val="single" w:sz="4" w:space="0" w:color="auto"/>
            </w:tcBorders>
            <w:hideMark/>
          </w:tcPr>
          <w:p w14:paraId="3242E05F" w14:textId="77777777" w:rsidR="0036254C" w:rsidRDefault="0036254C">
            <w:r>
              <w:t>High quality: Further research is very unlikely to change the authors’ confidence in the estimated effect. Moderate quality: Further research is likely to have an important impact on confidence in the estimate of effect and may change the estimate.</w:t>
            </w:r>
          </w:p>
        </w:tc>
      </w:tr>
      <w:tr w:rsidR="0036254C" w:rsidRPr="0036254C" w14:paraId="0C348255"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6F78E7F8" w14:textId="77777777" w:rsidR="0036254C" w:rsidRDefault="0036254C">
            <w:r>
              <w:t xml:space="preserve">Grade assigned to the </w:t>
            </w:r>
            <w:r>
              <w:rPr>
                <w:b/>
              </w:rPr>
              <w:t>recommendation</w:t>
            </w:r>
            <w:r>
              <w:t xml:space="preserve"> with definition of the grade</w:t>
            </w:r>
          </w:p>
        </w:tc>
        <w:tc>
          <w:tcPr>
            <w:tcW w:w="6863" w:type="dxa"/>
            <w:tcBorders>
              <w:top w:val="single" w:sz="4" w:space="0" w:color="auto"/>
              <w:left w:val="single" w:sz="4" w:space="0" w:color="auto"/>
              <w:bottom w:val="single" w:sz="4" w:space="0" w:color="auto"/>
              <w:right w:val="single" w:sz="4" w:space="0" w:color="auto"/>
            </w:tcBorders>
            <w:hideMark/>
          </w:tcPr>
          <w:p w14:paraId="0C67FBD3" w14:textId="77777777" w:rsidR="0036254C" w:rsidRDefault="0036254C">
            <w:r>
              <w:t xml:space="preserve">The Cochrane review meta-analyses include grades. The meta-analysis of  buprenorphine treatment </w:t>
            </w:r>
            <w:r>
              <w:fldChar w:fldCharType="begin"/>
            </w:r>
            <w:r>
              <w:instrText xml:space="preserve"> ADDIN EN.CITE &lt;EndNote&gt;&lt;Cite&gt;&lt;Author&gt;Mattick&lt;/Author&gt;&lt;Year&gt;2014&lt;/Year&gt;&lt;RecNum&gt;239&lt;/RecNum&gt;&lt;DisplayText&gt;(R.P.  Mattick et al., 2014)&lt;/DisplayText&gt;&lt;record&gt;&lt;rec-number&gt;239&lt;/rec-number&gt;&lt;foreign-keys&gt;&lt;key app="EN" db-id="5wxraezd9pev2pe5ervx2rfh5dv0ss52tf2z" timestamp="1485378131"&gt;239&lt;/key&gt;&lt;/foreign-keys&gt;&lt;ref-type name="Report"&gt;27&lt;/ref-type&gt;&lt;contributors&gt;&lt;authors&gt;&lt;author&gt;Mattick, R.P. &lt;/author&gt;&lt;author&gt;Breen, C. &lt;/author&gt;&lt;author&gt;Kimber, J.&lt;/author&gt;&lt;author&gt;Davoli, M.&lt;/author&gt;&lt;/authors&gt;&lt;/contributors&gt;&lt;titles&gt;&lt;title&gt;Buprenorphine maintenance versus placebo or methadone maintenance for opioid dependence&lt;/title&gt;&lt;secondary-title&gt;Cochrane Database of Systematic Reviews. Issue 2. Art. No.: CD002207. DOI: 10.1002/14651858.CD002207.pub4.&lt;/secondary-title&gt;&lt;/titles&gt;&lt;dates&gt;&lt;year&gt;2014&lt;/year&gt;&lt;/dates&gt;&lt;urls&gt;&lt;/urls&gt;&lt;/record&gt;&lt;/Cite&gt;&lt;/EndNote&gt;</w:instrText>
            </w:r>
            <w:r>
              <w:fldChar w:fldCharType="separate"/>
            </w:r>
            <w:r>
              <w:rPr>
                <w:noProof/>
              </w:rPr>
              <w:t>(R.P.  Mattick et al., 2014)</w:t>
            </w:r>
            <w:r>
              <w:fldChar w:fldCharType="end"/>
            </w:r>
            <w:r>
              <w:t xml:space="preserve"> assigned high to moderate grades to the studies under review. </w:t>
            </w:r>
          </w:p>
        </w:tc>
      </w:tr>
      <w:tr w:rsidR="0036254C" w:rsidRPr="0036254C" w14:paraId="470D8C7D"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55789E97" w14:textId="77777777" w:rsidR="0036254C" w:rsidRDefault="0036254C">
            <w:r>
              <w:t>Provide all other grades and definitions from the recommendation grading system</w:t>
            </w:r>
          </w:p>
        </w:tc>
        <w:tc>
          <w:tcPr>
            <w:tcW w:w="6863" w:type="dxa"/>
            <w:tcBorders>
              <w:top w:val="single" w:sz="4" w:space="0" w:color="auto"/>
              <w:left w:val="single" w:sz="4" w:space="0" w:color="auto"/>
              <w:bottom w:val="single" w:sz="4" w:space="0" w:color="auto"/>
              <w:right w:val="single" w:sz="4" w:space="0" w:color="auto"/>
            </w:tcBorders>
            <w:hideMark/>
          </w:tcPr>
          <w:p w14:paraId="0F68EB0A" w14:textId="77777777" w:rsidR="0036254C" w:rsidRDefault="0036254C">
            <w:r>
              <w:t>High quality: Further research is very unlikely to change the authors’ confidence in the estimated effect. Moderate quality: Further research is likely to have an important impact on confidence in the estimate of effect and may change the estimate.</w:t>
            </w:r>
          </w:p>
        </w:tc>
      </w:tr>
      <w:tr w:rsidR="0036254C" w:rsidRPr="0036254C" w14:paraId="2DD802BA"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6DD3778A" w14:textId="77777777" w:rsidR="0036254C" w:rsidRDefault="0036254C">
            <w:r>
              <w:t>Body of evidence:</w:t>
            </w:r>
          </w:p>
          <w:p w14:paraId="649DEB0E" w14:textId="77777777" w:rsidR="0036254C" w:rsidRDefault="0036254C" w:rsidP="00E70109">
            <w:r>
              <w:t>Quantity – how many studies?</w:t>
            </w:r>
          </w:p>
          <w:p w14:paraId="194F7718" w14:textId="77777777" w:rsidR="0036254C" w:rsidRDefault="0036254C" w:rsidP="00E70109">
            <w:r>
              <w:t>Quality – what type of studies?</w:t>
            </w:r>
          </w:p>
        </w:tc>
        <w:tc>
          <w:tcPr>
            <w:tcW w:w="6863" w:type="dxa"/>
            <w:tcBorders>
              <w:top w:val="single" w:sz="4" w:space="0" w:color="auto"/>
              <w:left w:val="single" w:sz="4" w:space="0" w:color="auto"/>
              <w:bottom w:val="single" w:sz="4" w:space="0" w:color="auto"/>
              <w:right w:val="single" w:sz="4" w:space="0" w:color="auto"/>
            </w:tcBorders>
            <w:hideMark/>
          </w:tcPr>
          <w:p w14:paraId="189882A0" w14:textId="3279C495" w:rsidR="0036254C" w:rsidRDefault="0036254C">
            <w:r>
              <w:t xml:space="preserve">The evidence from the buprenorphine meta-analysis derives from a search of databases from 2003 to 2013. </w:t>
            </w:r>
            <w:r w:rsidR="005D755E">
              <w:t>31</w:t>
            </w:r>
            <w:r>
              <w:t xml:space="preserve"> randomized controlled trials of buprenorphine maintenance treatment versus placebo or methadone treatment for management of opioid use disorders were included. </w:t>
            </w:r>
          </w:p>
        </w:tc>
      </w:tr>
      <w:tr w:rsidR="0036254C" w:rsidRPr="0036254C" w14:paraId="2E2C7B03"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52ED61CD" w14:textId="77777777" w:rsidR="0036254C" w:rsidRDefault="0036254C">
            <w:r>
              <w:t xml:space="preserve">Estimates of benefit and consistency across studies </w:t>
            </w:r>
          </w:p>
        </w:tc>
        <w:tc>
          <w:tcPr>
            <w:tcW w:w="6863" w:type="dxa"/>
            <w:tcBorders>
              <w:top w:val="single" w:sz="4" w:space="0" w:color="auto"/>
              <w:left w:val="single" w:sz="4" w:space="0" w:color="auto"/>
              <w:bottom w:val="single" w:sz="4" w:space="0" w:color="auto"/>
              <w:right w:val="single" w:sz="4" w:space="0" w:color="auto"/>
            </w:tcBorders>
            <w:hideMark/>
          </w:tcPr>
          <w:p w14:paraId="77CDD334" w14:textId="77777777" w:rsidR="0036254C" w:rsidRDefault="0036254C">
            <w:r>
              <w:t xml:space="preserve">Strong evidence indicated that buprenorphine is superior to placebo medication in retention of participants in treatment at all dosing levels considered in the analyses. Specifically, buprenorphine retained participants better than a placebo at low doses (2 to 6 mg), at medium doses (7 to 15 mg), and at high doses (≥ 16 mg). The authors based their conclusion on placebo-controlled trials, concluding that buprenorphine is an effective medication for retaining individuals with an OUD in treatment </w:t>
            </w:r>
            <w:r>
              <w:lastRenderedPageBreak/>
              <w:t>at any dose above 2 mg and for suppressing illicit opioid use (at doses 16 mg or greater).</w:t>
            </w:r>
          </w:p>
        </w:tc>
      </w:tr>
      <w:tr w:rsidR="0036254C" w14:paraId="04FC5222"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7B77E526" w14:textId="77777777" w:rsidR="0036254C" w:rsidRDefault="0036254C">
            <w:r>
              <w:lastRenderedPageBreak/>
              <w:t>What harms were identified?</w:t>
            </w:r>
          </w:p>
        </w:tc>
        <w:tc>
          <w:tcPr>
            <w:tcW w:w="6863" w:type="dxa"/>
            <w:tcBorders>
              <w:top w:val="single" w:sz="4" w:space="0" w:color="auto"/>
              <w:left w:val="single" w:sz="4" w:space="0" w:color="auto"/>
              <w:bottom w:val="single" w:sz="4" w:space="0" w:color="auto"/>
              <w:right w:val="single" w:sz="4" w:space="0" w:color="auto"/>
            </w:tcBorders>
            <w:hideMark/>
          </w:tcPr>
          <w:p w14:paraId="419ED273" w14:textId="77777777" w:rsidR="0036254C" w:rsidRDefault="0036254C">
            <w:r>
              <w:t>No harms were identified.</w:t>
            </w:r>
          </w:p>
        </w:tc>
      </w:tr>
      <w:tr w:rsidR="0036254C" w:rsidRPr="0036254C" w14:paraId="7F60252F"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5EE79959" w14:textId="77777777" w:rsidR="0036254C" w:rsidRDefault="0036254C">
            <w:r>
              <w:t>Identify any new studies conducted since the SR. Do the new studies change the conclusions from the SR?</w:t>
            </w:r>
          </w:p>
        </w:tc>
        <w:tc>
          <w:tcPr>
            <w:tcW w:w="6863" w:type="dxa"/>
            <w:tcBorders>
              <w:top w:val="single" w:sz="4" w:space="0" w:color="auto"/>
              <w:left w:val="single" w:sz="4" w:space="0" w:color="auto"/>
              <w:bottom w:val="single" w:sz="4" w:space="0" w:color="auto"/>
              <w:right w:val="single" w:sz="4" w:space="0" w:color="auto"/>
            </w:tcBorders>
            <w:hideMark/>
          </w:tcPr>
          <w:p w14:paraId="75F2D19B" w14:textId="77777777" w:rsidR="0036254C" w:rsidRDefault="0036254C">
            <w:r>
              <w:t>See systematic reviews 3, 2, and 1, which support these recommendations.</w:t>
            </w:r>
          </w:p>
        </w:tc>
      </w:tr>
    </w:tbl>
    <w:p w14:paraId="267F8246" w14:textId="77777777" w:rsidR="0036254C" w:rsidRDefault="0036254C" w:rsidP="0036254C">
      <w:pPr>
        <w:rPr>
          <w:rFonts w:asciiTheme="minorHAnsi" w:hAnsiTheme="minorHAnsi" w:cstheme="minorBidi"/>
        </w:rPr>
      </w:pPr>
    </w:p>
    <w:tbl>
      <w:tblPr>
        <w:tblStyle w:val="TableGrid0"/>
        <w:tblW w:w="0" w:type="auto"/>
        <w:tblInd w:w="0" w:type="dxa"/>
        <w:tblLook w:val="04A0" w:firstRow="1" w:lastRow="0" w:firstColumn="1" w:lastColumn="0" w:noHBand="0" w:noVBand="1"/>
      </w:tblPr>
      <w:tblGrid>
        <w:gridCol w:w="2335"/>
        <w:gridCol w:w="6863"/>
      </w:tblGrid>
      <w:tr w:rsidR="0036254C" w:rsidRPr="0036254C" w14:paraId="400937ED"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04B57733" w14:textId="77777777" w:rsidR="0036254C" w:rsidRDefault="0036254C">
            <w:pPr>
              <w:rPr>
                <w:b/>
              </w:rPr>
            </w:pPr>
            <w:r>
              <w:rPr>
                <w:b/>
              </w:rPr>
              <w:t>Source of Systematic Review 5:</w:t>
            </w:r>
          </w:p>
          <w:p w14:paraId="40AA82BE" w14:textId="77777777" w:rsidR="0036254C" w:rsidRDefault="0036254C" w:rsidP="0036254C">
            <w:pPr>
              <w:numPr>
                <w:ilvl w:val="0"/>
                <w:numId w:val="7"/>
              </w:numPr>
              <w:rPr>
                <w:b/>
              </w:rPr>
            </w:pPr>
            <w:r>
              <w:rPr>
                <w:b/>
              </w:rPr>
              <w:t>Title</w:t>
            </w:r>
          </w:p>
          <w:p w14:paraId="68669B19" w14:textId="77777777" w:rsidR="0036254C" w:rsidRDefault="0036254C" w:rsidP="0036254C">
            <w:pPr>
              <w:numPr>
                <w:ilvl w:val="0"/>
                <w:numId w:val="7"/>
              </w:numPr>
              <w:rPr>
                <w:b/>
              </w:rPr>
            </w:pPr>
            <w:r>
              <w:rPr>
                <w:b/>
              </w:rPr>
              <w:t>Author</w:t>
            </w:r>
          </w:p>
          <w:p w14:paraId="4358F363" w14:textId="77777777" w:rsidR="0036254C" w:rsidRDefault="0036254C" w:rsidP="0036254C">
            <w:pPr>
              <w:numPr>
                <w:ilvl w:val="0"/>
                <w:numId w:val="7"/>
              </w:numPr>
              <w:rPr>
                <w:b/>
              </w:rPr>
            </w:pPr>
            <w:r>
              <w:rPr>
                <w:b/>
              </w:rPr>
              <w:t>Date</w:t>
            </w:r>
          </w:p>
          <w:p w14:paraId="467DE69F" w14:textId="77777777" w:rsidR="0036254C" w:rsidRDefault="0036254C" w:rsidP="0036254C">
            <w:pPr>
              <w:numPr>
                <w:ilvl w:val="0"/>
                <w:numId w:val="7"/>
              </w:numPr>
              <w:rPr>
                <w:b/>
              </w:rPr>
            </w:pPr>
            <w:r>
              <w:rPr>
                <w:b/>
              </w:rPr>
              <w:t>Citation, including page number</w:t>
            </w:r>
          </w:p>
          <w:p w14:paraId="67052A71" w14:textId="77777777" w:rsidR="0036254C" w:rsidRDefault="0036254C" w:rsidP="0036254C">
            <w:pPr>
              <w:numPr>
                <w:ilvl w:val="0"/>
                <w:numId w:val="7"/>
              </w:numPr>
              <w:rPr>
                <w:b/>
              </w:rPr>
            </w:pPr>
            <w:r>
              <w:rPr>
                <w:b/>
              </w:rPr>
              <w:t>URL</w:t>
            </w:r>
          </w:p>
        </w:tc>
        <w:tc>
          <w:tcPr>
            <w:tcW w:w="6863" w:type="dxa"/>
            <w:tcBorders>
              <w:top w:val="single" w:sz="4" w:space="0" w:color="auto"/>
              <w:left w:val="single" w:sz="4" w:space="0" w:color="auto"/>
              <w:bottom w:val="single" w:sz="4" w:space="0" w:color="auto"/>
              <w:right w:val="single" w:sz="4" w:space="0" w:color="auto"/>
            </w:tcBorders>
            <w:hideMark/>
          </w:tcPr>
          <w:p w14:paraId="4C3A123B" w14:textId="77777777" w:rsidR="0036254C" w:rsidRDefault="0036254C">
            <w:pPr>
              <w:rPr>
                <w:b/>
              </w:rPr>
            </w:pPr>
            <w:r>
              <w:rPr>
                <w:b/>
              </w:rPr>
              <w:t>Source</w:t>
            </w:r>
          </w:p>
          <w:p w14:paraId="6ADA51D3" w14:textId="77777777" w:rsidR="0036254C" w:rsidRDefault="0036254C" w:rsidP="005D755E">
            <w:r>
              <w:rPr>
                <w:b/>
              </w:rPr>
              <w:t>Title:</w:t>
            </w:r>
            <w:r>
              <w:t xml:space="preserve"> </w:t>
            </w:r>
            <w:r>
              <w:rPr>
                <w:bCs/>
              </w:rPr>
              <w:t>Methadone maintenance therapy versus no opioid replacement therapy for opioid dependence</w:t>
            </w:r>
          </w:p>
          <w:p w14:paraId="5481F72C" w14:textId="77777777" w:rsidR="0036254C" w:rsidRDefault="0036254C" w:rsidP="005D755E">
            <w:r>
              <w:rPr>
                <w:b/>
              </w:rPr>
              <w:t>Author:</w:t>
            </w:r>
            <w:r>
              <w:t xml:space="preserve"> </w:t>
            </w:r>
            <w:proofErr w:type="spellStart"/>
            <w:r>
              <w:rPr>
                <w:bCs/>
              </w:rPr>
              <w:t>Mattick</w:t>
            </w:r>
            <w:proofErr w:type="spellEnd"/>
            <w:r>
              <w:rPr>
                <w:bCs/>
              </w:rPr>
              <w:t xml:space="preserve"> RP, Breen C, Kimber J, and </w:t>
            </w:r>
            <w:proofErr w:type="spellStart"/>
            <w:r>
              <w:rPr>
                <w:bCs/>
              </w:rPr>
              <w:t>Davoli</w:t>
            </w:r>
            <w:proofErr w:type="spellEnd"/>
            <w:r>
              <w:rPr>
                <w:bCs/>
              </w:rPr>
              <w:t xml:space="preserve"> M.</w:t>
            </w:r>
          </w:p>
          <w:p w14:paraId="18F44601" w14:textId="77777777" w:rsidR="0036254C" w:rsidRDefault="0036254C" w:rsidP="005D755E">
            <w:r>
              <w:rPr>
                <w:b/>
              </w:rPr>
              <w:t>Date:</w:t>
            </w:r>
            <w:r>
              <w:t xml:space="preserve"> 2009</w:t>
            </w:r>
          </w:p>
          <w:p w14:paraId="6E2E40DE" w14:textId="77777777" w:rsidR="0036254C" w:rsidRDefault="0036254C" w:rsidP="005D755E">
            <w:pPr>
              <w:rPr>
                <w:bCs/>
              </w:rPr>
            </w:pPr>
            <w:r>
              <w:rPr>
                <w:b/>
              </w:rPr>
              <w:t>Citation:</w:t>
            </w:r>
            <w:r>
              <w:t xml:space="preserve"> </w:t>
            </w:r>
            <w:proofErr w:type="spellStart"/>
            <w:r>
              <w:rPr>
                <w:bCs/>
              </w:rPr>
              <w:t>Mattick</w:t>
            </w:r>
            <w:proofErr w:type="spellEnd"/>
            <w:r>
              <w:rPr>
                <w:bCs/>
              </w:rPr>
              <w:t xml:space="preserve"> RP, Breen C, Kimber J, and </w:t>
            </w:r>
            <w:proofErr w:type="spellStart"/>
            <w:r>
              <w:rPr>
                <w:bCs/>
              </w:rPr>
              <w:t>Davoli</w:t>
            </w:r>
            <w:proofErr w:type="spellEnd"/>
            <w:r>
              <w:rPr>
                <w:bCs/>
              </w:rPr>
              <w:t xml:space="preserve"> M. Methadone maintenance therapy versus no opioid replacement therapy for opioid dependence. Cochrane Database of Systematic Reviews 2009, Issue 3. Art. No.: CD002209.</w:t>
            </w:r>
          </w:p>
          <w:p w14:paraId="7F7B80CD" w14:textId="77777777" w:rsidR="0036254C" w:rsidRDefault="0036254C" w:rsidP="005D755E">
            <w:pPr>
              <w:rPr>
                <w:bCs/>
                <w:u w:val="single"/>
              </w:rPr>
            </w:pPr>
            <w:r>
              <w:rPr>
                <w:b/>
              </w:rPr>
              <w:t>URL:</w:t>
            </w:r>
            <w:r>
              <w:t xml:space="preserve"> </w:t>
            </w:r>
            <w:hyperlink r:id="rId33" w:history="1">
              <w:r>
                <w:rPr>
                  <w:rStyle w:val="Hyperlink"/>
                </w:rPr>
                <w:t>http://onlinelibrary.wiley.com/doi/-10.1002/14651858.CD002209.pub2/epdf</w:t>
              </w:r>
            </w:hyperlink>
          </w:p>
        </w:tc>
      </w:tr>
      <w:tr w:rsidR="0036254C" w:rsidRPr="0036254C" w14:paraId="6A84C6D7"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3CB357E3" w14:textId="77777777" w:rsidR="0036254C" w:rsidRDefault="0036254C">
            <w:r>
              <w:t>Quote the guideline or recommendation verbatim about the process, structure or intermediate outcome being measured. If not a guideline, summarize the conclusions from the SR.</w:t>
            </w:r>
          </w:p>
        </w:tc>
        <w:tc>
          <w:tcPr>
            <w:tcW w:w="6863" w:type="dxa"/>
            <w:tcBorders>
              <w:top w:val="single" w:sz="4" w:space="0" w:color="auto"/>
              <w:left w:val="single" w:sz="4" w:space="0" w:color="auto"/>
              <w:bottom w:val="single" w:sz="4" w:space="0" w:color="auto"/>
              <w:right w:val="single" w:sz="4" w:space="0" w:color="auto"/>
            </w:tcBorders>
            <w:hideMark/>
          </w:tcPr>
          <w:p w14:paraId="473F82AB" w14:textId="04BE7A87" w:rsidR="0036254C" w:rsidRDefault="0036254C">
            <w:r>
              <w:t>Another meta-analysis included 11 studies that met the criteria for inclusion in a Cochrane review of methadone treatment</w:t>
            </w:r>
            <w:r w:rsidR="005D755E">
              <w:t>.</w:t>
            </w:r>
            <w:r>
              <w:t xml:space="preserve"> All the studies were randomized clinical trials, two were double-blind. Methadone appeared statistically significantly more effective than nonpharmacological approaches in retaining patients in treatment and in reducing heroin use as measured by self-report and urine/hair analysis. The authors concluded that methadone is an effective maintenance therapy intervention for the treatment of OUD as it retains patients in treatment and decreases heroin use better than treatments that do not use opioid replacement therapy. However, the authors did not show a statistically significant superior effect on criminal activity or mortality.</w:t>
            </w:r>
          </w:p>
        </w:tc>
      </w:tr>
      <w:tr w:rsidR="0036254C" w:rsidRPr="0036254C" w14:paraId="323DE281"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02CD1574" w14:textId="77777777" w:rsidR="0036254C" w:rsidRDefault="0036254C">
            <w:r>
              <w:t xml:space="preserve">Grade assigned to the </w:t>
            </w:r>
            <w:r>
              <w:rPr>
                <w:b/>
              </w:rPr>
              <w:t>evidence</w:t>
            </w:r>
            <w:r>
              <w:t xml:space="preserve"> associated with the recommendation with the definition of the grade</w:t>
            </w:r>
          </w:p>
        </w:tc>
        <w:tc>
          <w:tcPr>
            <w:tcW w:w="6863" w:type="dxa"/>
            <w:tcBorders>
              <w:top w:val="single" w:sz="4" w:space="0" w:color="auto"/>
              <w:left w:val="single" w:sz="4" w:space="0" w:color="auto"/>
              <w:bottom w:val="single" w:sz="4" w:space="0" w:color="auto"/>
              <w:right w:val="single" w:sz="4" w:space="0" w:color="auto"/>
            </w:tcBorders>
            <w:hideMark/>
          </w:tcPr>
          <w:p w14:paraId="10BCB379" w14:textId="1CAB01BE" w:rsidR="0036254C" w:rsidRDefault="005D755E">
            <w:r>
              <w:t>High to Moderate</w:t>
            </w:r>
          </w:p>
        </w:tc>
      </w:tr>
      <w:tr w:rsidR="0036254C" w:rsidRPr="0036254C" w14:paraId="52AC9EA0"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0B274C87" w14:textId="77777777" w:rsidR="0036254C" w:rsidRDefault="0036254C">
            <w:r>
              <w:t>Provide all other grades and definitions from the evidence grading system</w:t>
            </w:r>
          </w:p>
        </w:tc>
        <w:tc>
          <w:tcPr>
            <w:tcW w:w="6863" w:type="dxa"/>
            <w:tcBorders>
              <w:top w:val="single" w:sz="4" w:space="0" w:color="auto"/>
              <w:left w:val="single" w:sz="4" w:space="0" w:color="auto"/>
              <w:bottom w:val="single" w:sz="4" w:space="0" w:color="auto"/>
              <w:right w:val="single" w:sz="4" w:space="0" w:color="auto"/>
            </w:tcBorders>
            <w:hideMark/>
          </w:tcPr>
          <w:p w14:paraId="7DAF8C77" w14:textId="77777777" w:rsidR="0036254C" w:rsidRDefault="0036254C">
            <w:r>
              <w:t>High quality: Further research is very unlikely to change the authors’ confidence in the estimated effect. Moderate quality: Further research is likely to have an important impact on confidence in the estimate of effect and may change the estimate.</w:t>
            </w:r>
          </w:p>
        </w:tc>
      </w:tr>
      <w:tr w:rsidR="0036254C" w:rsidRPr="0036254C" w14:paraId="14D5C7E0"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434E4175" w14:textId="77777777" w:rsidR="0036254C" w:rsidRDefault="0036254C">
            <w:r>
              <w:t xml:space="preserve">Grade assigned to the </w:t>
            </w:r>
            <w:r>
              <w:rPr>
                <w:b/>
              </w:rPr>
              <w:t>recommendation</w:t>
            </w:r>
            <w:r>
              <w:t xml:space="preserve"> with definition of the grade</w:t>
            </w:r>
          </w:p>
        </w:tc>
        <w:tc>
          <w:tcPr>
            <w:tcW w:w="6863" w:type="dxa"/>
            <w:tcBorders>
              <w:top w:val="single" w:sz="4" w:space="0" w:color="auto"/>
              <w:left w:val="single" w:sz="4" w:space="0" w:color="auto"/>
              <w:bottom w:val="single" w:sz="4" w:space="0" w:color="auto"/>
              <w:right w:val="single" w:sz="4" w:space="0" w:color="auto"/>
            </w:tcBorders>
            <w:hideMark/>
          </w:tcPr>
          <w:p w14:paraId="2C31FD79" w14:textId="5BFD5377" w:rsidR="0036254C" w:rsidRDefault="005D755E">
            <w:r>
              <w:t>N/A</w:t>
            </w:r>
          </w:p>
        </w:tc>
      </w:tr>
      <w:tr w:rsidR="0036254C" w:rsidRPr="0036254C" w14:paraId="042D2552"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6861A9B3" w14:textId="77777777" w:rsidR="0036254C" w:rsidRDefault="0036254C">
            <w:r>
              <w:lastRenderedPageBreak/>
              <w:t>Provide all other grades and definitions from the recommendation grading system</w:t>
            </w:r>
          </w:p>
        </w:tc>
        <w:tc>
          <w:tcPr>
            <w:tcW w:w="6863" w:type="dxa"/>
            <w:tcBorders>
              <w:top w:val="single" w:sz="4" w:space="0" w:color="auto"/>
              <w:left w:val="single" w:sz="4" w:space="0" w:color="auto"/>
              <w:bottom w:val="single" w:sz="4" w:space="0" w:color="auto"/>
              <w:right w:val="single" w:sz="4" w:space="0" w:color="auto"/>
            </w:tcBorders>
            <w:hideMark/>
          </w:tcPr>
          <w:p w14:paraId="05B82341" w14:textId="3F721F43" w:rsidR="0036254C" w:rsidRDefault="005D755E">
            <w:r>
              <w:t>N/A</w:t>
            </w:r>
          </w:p>
        </w:tc>
      </w:tr>
      <w:tr w:rsidR="0036254C" w:rsidRPr="0036254C" w14:paraId="04754AC3"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52FD70D0" w14:textId="77777777" w:rsidR="0036254C" w:rsidRDefault="0036254C">
            <w:r>
              <w:t>Body of evidence:</w:t>
            </w:r>
          </w:p>
          <w:p w14:paraId="5FDDB3FA" w14:textId="77777777" w:rsidR="0036254C" w:rsidRDefault="0036254C" w:rsidP="00E70109">
            <w:r>
              <w:t>Quantity – how many studies?</w:t>
            </w:r>
          </w:p>
          <w:p w14:paraId="574E648C" w14:textId="77777777" w:rsidR="0036254C" w:rsidRDefault="0036254C" w:rsidP="00E70109">
            <w:r>
              <w:t>Quality – what type of studies?</w:t>
            </w:r>
          </w:p>
        </w:tc>
        <w:tc>
          <w:tcPr>
            <w:tcW w:w="6863" w:type="dxa"/>
            <w:tcBorders>
              <w:top w:val="single" w:sz="4" w:space="0" w:color="auto"/>
              <w:left w:val="single" w:sz="4" w:space="0" w:color="auto"/>
              <w:bottom w:val="single" w:sz="4" w:space="0" w:color="auto"/>
              <w:right w:val="single" w:sz="4" w:space="0" w:color="auto"/>
            </w:tcBorders>
            <w:hideMark/>
          </w:tcPr>
          <w:p w14:paraId="757429D2" w14:textId="37FD82F1" w:rsidR="0036254C" w:rsidRDefault="0036254C">
            <w:r>
              <w:t xml:space="preserve">The evidence from the methadone meta-analysis derives from a search of databases from 2001 to 2008. </w:t>
            </w:r>
            <w:r w:rsidR="005D755E">
              <w:t>11</w:t>
            </w:r>
            <w:r>
              <w:t xml:space="preserve"> studies were included in the Cochrane Review.</w:t>
            </w:r>
            <w:r>
              <w:rPr>
                <w:b/>
              </w:rPr>
              <w:t xml:space="preserve"> </w:t>
            </w:r>
            <w:r>
              <w:t>The quality of the evidence varied from high to moderate. The results from the 11 randomized trials all showed statistically significant positive benefits from methadone treatment, despite small sample sizes. All the studies were randomized clinical trials, and two were double-blind.</w:t>
            </w:r>
          </w:p>
        </w:tc>
      </w:tr>
      <w:tr w:rsidR="0036254C" w:rsidRPr="0036254C" w14:paraId="4A1C9643"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22C1DCDB" w14:textId="77777777" w:rsidR="0036254C" w:rsidRDefault="0036254C">
            <w:r>
              <w:t xml:space="preserve">Estimates of benefit and consistency across studies </w:t>
            </w:r>
          </w:p>
        </w:tc>
        <w:tc>
          <w:tcPr>
            <w:tcW w:w="6863" w:type="dxa"/>
            <w:tcBorders>
              <w:top w:val="single" w:sz="4" w:space="0" w:color="auto"/>
              <w:left w:val="single" w:sz="4" w:space="0" w:color="auto"/>
              <w:bottom w:val="single" w:sz="4" w:space="0" w:color="auto"/>
              <w:right w:val="single" w:sz="4" w:space="0" w:color="auto"/>
            </w:tcBorders>
            <w:hideMark/>
          </w:tcPr>
          <w:p w14:paraId="02427203" w14:textId="77777777" w:rsidR="0036254C" w:rsidRDefault="0036254C">
            <w:pPr>
              <w:pStyle w:val="NoSpacing"/>
            </w:pPr>
            <w:r>
              <w:t>Methadone treatment appeared to be statistically signiﬁcantly more effective than nonpharmacological approaches in retaining patients in treatment and reducing opioid use as measured by self-report and urine/hair analysis (six RCTs, RR 0.66, 95 percent CI 0.56 to 0.78), but not statistically different in reducing criminal activity (three RCTs, RR 0.39, 95 percent CI 0.12 to 1.25) or mortality (four RCTs, RR 0.48, 95 percent CI 0.10 to 2.39).</w:t>
            </w:r>
          </w:p>
        </w:tc>
      </w:tr>
      <w:tr w:rsidR="0036254C" w:rsidRPr="0036254C" w14:paraId="0B4A9E25"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45BD5285" w14:textId="77777777" w:rsidR="0036254C" w:rsidRDefault="0036254C">
            <w:r>
              <w:t>What harms were identified?</w:t>
            </w:r>
          </w:p>
        </w:tc>
        <w:tc>
          <w:tcPr>
            <w:tcW w:w="6863" w:type="dxa"/>
            <w:tcBorders>
              <w:top w:val="single" w:sz="4" w:space="0" w:color="auto"/>
              <w:left w:val="single" w:sz="4" w:space="0" w:color="auto"/>
              <w:bottom w:val="single" w:sz="4" w:space="0" w:color="auto"/>
              <w:right w:val="single" w:sz="4" w:space="0" w:color="auto"/>
            </w:tcBorders>
            <w:hideMark/>
          </w:tcPr>
          <w:p w14:paraId="0B13A26B" w14:textId="77777777" w:rsidR="0036254C" w:rsidRDefault="0036254C">
            <w:r>
              <w:t>Given that none of the negative effects described above were statistically significant differences, this study did not identify any harms.</w:t>
            </w:r>
          </w:p>
        </w:tc>
      </w:tr>
      <w:tr w:rsidR="0036254C" w:rsidRPr="0036254C" w14:paraId="4273486D"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48A1988E" w14:textId="77777777" w:rsidR="0036254C" w:rsidRDefault="0036254C">
            <w:r>
              <w:t>Identify any new studies conducted since the SR. Do the new studies change the conclusions from the SR?</w:t>
            </w:r>
          </w:p>
        </w:tc>
        <w:tc>
          <w:tcPr>
            <w:tcW w:w="6863" w:type="dxa"/>
            <w:tcBorders>
              <w:top w:val="single" w:sz="4" w:space="0" w:color="auto"/>
              <w:left w:val="single" w:sz="4" w:space="0" w:color="auto"/>
              <w:bottom w:val="single" w:sz="4" w:space="0" w:color="auto"/>
              <w:right w:val="single" w:sz="4" w:space="0" w:color="auto"/>
            </w:tcBorders>
            <w:hideMark/>
          </w:tcPr>
          <w:p w14:paraId="7A665261" w14:textId="77777777" w:rsidR="0036254C" w:rsidRDefault="0036254C">
            <w:r>
              <w:t>See systematic reviews 4, 2, and 1, which support these recommendations.</w:t>
            </w:r>
          </w:p>
        </w:tc>
      </w:tr>
    </w:tbl>
    <w:p w14:paraId="5BAE5ABB" w14:textId="77777777" w:rsidR="0036254C" w:rsidRDefault="0036254C" w:rsidP="0036254C">
      <w:pPr>
        <w:rPr>
          <w:rFonts w:asciiTheme="minorHAnsi" w:hAnsiTheme="minorHAnsi" w:cstheme="minorBidi"/>
        </w:rPr>
      </w:pPr>
    </w:p>
    <w:tbl>
      <w:tblPr>
        <w:tblStyle w:val="TableGrid0"/>
        <w:tblW w:w="0" w:type="auto"/>
        <w:tblInd w:w="0" w:type="dxa"/>
        <w:tblLook w:val="04A0" w:firstRow="1" w:lastRow="0" w:firstColumn="1" w:lastColumn="0" w:noHBand="0" w:noVBand="1"/>
      </w:tblPr>
      <w:tblGrid>
        <w:gridCol w:w="2335"/>
        <w:gridCol w:w="6863"/>
      </w:tblGrid>
      <w:tr w:rsidR="0036254C" w:rsidRPr="0036254C" w14:paraId="1A34A56C"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4ADBAFAB" w14:textId="77777777" w:rsidR="0036254C" w:rsidRDefault="0036254C">
            <w:pPr>
              <w:rPr>
                <w:b/>
              </w:rPr>
            </w:pPr>
            <w:r>
              <w:rPr>
                <w:b/>
              </w:rPr>
              <w:t>Source of Systematic Review 6:</w:t>
            </w:r>
          </w:p>
          <w:p w14:paraId="68EF1700" w14:textId="77777777" w:rsidR="0036254C" w:rsidRDefault="0036254C" w:rsidP="0036254C">
            <w:pPr>
              <w:numPr>
                <w:ilvl w:val="0"/>
                <w:numId w:val="7"/>
              </w:numPr>
              <w:rPr>
                <w:b/>
              </w:rPr>
            </w:pPr>
            <w:r>
              <w:rPr>
                <w:b/>
              </w:rPr>
              <w:t>Title</w:t>
            </w:r>
          </w:p>
          <w:p w14:paraId="375239B6" w14:textId="77777777" w:rsidR="0036254C" w:rsidRDefault="0036254C" w:rsidP="0036254C">
            <w:pPr>
              <w:numPr>
                <w:ilvl w:val="0"/>
                <w:numId w:val="7"/>
              </w:numPr>
              <w:rPr>
                <w:b/>
              </w:rPr>
            </w:pPr>
            <w:r>
              <w:rPr>
                <w:b/>
              </w:rPr>
              <w:t>Author</w:t>
            </w:r>
          </w:p>
          <w:p w14:paraId="687CC55E" w14:textId="77777777" w:rsidR="0036254C" w:rsidRDefault="0036254C" w:rsidP="0036254C">
            <w:pPr>
              <w:numPr>
                <w:ilvl w:val="0"/>
                <w:numId w:val="7"/>
              </w:numPr>
              <w:rPr>
                <w:b/>
              </w:rPr>
            </w:pPr>
            <w:r>
              <w:rPr>
                <w:b/>
              </w:rPr>
              <w:t>Date</w:t>
            </w:r>
          </w:p>
          <w:p w14:paraId="15ACA794" w14:textId="77777777" w:rsidR="0036254C" w:rsidRDefault="0036254C" w:rsidP="0036254C">
            <w:pPr>
              <w:numPr>
                <w:ilvl w:val="0"/>
                <w:numId w:val="7"/>
              </w:numPr>
              <w:rPr>
                <w:b/>
              </w:rPr>
            </w:pPr>
            <w:r>
              <w:rPr>
                <w:b/>
              </w:rPr>
              <w:t>Citation, including page number</w:t>
            </w:r>
          </w:p>
          <w:p w14:paraId="1BA598FB" w14:textId="77777777" w:rsidR="0036254C" w:rsidRDefault="0036254C" w:rsidP="0036254C">
            <w:pPr>
              <w:numPr>
                <w:ilvl w:val="0"/>
                <w:numId w:val="7"/>
              </w:numPr>
              <w:rPr>
                <w:b/>
              </w:rPr>
            </w:pPr>
            <w:r>
              <w:rPr>
                <w:b/>
              </w:rPr>
              <w:t>URL</w:t>
            </w:r>
          </w:p>
        </w:tc>
        <w:tc>
          <w:tcPr>
            <w:tcW w:w="6863" w:type="dxa"/>
            <w:tcBorders>
              <w:top w:val="single" w:sz="4" w:space="0" w:color="auto"/>
              <w:left w:val="single" w:sz="4" w:space="0" w:color="auto"/>
              <w:bottom w:val="single" w:sz="4" w:space="0" w:color="auto"/>
              <w:right w:val="single" w:sz="4" w:space="0" w:color="auto"/>
            </w:tcBorders>
            <w:hideMark/>
          </w:tcPr>
          <w:p w14:paraId="565DC0F7" w14:textId="77777777" w:rsidR="0036254C" w:rsidRDefault="0036254C" w:rsidP="005D755E">
            <w:r>
              <w:rPr>
                <w:b/>
              </w:rPr>
              <w:t>Title:</w:t>
            </w:r>
            <w:r>
              <w:t xml:space="preserve"> Medication-Assisted Treatment for Opioid Addiction in Opioid Treatment Programs. Treatment Improvement Protocol (TIP) Series 43</w:t>
            </w:r>
          </w:p>
          <w:p w14:paraId="65C0AB48" w14:textId="56121532" w:rsidR="0036254C" w:rsidRDefault="0036254C" w:rsidP="002E7226">
            <w:r>
              <w:rPr>
                <w:b/>
              </w:rPr>
              <w:t>Author:</w:t>
            </w:r>
            <w:r>
              <w:t xml:space="preserve"> Center for Substance Abuse Treatment</w:t>
            </w:r>
          </w:p>
          <w:p w14:paraId="2B77C40C" w14:textId="77777777" w:rsidR="0036254C" w:rsidRDefault="0036254C" w:rsidP="002E7226">
            <w:r>
              <w:rPr>
                <w:b/>
              </w:rPr>
              <w:t>Date:</w:t>
            </w:r>
            <w:r>
              <w:t xml:space="preserve"> 2005</w:t>
            </w:r>
          </w:p>
          <w:p w14:paraId="2CA8C080" w14:textId="77777777" w:rsidR="0036254C" w:rsidRDefault="0036254C" w:rsidP="002E7226">
            <w:r>
              <w:rPr>
                <w:b/>
              </w:rPr>
              <w:t>Citation:</w:t>
            </w:r>
            <w:r>
              <w:t xml:space="preserve"> Center for Substance Abuse Treatment (2005). </w:t>
            </w:r>
            <w:r>
              <w:rPr>
                <w:i/>
              </w:rPr>
              <w:t>Medication-Assisted Treatment for Opioid Addiction in Opioid Treatment Programs. Treatment Improvement Protocol (TIP) Series 43</w:t>
            </w:r>
            <w:r>
              <w:t>. HHS Publication No. (SMA) 12-4214. Rockville, MD: Substance Abuse and Mental Health Services Administration. Page xvii.</w:t>
            </w:r>
          </w:p>
          <w:p w14:paraId="60EDB48E" w14:textId="77777777" w:rsidR="0036254C" w:rsidRDefault="0036254C" w:rsidP="002E7226">
            <w:r>
              <w:rPr>
                <w:b/>
              </w:rPr>
              <w:t>URL:</w:t>
            </w:r>
            <w:r>
              <w:t xml:space="preserve"> https://www.ncbi.nlm.nih.gov/books-/NBK64164/pdf/Bookshelf_NBK64164.pdf</w:t>
            </w:r>
          </w:p>
        </w:tc>
      </w:tr>
      <w:tr w:rsidR="0036254C" w:rsidRPr="0036254C" w14:paraId="7691C54F"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70BAE10B" w14:textId="77777777" w:rsidR="0036254C" w:rsidRDefault="0036254C">
            <w:r>
              <w:t>Quote the guideline or recommendation verbatim about the process, structure or intermediate outcome being measured. If not a guideline, summarize the conclusions from the SR.</w:t>
            </w:r>
          </w:p>
        </w:tc>
        <w:tc>
          <w:tcPr>
            <w:tcW w:w="6863" w:type="dxa"/>
            <w:tcBorders>
              <w:top w:val="single" w:sz="4" w:space="0" w:color="auto"/>
              <w:left w:val="single" w:sz="4" w:space="0" w:color="auto"/>
              <w:bottom w:val="single" w:sz="4" w:space="0" w:color="auto"/>
              <w:right w:val="single" w:sz="4" w:space="0" w:color="auto"/>
            </w:tcBorders>
            <w:hideMark/>
          </w:tcPr>
          <w:p w14:paraId="4C5867C5" w14:textId="77777777" w:rsidR="0036254C" w:rsidRDefault="0036254C">
            <w:r>
              <w:t>p. xvii of executive summary, “Research supports the perspective that opioid addiction is a medical disorder that can be treated effectively with medications when they are administered under conditions consistent with their pharmacological efficacy and when treatment includes necessary supportive services such as psychosocial counseling, treatment for co-occurring disorders, medical services, and vocational rehabilitation.”</w:t>
            </w:r>
          </w:p>
        </w:tc>
      </w:tr>
      <w:tr w:rsidR="0036254C" w:rsidRPr="0036254C" w14:paraId="609FE195"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514B523F" w14:textId="77777777" w:rsidR="0036254C" w:rsidRDefault="0036254C">
            <w:r>
              <w:lastRenderedPageBreak/>
              <w:t xml:space="preserve">Grade assigned to the </w:t>
            </w:r>
            <w:r>
              <w:rPr>
                <w:b/>
              </w:rPr>
              <w:t>evidence</w:t>
            </w:r>
            <w:r>
              <w:t xml:space="preserve"> associated with the recommendation with the definition of the grade</w:t>
            </w:r>
          </w:p>
        </w:tc>
        <w:tc>
          <w:tcPr>
            <w:tcW w:w="6863" w:type="dxa"/>
            <w:tcBorders>
              <w:top w:val="single" w:sz="4" w:space="0" w:color="auto"/>
              <w:left w:val="single" w:sz="4" w:space="0" w:color="auto"/>
              <w:bottom w:val="single" w:sz="4" w:space="0" w:color="auto"/>
              <w:right w:val="single" w:sz="4" w:space="0" w:color="auto"/>
            </w:tcBorders>
            <w:hideMark/>
          </w:tcPr>
          <w:p w14:paraId="519F201D" w14:textId="77777777" w:rsidR="0036254C" w:rsidRDefault="0036254C">
            <w:r>
              <w:t>Not Applicable. The guidelines cited above do not provide grades (e.g., USPSTF grades A, B, etc.).</w:t>
            </w:r>
          </w:p>
        </w:tc>
      </w:tr>
      <w:tr w:rsidR="0036254C" w:rsidRPr="0036254C" w14:paraId="184AF0A4"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709E044B" w14:textId="77777777" w:rsidR="0036254C" w:rsidRDefault="0036254C">
            <w:r>
              <w:t>Provide all other grades and definitions from the evidence grading system</w:t>
            </w:r>
          </w:p>
        </w:tc>
        <w:tc>
          <w:tcPr>
            <w:tcW w:w="6863" w:type="dxa"/>
            <w:tcBorders>
              <w:top w:val="single" w:sz="4" w:space="0" w:color="auto"/>
              <w:left w:val="single" w:sz="4" w:space="0" w:color="auto"/>
              <w:bottom w:val="single" w:sz="4" w:space="0" w:color="auto"/>
              <w:right w:val="single" w:sz="4" w:space="0" w:color="auto"/>
            </w:tcBorders>
            <w:hideMark/>
          </w:tcPr>
          <w:p w14:paraId="7917920D" w14:textId="77777777" w:rsidR="0036254C" w:rsidRDefault="0036254C">
            <w:r>
              <w:t>A consensus panel of experts developed the SAMHSA Treatment Improvement Protocols (CSAT TIP 43). A team of external field reviewers then reviewed and commented on the guideline recommendations.</w:t>
            </w:r>
          </w:p>
        </w:tc>
      </w:tr>
      <w:tr w:rsidR="0036254C" w:rsidRPr="0036254C" w14:paraId="49F75CDE"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0DFE770F" w14:textId="77777777" w:rsidR="0036254C" w:rsidRDefault="0036254C">
            <w:r>
              <w:t xml:space="preserve">Grade assigned to the </w:t>
            </w:r>
            <w:r>
              <w:rPr>
                <w:b/>
              </w:rPr>
              <w:t>recommendation</w:t>
            </w:r>
            <w:r>
              <w:t xml:space="preserve"> with definition of the grade</w:t>
            </w:r>
          </w:p>
        </w:tc>
        <w:tc>
          <w:tcPr>
            <w:tcW w:w="6863" w:type="dxa"/>
            <w:tcBorders>
              <w:top w:val="single" w:sz="4" w:space="0" w:color="auto"/>
              <w:left w:val="single" w:sz="4" w:space="0" w:color="auto"/>
              <w:bottom w:val="single" w:sz="4" w:space="0" w:color="auto"/>
              <w:right w:val="single" w:sz="4" w:space="0" w:color="auto"/>
            </w:tcBorders>
            <w:hideMark/>
          </w:tcPr>
          <w:p w14:paraId="762A25C1" w14:textId="77777777" w:rsidR="0036254C" w:rsidRDefault="0036254C">
            <w:r>
              <w:t>Not Applicable. The guidelines cited above do not provide grades (e.g., USPSTF grades A, B, etc.).</w:t>
            </w:r>
          </w:p>
        </w:tc>
      </w:tr>
      <w:tr w:rsidR="0036254C" w:rsidRPr="0036254C" w14:paraId="1928DEDC"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31B27EF3" w14:textId="77777777" w:rsidR="0036254C" w:rsidRDefault="0036254C">
            <w:r>
              <w:t>Provide all other grades and definitions from the recommendation grading system</w:t>
            </w:r>
          </w:p>
        </w:tc>
        <w:tc>
          <w:tcPr>
            <w:tcW w:w="6863" w:type="dxa"/>
            <w:tcBorders>
              <w:top w:val="single" w:sz="4" w:space="0" w:color="auto"/>
              <w:left w:val="single" w:sz="4" w:space="0" w:color="auto"/>
              <w:bottom w:val="single" w:sz="4" w:space="0" w:color="auto"/>
              <w:right w:val="single" w:sz="4" w:space="0" w:color="auto"/>
            </w:tcBorders>
            <w:hideMark/>
          </w:tcPr>
          <w:p w14:paraId="27BD0300" w14:textId="77777777" w:rsidR="0036254C" w:rsidRDefault="0036254C">
            <w:r>
              <w:t>A consensus panel of experts developed the SAMHSA Treatment Improvement Protocols (CSAT TIP 43). A team of external field reviewers then reviewed and commented on the guideline recommendations.</w:t>
            </w:r>
          </w:p>
        </w:tc>
      </w:tr>
      <w:tr w:rsidR="0036254C" w:rsidRPr="0036254C" w14:paraId="22641681"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4FFA58D1" w14:textId="77777777" w:rsidR="0036254C" w:rsidRDefault="0036254C">
            <w:r>
              <w:t>Body of evidence:</w:t>
            </w:r>
          </w:p>
          <w:p w14:paraId="522E1AEC" w14:textId="77777777" w:rsidR="0036254C" w:rsidRDefault="0036254C" w:rsidP="0036254C">
            <w:pPr>
              <w:numPr>
                <w:ilvl w:val="0"/>
                <w:numId w:val="8"/>
              </w:numPr>
            </w:pPr>
            <w:r>
              <w:t>Quantity – how many studies?</w:t>
            </w:r>
          </w:p>
          <w:p w14:paraId="4DCBB723" w14:textId="77777777" w:rsidR="0036254C" w:rsidRDefault="0036254C" w:rsidP="0036254C">
            <w:pPr>
              <w:numPr>
                <w:ilvl w:val="0"/>
                <w:numId w:val="8"/>
              </w:numPr>
            </w:pPr>
            <w:r>
              <w:t>Quality – what type of studies?</w:t>
            </w:r>
          </w:p>
        </w:tc>
        <w:tc>
          <w:tcPr>
            <w:tcW w:w="6863" w:type="dxa"/>
            <w:tcBorders>
              <w:top w:val="single" w:sz="4" w:space="0" w:color="auto"/>
              <w:left w:val="single" w:sz="4" w:space="0" w:color="auto"/>
              <w:bottom w:val="single" w:sz="4" w:space="0" w:color="auto"/>
              <w:right w:val="single" w:sz="4" w:space="0" w:color="auto"/>
            </w:tcBorders>
            <w:hideMark/>
          </w:tcPr>
          <w:p w14:paraId="1B3D86AB" w14:textId="77777777" w:rsidR="0036254C" w:rsidRDefault="0036254C">
            <w:r>
              <w:t>The number of studies referenced in support of the guidelines was 608.  The quality of the evidence selected indicates that included studies were considered to be of high quality by an expert panel.</w:t>
            </w:r>
          </w:p>
        </w:tc>
      </w:tr>
      <w:tr w:rsidR="0036254C" w:rsidRPr="0036254C" w14:paraId="2438070B"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74C0182B" w14:textId="77777777" w:rsidR="0036254C" w:rsidRDefault="0036254C">
            <w:r>
              <w:t xml:space="preserve">Estimates of benefit and consistency across studies </w:t>
            </w:r>
          </w:p>
        </w:tc>
        <w:tc>
          <w:tcPr>
            <w:tcW w:w="6863" w:type="dxa"/>
            <w:tcBorders>
              <w:top w:val="single" w:sz="4" w:space="0" w:color="auto"/>
              <w:left w:val="single" w:sz="4" w:space="0" w:color="auto"/>
              <w:bottom w:val="single" w:sz="4" w:space="0" w:color="auto"/>
              <w:right w:val="single" w:sz="4" w:space="0" w:color="auto"/>
            </w:tcBorders>
          </w:tcPr>
          <w:p w14:paraId="38A73429" w14:textId="770D90B5" w:rsidR="0036254C" w:rsidRDefault="0036254C">
            <w:r>
              <w:t xml:space="preserve">Methadone maintenance is safe and effective, especially when used with psychosocial services </w:t>
            </w:r>
            <w:r>
              <w:fldChar w:fldCharType="begin"/>
            </w:r>
            <w:r>
              <w:instrText xml:space="preserve"> ADDIN EN.CITE &lt;EndNote&gt;&lt;Cite&gt;&lt;Author&gt;O&amp;apos;Connor&lt;/Author&gt;&lt;Year&gt;2000&lt;/Year&gt;&lt;RecNum&gt;261&lt;/RecNum&gt;&lt;DisplayText&gt;(O&amp;apos;Connor &amp;amp; Fiellin, 2000)&lt;/DisplayText&gt;&lt;record&gt;&lt;rec-number&gt;261&lt;/rec-number&gt;&lt;foreign-keys&gt;&lt;key app="EN" db-id="5wxraezd9pev2pe5ervx2rfh5dv0ss52tf2z" timestamp="1486067051"&gt;261&lt;/key&gt;&lt;/foreign-keys&gt;&lt;ref-type name="Journal Article"&gt;17&lt;/ref-type&gt;&lt;contributors&gt;&lt;authors&gt;&lt;author&gt;O&amp;apos;Connor, P. G.&lt;/author&gt;&lt;author&gt;Fiellin, D. A.&lt;/author&gt;&lt;/authors&gt;&lt;/contributors&gt;&lt;auth-address&gt;Yale University School of Medicine and Yale-New Haven Hospital Primary Care Center, New Haven, Connecticut 06520, USA.&lt;/auth-address&gt;&lt;titles&gt;&lt;title&gt;Pharmacologic treatment of heroin-dependent patients&lt;/title&gt;&lt;secondary-title&gt;Ann Intern Med&lt;/secondary-title&gt;&lt;/titles&gt;&lt;periodical&gt;&lt;full-title&gt;Ann Intern Med&lt;/full-title&gt;&lt;/periodical&gt;&lt;pages&gt;40-54&lt;/pages&gt;&lt;volume&gt;133&lt;/volume&gt;&lt;number&gt;1&lt;/number&gt;&lt;keywords&gt;&lt;keyword&gt;Analgesics, Opioid/therapeutic use&lt;/keyword&gt;&lt;keyword&gt;Buprenorphine/therapeutic use&lt;/keyword&gt;&lt;keyword&gt;Counseling&lt;/keyword&gt;&lt;keyword&gt;Heroin Dependence/*drug therapy/psychology/*rehabilitation&lt;/keyword&gt;&lt;keyword&gt;Humans&lt;/keyword&gt;&lt;keyword&gt;Mental Disorders/complications&lt;/keyword&gt;&lt;keyword&gt;Methadone/therapeutic use&lt;/keyword&gt;&lt;keyword&gt;Methadyl Acetate/analogs &amp;amp; derivatives/therapeutic use&lt;/keyword&gt;&lt;keyword&gt;Naltrexone/therapeutic use&lt;/keyword&gt;&lt;keyword&gt;Narcotic Antagonists/therapeutic use&lt;/keyword&gt;&lt;keyword&gt;Physician&amp;apos;s Role&lt;/keyword&gt;&lt;keyword&gt;Substance Withdrawal Syndrome/diagnosis/therapy&lt;/keyword&gt;&lt;/keywords&gt;&lt;dates&gt;&lt;year&gt;2000&lt;/year&gt;&lt;pub-dates&gt;&lt;date&gt;Jul 04&lt;/date&gt;&lt;/pub-dates&gt;&lt;/dates&gt;&lt;isbn&gt;0003-4819 (Print)&amp;#xD;0003-4819 (Linking)&lt;/isbn&gt;&lt;accession-num&gt;10877739&lt;/accession-num&gt;&lt;urls&gt;&lt;related-urls&gt;&lt;url&gt;http://www.ncbi.nlm.nih.gov/pubmed/10877739&lt;/url&gt;&lt;/related-urls&gt;&lt;/urls&gt;&lt;/record&gt;&lt;/Cite&gt;&lt;/EndNote&gt;</w:instrText>
            </w:r>
            <w:r>
              <w:fldChar w:fldCharType="separate"/>
            </w:r>
            <w:r>
              <w:t>(O'Connor &amp; Fiellin, 2000)</w:t>
            </w:r>
            <w:r>
              <w:fldChar w:fldCharType="end"/>
            </w:r>
            <w:r>
              <w:t xml:space="preserve">. Maintenance treatment typically leads to reduction or cessation of illicit opioid use. A meta-analysis of 11 studies of the effectiveness of methadone  </w:t>
            </w:r>
            <w:r>
              <w:fldChar w:fldCharType="begin"/>
            </w:r>
            <w:r>
              <w:instrText xml:space="preserve"> ADDIN EN.CITE &lt;EndNote&gt;&lt;Cite&gt;&lt;Author&gt;Mattick&lt;/Author&gt;&lt;Year&gt;2003&lt;/Year&gt;&lt;RecNum&gt;262&lt;/RecNum&gt;&lt;DisplayText&gt;(R.P. Mattick, Breen, Kimber, &amp;amp; Davoli, 2003)&lt;/DisplayText&gt;&lt;record&gt;&lt;rec-number&gt;262&lt;/rec-number&gt;&lt;foreign-keys&gt;&lt;key app="EN" db-id="5wxraezd9pev2pe5ervx2rfh5dv0ss52tf2z" timestamp="1486067235"&gt;262&lt;/key&gt;&lt;/foreign-keys&gt;&lt;ref-type name="Journal Article"&gt;17&lt;/ref-type&gt;&lt;contributors&gt;&lt;authors&gt;&lt;author&gt;Mattick, R.P.&lt;/author&gt;&lt;author&gt; Breen, C.&lt;/author&gt;&lt;author&gt; Kimber, J. &lt;/author&gt;&lt;author&gt;Davoli, M.&lt;/author&gt;&lt;/authors&gt;&lt;/contributors&gt;&lt;titles&gt;&lt;title&gt;Methadone maintenance therapy versus no opioid replacement therapy for opioid dependence (Cochrane Review)&lt;/title&gt;&lt;secondary-title&gt;Cochrane Database Systems Review 2003(2):CD00209.&amp;#xD;&lt;/secondary-title&gt;&lt;/titles&gt;&lt;dates&gt;&lt;year&gt;2003&lt;/year&gt;&lt;/dates&gt;&lt;urls&gt;&lt;/urls&gt;&lt;/record&gt;&lt;/Cite&gt;&lt;/EndNote&gt;</w:instrText>
            </w:r>
            <w:r>
              <w:fldChar w:fldCharType="separate"/>
            </w:r>
            <w:r>
              <w:rPr>
                <w:noProof/>
              </w:rPr>
              <w:t>(R.P. Mattick, Breen, Kimber, &amp; Davoli, 2003)</w:t>
            </w:r>
            <w:r>
              <w:fldChar w:fldCharType="end"/>
            </w:r>
            <w:r>
              <w:t xml:space="preserve"> found that methadone was more effective than nonpharmacological treatment in retaining clients and reducing their opioid use.</w:t>
            </w:r>
          </w:p>
          <w:p w14:paraId="7B8EB68B" w14:textId="26E44A25" w:rsidR="0036254C" w:rsidRDefault="0036254C">
            <w:r>
              <w:t xml:space="preserve">Clinical trials have demonstrated the primary efficacy of buprenorphine in patient retention as well as in the elimination of or reduction in opioid use </w:t>
            </w:r>
            <w:r>
              <w:fldChar w:fldCharType="begin">
                <w:fldData xml:space="preserve">PEVuZE5vdGU+PENpdGU+PEF1dGhvcj5GdWRhbGE8L0F1dGhvcj48WWVhcj4yMDAzPC9ZZWFyPjxS
ZWNOdW0+MjUzPC9SZWNOdW0+PERpc3BsYXlUZXh0PihGdWRhbGEgZXQgYWwuLCAyMDAzOyBKb2hu
c29uLCBTdHJhaW4sICZhbXA7IEFtYXNzLCAyMDAzKTwvRGlzcGxheVRleHQ+PHJlY29yZD48cmVj
LW51bWJlcj4yNTM8L3JlYy1udW1iZXI+PGZvcmVpZ24ta2V5cz48a2V5IGFwcD0iRU4iIGRiLWlk
PSI1d3hyYWV6ZDlwZXYycGU1ZXJ2eDJyZmg1ZHYwc3M1MnRmMnoiIHRpbWVzdGFtcD0iMTQ4NTgw
NTk3NiI+MjUzPC9rZXk+PC9mb3JlaWduLWtleXM+PHJlZi10eXBlIG5hbWU9IkpvdXJuYWwgQXJ0
aWNsZSI+MTc8L3JlZi10eXBlPjxjb250cmlidXRvcnM+PGF1dGhvcnM+PGF1dGhvcj5GdWRhbGEs
IFAuIEouPC9hdXRob3I+PGF1dGhvcj5CcmlkZ2UsIFQuIFAuPC9hdXRob3I+PGF1dGhvcj5IZXJi
ZXJ0LCBTLjwvYXV0aG9yPjxhdXRob3I+V2lsbGlmb3JkLCBXLiBPLjwvYXV0aG9yPjxhdXRob3I+
Q2hpYW5nLCBDLiBOLjwvYXV0aG9yPjxhdXRob3I+Sm9uZXMsIEsuPC9hdXRob3I+PGF1dGhvcj5D
b2xsaW5zLCBKLjwvYXV0aG9yPjxhdXRob3I+UmFpc2NoLCBELjwvYXV0aG9yPjxhdXRob3I+Q2Fz
YWRvbnRlLCBQLjwvYXV0aG9yPjxhdXRob3I+R29sZHNtaXRoLCBSLiBKLjwvYXV0aG9yPjxhdXRo
b3I+TGluZywgVy48L2F1dGhvcj48YXV0aG9yPk1hbGtlcm5la2VyLCBVLjwvYXV0aG9yPjxhdXRo
b3I+TWNOaWNob2xhcywgTC48L2F1dGhvcj48YXV0aG9yPlJlbm5lciwgSi48L2F1dGhvcj48YXV0
aG9yPlN0aW5lLCBTLjwvYXV0aG9yPjxhdXRob3I+VHVzZWwsIEQuPC9hdXRob3I+PGF1dGhvcj5C
dXByZW5vcnBoaW5lL05hbG94b25lIENvbGxhYm9yYXRpdmUgU3R1ZHksIEdyb3VwPC9hdXRob3I+
PC9hdXRob3JzPjwvY29udHJpYnV0b3JzPjxhdXRoLWFkZHJlc3M+VmV0ZXJhbnMgQWZmYWlycyAo
VkEpIE1lZGljYWwgQ2VudGVyLCBVbml2ZXJzaXR5IG9mIFBlbm5zeWx2YW5pYSBTY2hvb2wgb2Yg
TWVkaWNpbmUsIFBoaWxhZGVscGhpYSwgVVNBLjwvYXV0aC1hZGRyZXNzPjx0aXRsZXM+PHRpdGxl
Pk9mZmljZS1iYXNlZCB0cmVhdG1lbnQgb2Ygb3BpYXRlIGFkZGljdGlvbiB3aXRoIGEgc3VibGlu
Z3VhbC10YWJsZXQgZm9ybXVsYXRpb24gb2YgYnVwcmVub3JwaGluZSBhbmQgbmFsb3hvbmU8L3Rp
dGxlPjxzZWNvbmRhcnktdGl0bGU+TiBFbmdsIEogTWVkPC9zZWNvbmRhcnktdGl0bGU+PC90aXRs
ZXM+PHBlcmlvZGljYWw+PGZ1bGwtdGl0bGU+TiBFbmdsIEogTWVkPC9mdWxsLXRpdGxlPjwvcGVy
aW9kaWNhbD48cGFnZXM+OTQ5LTU4PC9wYWdlcz48dm9sdW1lPjM0OTwvdm9sdW1lPjxudW1iZXI+
MTA8L251bWJlcj48a2V5d29yZHM+PGtleXdvcmQ+QWRtaW5pc3RyYXRpb24sIFN1Ymxpbmd1YWw8
L2tleXdvcmQ+PGtleXdvcmQ+QWR1bHQ8L2tleXdvcmQ+PGtleXdvcmQ+KkFtYnVsYXRvcnkgQ2Fy
ZTwva2V5d29yZD48a2V5d29yZD5CdXByZW5vcnBoaW5lLyp0aGVyYXBldXRpYyB1c2U8L2tleXdv
cmQ+PGtleXdvcmQ+RG91YmxlLUJsaW5kIE1ldGhvZDwva2V5d29yZD48a2V5d29yZD5EcnVnIFRo
ZXJhcHksIENvbWJpbmF0aW9uPC9rZXl3b3JkPjxrZXl3b3JkPkZlbWFsZTwva2V5d29yZD48a2V5
d29yZD5IdW1hbnM8L2tleXdvcmQ+PGtleXdvcmQ+TWFsZTwva2V5d29yZD48a2V5d29yZD5NaWRk
bGUgQWdlZDwva2V5d29yZD48a2V5d29yZD5OYWxveG9uZS8qdGhlcmFwZXV0aWMgdXNlPC9rZXl3
b3JkPjxrZXl3b3JkPk5hcmNvdGljIEFudGFnb25pc3RzLyp0aGVyYXBldXRpYyB1c2U8L2tleXdv
cmQ+PGtleXdvcmQ+TmFyY290aWNzL3VyaW5lPC9rZXl3b3JkPjxrZXl3b3JkPk9mZmljZSBWaXNp
dHM8L2tleXdvcmQ+PGtleXdvcmQ+T3Bpb2lkLVJlbGF0ZWQgRGlzb3JkZXJzLypkcnVnIHRoZXJh
cHk8L2tleXdvcmQ+PGtleXdvcmQ+VHJlYXRtZW50IE91dGNvbWU8L2tleXdvcmQ+PC9rZXl3b3Jk
cz48ZGF0ZXM+PHllYXI+MjAwMzwveWVhcj48cHViLWRhdGVzPjxkYXRlPlNlcCAwNDwvZGF0ZT48
L3B1Yi1kYXRlcz48L2RhdGVzPjxpc2JuPjE1MzMtNDQwNiAoRWxlY3Ryb25pYykmI3hEOzAwMjgt
NDc5MyAoTGlua2luZyk8L2lzYm4+PGFjY2Vzc2lvbi1udW0+MTI5NTQ3NDM8L2FjY2Vzc2lvbi1u
dW0+PHVybHM+PHJlbGF0ZWQtdXJscz48dXJsPmh0dHA6Ly93d3cubmNiaS5ubG0ubmloLmdvdi9w
dWJtZWQvMTI5NTQ3NDM8L3VybD48L3JlbGF0ZWQtdXJscz48L3VybHM+PGVsZWN0cm9uaWMtcmVz
b3VyY2UtbnVtPjEwLjEwNTYvTkVKTW9hMDIyMTY0PC9lbGVjdHJvbmljLXJlc291cmNlLW51bT48
L3JlY29yZD48L0NpdGU+PENpdGU+PEF1dGhvcj5Kb2huc29uPC9BdXRob3I+PFllYXI+MjAwMzwv
WWVhcj48UmVjTnVtPjI2MzwvUmVjTnVtPjxyZWNvcmQ+PHJlYy1udW1iZXI+MjYzPC9yZWMtbnVt
YmVyPjxmb3JlaWduLWtleXM+PGtleSBhcHA9IkVOIiBkYi1pZD0iNXd4cmFlemQ5cGV2MnBlNWVy
dngycmZoNWR2MHNzNTJ0ZjJ6IiB0aW1lc3RhbXA9IjE0ODYwNjk5NTMiPjI2Mzwva2V5PjwvZm9y
ZWlnbi1rZXlzPjxyZWYtdHlwZSBuYW1lPSJKb3VybmFsIEFydGljbGUiPjE3PC9yZWYtdHlwZT48
Y29udHJpYnV0b3JzPjxhdXRob3JzPjxhdXRob3I+Sm9obnNvbiwgUi4gRS48L2F1dGhvcj48YXV0
aG9yPlN0cmFpbiwgRS4gQy48L2F1dGhvcj48YXV0aG9yPkFtYXNzLCBMLjwvYXV0aG9yPjwvYXV0
aG9ycz48L2NvbnRyaWJ1dG9ycz48YXV0aC1hZGRyZXNzPkRlcGFydG1lbnQgb2YgUHN5Y2hpYXRy
eSBhbmQgQmVoYXZpb3JhbCBTY2llbmNlcywgSm9obnMgSG9wa2lucyBVbml2ZXJzaXR5IFNjaG9v
bCBvZiBNZWRpY2luZSwgNTUxMCBOYXRoYW4gU2hvY2sgRHJpdmUsIEJhbHRpbW9yZSwgTUQgMjEy
MjQsIFVTQS4gZWQuam9obnNvbkByZWNraXR0YmVuY2tpc2VyLmNvbTwvYXV0aC1hZGRyZXNzPjx0
aXRsZXM+PHRpdGxlPkJ1cHJlbm9ycGhpbmU6IGhvdyB0byB1c2UgaXQgcmlnaHQ8L3RpdGxlPjxz
ZWNvbmRhcnktdGl0bGU+RHJ1ZyBBbGNvaG9sIERlcGVuZDwvc2Vjb25kYXJ5LXRpdGxlPjwvdGl0
bGVzPjxwZXJpb2RpY2FsPjxmdWxsLXRpdGxlPkRydWcgQWxjb2hvbCBEZXBlbmQ8L2Z1bGwtdGl0
bGU+PC9wZXJpb2RpY2FsPjxwYWdlcz5TNTktNzc8L3BhZ2VzPjx2b2x1bWU+NzA8L3ZvbHVtZT48
bnVtYmVyPjIgU3VwcGw8L251bWJlcj48a2V5d29yZHM+PGtleXdvcmQ+QnVwcmVub3JwaGluZS8q
YWRtaW5pc3RyYXRpb24gJmFtcDsgZG9zYWdlL2FkdmVyc2UgZWZmZWN0cy9waGFybWFjb2tpbmV0
aWNzPC9rZXl3b3JkPjxrZXl3b3JkPkNsaW5pY2FsIFRyaWFscyBhcyBUb3BpYy9tZXRob2RzPC9r
ZXl3b3JkPjxrZXl3b3JkPkRvc2FnZSBGb3Jtczwva2V5d29yZD48a2V5d29yZD5EcnVnIEFkbWlu
aXN0cmF0aW9uIFJvdXRlczwva2V5d29yZD48a2V5d29yZD5EcnVnIENvbWJpbmF0aW9uczwva2V5
d29yZD48a2V5d29yZD5IdW1hbnM8L2tleXdvcmQ+PGtleXdvcmQ+TmFyY290aWMgQW50YWdvbmlz
dHMvKmFkbWluaXN0cmF0aW9uICZhbXA7IGRvc2FnZS9hZHZlcnNlIGVmZmVjdHMvcGhhcm1hY29r
aW5ldGljczwva2V5d29yZD48a2V5d29yZD5PcGlvaWQtUmVsYXRlZCBEaXNvcmRlcnMvZHJ1ZyB0
aGVyYXB5L21ldGFib2xpc208L2tleXdvcmQ+PC9rZXl3b3Jkcz48ZGF0ZXM+PHllYXI+MjAwMzwv
eWVhcj48cHViLWRhdGVzPjxkYXRlPk1heSAyMTwvZGF0ZT48L3B1Yi1kYXRlcz48L2RhdGVzPjxp
c2JuPjE4NzktMDA0NiAoRWxlY3Ryb25pYykmI3hEOzAzNzYtODcxNiAoTGlua2luZyk8L2lzYm4+
PGFjY2Vzc2lvbi1udW0+MTI3MzgzNTE8L2FjY2Vzc2lvbi1udW0+PHVybHM+PHJlbGF0ZWQtdXJs
cz48dXJsPmh0dHA6Ly93d3cubmNiaS5ubG0ubmloLmdvdi9wdWJtZWQvMTI3MzgzNTE8L3VybD48
L3JlbGF0ZWQtdXJscz48L3VybHM+PC9yZWNvcmQ+PC9DaXRlPjwvRW5kTm90ZT5=
</w:fldData>
              </w:fldChar>
            </w:r>
            <w:r>
              <w:instrText xml:space="preserve"> ADDIN EN.CITE </w:instrText>
            </w:r>
            <w:r>
              <w:fldChar w:fldCharType="begin">
                <w:fldData xml:space="preserve">PEVuZE5vdGU+PENpdGU+PEF1dGhvcj5GdWRhbGE8L0F1dGhvcj48WWVhcj4yMDAzPC9ZZWFyPjxS
ZWNOdW0+MjUzPC9SZWNOdW0+PERpc3BsYXlUZXh0PihGdWRhbGEgZXQgYWwuLCAyMDAzOyBKb2hu
c29uLCBTdHJhaW4sICZhbXA7IEFtYXNzLCAyMDAzKTwvRGlzcGxheVRleHQ+PHJlY29yZD48cmVj
LW51bWJlcj4yNTM8L3JlYy1udW1iZXI+PGZvcmVpZ24ta2V5cz48a2V5IGFwcD0iRU4iIGRiLWlk
PSI1d3hyYWV6ZDlwZXYycGU1ZXJ2eDJyZmg1ZHYwc3M1MnRmMnoiIHRpbWVzdGFtcD0iMTQ4NTgw
NTk3NiI+MjUzPC9rZXk+PC9mb3JlaWduLWtleXM+PHJlZi10eXBlIG5hbWU9IkpvdXJuYWwgQXJ0
aWNsZSI+MTc8L3JlZi10eXBlPjxjb250cmlidXRvcnM+PGF1dGhvcnM+PGF1dGhvcj5GdWRhbGEs
IFAuIEouPC9hdXRob3I+PGF1dGhvcj5CcmlkZ2UsIFQuIFAuPC9hdXRob3I+PGF1dGhvcj5IZXJi
ZXJ0LCBTLjwvYXV0aG9yPjxhdXRob3I+V2lsbGlmb3JkLCBXLiBPLjwvYXV0aG9yPjxhdXRob3I+
Q2hpYW5nLCBDLiBOLjwvYXV0aG9yPjxhdXRob3I+Sm9uZXMsIEsuPC9hdXRob3I+PGF1dGhvcj5D
b2xsaW5zLCBKLjwvYXV0aG9yPjxhdXRob3I+UmFpc2NoLCBELjwvYXV0aG9yPjxhdXRob3I+Q2Fz
YWRvbnRlLCBQLjwvYXV0aG9yPjxhdXRob3I+R29sZHNtaXRoLCBSLiBKLjwvYXV0aG9yPjxhdXRo
b3I+TGluZywgVy48L2F1dGhvcj48YXV0aG9yPk1hbGtlcm5la2VyLCBVLjwvYXV0aG9yPjxhdXRo
b3I+TWNOaWNob2xhcywgTC48L2F1dGhvcj48YXV0aG9yPlJlbm5lciwgSi48L2F1dGhvcj48YXV0
aG9yPlN0aW5lLCBTLjwvYXV0aG9yPjxhdXRob3I+VHVzZWwsIEQuPC9hdXRob3I+PGF1dGhvcj5C
dXByZW5vcnBoaW5lL05hbG94b25lIENvbGxhYm9yYXRpdmUgU3R1ZHksIEdyb3VwPC9hdXRob3I+
PC9hdXRob3JzPjwvY29udHJpYnV0b3JzPjxhdXRoLWFkZHJlc3M+VmV0ZXJhbnMgQWZmYWlycyAo
VkEpIE1lZGljYWwgQ2VudGVyLCBVbml2ZXJzaXR5IG9mIFBlbm5zeWx2YW5pYSBTY2hvb2wgb2Yg
TWVkaWNpbmUsIFBoaWxhZGVscGhpYSwgVVNBLjwvYXV0aC1hZGRyZXNzPjx0aXRsZXM+PHRpdGxl
Pk9mZmljZS1iYXNlZCB0cmVhdG1lbnQgb2Ygb3BpYXRlIGFkZGljdGlvbiB3aXRoIGEgc3VibGlu
Z3VhbC10YWJsZXQgZm9ybXVsYXRpb24gb2YgYnVwcmVub3JwaGluZSBhbmQgbmFsb3hvbmU8L3Rp
dGxlPjxzZWNvbmRhcnktdGl0bGU+TiBFbmdsIEogTWVkPC9zZWNvbmRhcnktdGl0bGU+PC90aXRs
ZXM+PHBlcmlvZGljYWw+PGZ1bGwtdGl0bGU+TiBFbmdsIEogTWVkPC9mdWxsLXRpdGxlPjwvcGVy
aW9kaWNhbD48cGFnZXM+OTQ5LTU4PC9wYWdlcz48dm9sdW1lPjM0OTwvdm9sdW1lPjxudW1iZXI+
MTA8L251bWJlcj48a2V5d29yZHM+PGtleXdvcmQ+QWRtaW5pc3RyYXRpb24sIFN1Ymxpbmd1YWw8
L2tleXdvcmQ+PGtleXdvcmQ+QWR1bHQ8L2tleXdvcmQ+PGtleXdvcmQ+KkFtYnVsYXRvcnkgQ2Fy
ZTwva2V5d29yZD48a2V5d29yZD5CdXByZW5vcnBoaW5lLyp0aGVyYXBldXRpYyB1c2U8L2tleXdv
cmQ+PGtleXdvcmQ+RG91YmxlLUJsaW5kIE1ldGhvZDwva2V5d29yZD48a2V5d29yZD5EcnVnIFRo
ZXJhcHksIENvbWJpbmF0aW9uPC9rZXl3b3JkPjxrZXl3b3JkPkZlbWFsZTwva2V5d29yZD48a2V5
d29yZD5IdW1hbnM8L2tleXdvcmQ+PGtleXdvcmQ+TWFsZTwva2V5d29yZD48a2V5d29yZD5NaWRk
bGUgQWdlZDwva2V5d29yZD48a2V5d29yZD5OYWxveG9uZS8qdGhlcmFwZXV0aWMgdXNlPC9rZXl3
b3JkPjxrZXl3b3JkPk5hcmNvdGljIEFudGFnb25pc3RzLyp0aGVyYXBldXRpYyB1c2U8L2tleXdv
cmQ+PGtleXdvcmQ+TmFyY290aWNzL3VyaW5lPC9rZXl3b3JkPjxrZXl3b3JkPk9mZmljZSBWaXNp
dHM8L2tleXdvcmQ+PGtleXdvcmQ+T3Bpb2lkLVJlbGF0ZWQgRGlzb3JkZXJzLypkcnVnIHRoZXJh
cHk8L2tleXdvcmQ+PGtleXdvcmQ+VHJlYXRtZW50IE91dGNvbWU8L2tleXdvcmQ+PC9rZXl3b3Jk
cz48ZGF0ZXM+PHllYXI+MjAwMzwveWVhcj48cHViLWRhdGVzPjxkYXRlPlNlcCAwNDwvZGF0ZT48
L3B1Yi1kYXRlcz48L2RhdGVzPjxpc2JuPjE1MzMtNDQwNiAoRWxlY3Ryb25pYykmI3hEOzAwMjgt
NDc5MyAoTGlua2luZyk8L2lzYm4+PGFjY2Vzc2lvbi1udW0+MTI5NTQ3NDM8L2FjY2Vzc2lvbi1u
dW0+PHVybHM+PHJlbGF0ZWQtdXJscz48dXJsPmh0dHA6Ly93d3cubmNiaS5ubG0ubmloLmdvdi9w
dWJtZWQvMTI5NTQ3NDM8L3VybD48L3JlbGF0ZWQtdXJscz48L3VybHM+PGVsZWN0cm9uaWMtcmVz
b3VyY2UtbnVtPjEwLjEwNTYvTkVKTW9hMDIyMTY0PC9lbGVjdHJvbmljLXJlc291cmNlLW51bT48
L3JlY29yZD48L0NpdGU+PENpdGU+PEF1dGhvcj5Kb2huc29uPC9BdXRob3I+PFllYXI+MjAwMzwv
WWVhcj48UmVjTnVtPjI2MzwvUmVjTnVtPjxyZWNvcmQ+PHJlYy1udW1iZXI+MjYzPC9yZWMtbnVt
YmVyPjxmb3JlaWduLWtleXM+PGtleSBhcHA9IkVOIiBkYi1pZD0iNXd4cmFlemQ5cGV2MnBlNWVy
dngycmZoNWR2MHNzNTJ0ZjJ6IiB0aW1lc3RhbXA9IjE0ODYwNjk5NTMiPjI2Mzwva2V5PjwvZm9y
ZWlnbi1rZXlzPjxyZWYtdHlwZSBuYW1lPSJKb3VybmFsIEFydGljbGUiPjE3PC9yZWYtdHlwZT48
Y29udHJpYnV0b3JzPjxhdXRob3JzPjxhdXRob3I+Sm9obnNvbiwgUi4gRS48L2F1dGhvcj48YXV0
aG9yPlN0cmFpbiwgRS4gQy48L2F1dGhvcj48YXV0aG9yPkFtYXNzLCBMLjwvYXV0aG9yPjwvYXV0
aG9ycz48L2NvbnRyaWJ1dG9ycz48YXV0aC1hZGRyZXNzPkRlcGFydG1lbnQgb2YgUHN5Y2hpYXRy
eSBhbmQgQmVoYXZpb3JhbCBTY2llbmNlcywgSm9obnMgSG9wa2lucyBVbml2ZXJzaXR5IFNjaG9v
bCBvZiBNZWRpY2luZSwgNTUxMCBOYXRoYW4gU2hvY2sgRHJpdmUsIEJhbHRpbW9yZSwgTUQgMjEy
MjQsIFVTQS4gZWQuam9obnNvbkByZWNraXR0YmVuY2tpc2VyLmNvbTwvYXV0aC1hZGRyZXNzPjx0
aXRsZXM+PHRpdGxlPkJ1cHJlbm9ycGhpbmU6IGhvdyB0byB1c2UgaXQgcmlnaHQ8L3RpdGxlPjxz
ZWNvbmRhcnktdGl0bGU+RHJ1ZyBBbGNvaG9sIERlcGVuZDwvc2Vjb25kYXJ5LXRpdGxlPjwvdGl0
bGVzPjxwZXJpb2RpY2FsPjxmdWxsLXRpdGxlPkRydWcgQWxjb2hvbCBEZXBlbmQ8L2Z1bGwtdGl0
bGU+PC9wZXJpb2RpY2FsPjxwYWdlcz5TNTktNzc8L3BhZ2VzPjx2b2x1bWU+NzA8L3ZvbHVtZT48
bnVtYmVyPjIgU3VwcGw8L251bWJlcj48a2V5d29yZHM+PGtleXdvcmQ+QnVwcmVub3JwaGluZS8q
YWRtaW5pc3RyYXRpb24gJmFtcDsgZG9zYWdlL2FkdmVyc2UgZWZmZWN0cy9waGFybWFjb2tpbmV0
aWNzPC9rZXl3b3JkPjxrZXl3b3JkPkNsaW5pY2FsIFRyaWFscyBhcyBUb3BpYy9tZXRob2RzPC9r
ZXl3b3JkPjxrZXl3b3JkPkRvc2FnZSBGb3Jtczwva2V5d29yZD48a2V5d29yZD5EcnVnIEFkbWlu
aXN0cmF0aW9uIFJvdXRlczwva2V5d29yZD48a2V5d29yZD5EcnVnIENvbWJpbmF0aW9uczwva2V5
d29yZD48a2V5d29yZD5IdW1hbnM8L2tleXdvcmQ+PGtleXdvcmQ+TmFyY290aWMgQW50YWdvbmlz
dHMvKmFkbWluaXN0cmF0aW9uICZhbXA7IGRvc2FnZS9hZHZlcnNlIGVmZmVjdHMvcGhhcm1hY29r
aW5ldGljczwva2V5d29yZD48a2V5d29yZD5PcGlvaWQtUmVsYXRlZCBEaXNvcmRlcnMvZHJ1ZyB0
aGVyYXB5L21ldGFib2xpc208L2tleXdvcmQ+PC9rZXl3b3Jkcz48ZGF0ZXM+PHllYXI+MjAwMzwv
eWVhcj48cHViLWRhdGVzPjxkYXRlPk1heSAyMTwvZGF0ZT48L3B1Yi1kYXRlcz48L2RhdGVzPjxp
c2JuPjE4NzktMDA0NiAoRWxlY3Ryb25pYykmI3hEOzAzNzYtODcxNiAoTGlua2luZyk8L2lzYm4+
PGFjY2Vzc2lvbi1udW0+MTI3MzgzNTE8L2FjY2Vzc2lvbi1udW0+PHVybHM+PHJlbGF0ZWQtdXJs
cz48dXJsPmh0dHA6Ly93d3cubmNiaS5ubG0ubmloLmdvdi9wdWJtZWQvMTI3MzgzNTE8L3VybD48
L3JlbGF0ZWQtdXJscz48L3VybHM+PC9yZWNvcmQ+PC9DaXRlPjwvRW5kTm90ZT5=
</w:fldData>
              </w:fldChar>
            </w:r>
            <w:r>
              <w:instrText xml:space="preserve"> ADDIN EN.CITE.DATA </w:instrText>
            </w:r>
            <w:r>
              <w:fldChar w:fldCharType="end"/>
            </w:r>
            <w:r>
              <w:fldChar w:fldCharType="separate"/>
            </w:r>
            <w:r>
              <w:t>(Fudala et al., 2003; Johnson, Strain, &amp; Amass, 2003)</w:t>
            </w:r>
            <w:r>
              <w:fldChar w:fldCharType="end"/>
            </w:r>
            <w:r>
              <w:t xml:space="preserve">. Several studies evaluating the efficacy of buprenorphine for maintenance treatment lasting up to one year found that daily doses of 8 mg of sublingual solution or 8 to 16 mg of the buprenorphine tablet are safe and well tolerated. Most studies comparing buprenorphine and methadone have shown that 8 mg of sublingual buprenorphine or 16 mg of the tablet per day is equivalent to approximately 60 mg of oral methadone per day </w:t>
            </w:r>
            <w:r>
              <w:fldChar w:fldCharType="begin"/>
            </w:r>
            <w:r>
              <w:instrText xml:space="preserve"> ADDIN EN.CITE &lt;EndNote&gt;&lt;Cite&gt;&lt;Author&gt;Johnson&lt;/Author&gt;&lt;Year&gt;2003&lt;/Year&gt;&lt;RecNum&gt;263&lt;/RecNum&gt;&lt;DisplayText&gt;(Johnson et al., 2003)&lt;/DisplayText&gt;&lt;record&gt;&lt;rec-number&gt;263&lt;/rec-number&gt;&lt;foreign-keys&gt;&lt;key app="EN" db-id="5wxraezd9pev2pe5ervx2rfh5dv0ss52tf2z" timestamp="1486069953"&gt;263&lt;/key&gt;&lt;/foreign-keys&gt;&lt;ref-type name="Journal Article"&gt;17&lt;/ref-type&gt;&lt;contributors&gt;&lt;authors&gt;&lt;author&gt;Johnson, R. E.&lt;/author&gt;&lt;author&gt;Strain, E. C.&lt;/author&gt;&lt;author&gt;Amass, L.&lt;/author&gt;&lt;/authors&gt;&lt;/contributors&gt;&lt;auth-address&gt;Department of Psychiatry and Behavioral Sciences, Johns Hopkins University School of Medicine, 5510 Nathan Shock Drive, Baltimore, MD 21224, USA. ed.johnson@reckittbenckiser.com&lt;/auth-address&gt;&lt;titles&gt;&lt;title&gt;Buprenorphine: how to use it right&lt;/title&gt;&lt;secondary-title&gt;Drug Alcohol Depend&lt;/secondary-title&gt;&lt;/titles&gt;&lt;periodical&gt;&lt;full-title&gt;Drug Alcohol Depend&lt;/full-title&gt;&lt;/periodical&gt;&lt;pages&gt;S59-77&lt;/pages&gt;&lt;volume&gt;70&lt;/volume&gt;&lt;number&gt;2 Suppl&lt;/number&gt;&lt;keywords&gt;&lt;keyword&gt;Buprenorphine/*administration &amp;amp; dosage/adverse effects/pharmacokinetics&lt;/keyword&gt;&lt;keyword&gt;Clinical Trials as Topic/methods&lt;/keyword&gt;&lt;keyword&gt;Dosage Forms&lt;/keyword&gt;&lt;keyword&gt;Drug Administration Routes&lt;/keyword&gt;&lt;keyword&gt;Drug Combinations&lt;/keyword&gt;&lt;keyword&gt;Humans&lt;/keyword&gt;&lt;keyword&gt;Narcotic Antagonists/*administration &amp;amp; dosage/adverse effects/pharmacokinetics&lt;/keyword&gt;&lt;keyword&gt;Opioid-Related Disorders/drug therapy/metabolism&lt;/keyword&gt;&lt;/keywords&gt;&lt;dates&gt;&lt;year&gt;2003&lt;/year&gt;&lt;pub-dates&gt;&lt;date&gt;May 21&lt;/date&gt;&lt;/pub-dates&gt;&lt;/dates&gt;&lt;isbn&gt;1879-0046 (Electronic)&amp;#xD;0376-8716 (Linking)&lt;/isbn&gt;&lt;accession-num&gt;12738351&lt;/accession-num&gt;&lt;urls&gt;&lt;related-urls&gt;&lt;url&gt;http://www.ncbi.nlm.nih.gov/pubmed/12738351&lt;/url&gt;&lt;/related-urls&gt;&lt;/urls&gt;&lt;/record&gt;&lt;/Cite&gt;&lt;/EndNote&gt;</w:instrText>
            </w:r>
            <w:r>
              <w:fldChar w:fldCharType="separate"/>
            </w:r>
            <w:r>
              <w:t>(Johnson et al., 2003)</w:t>
            </w:r>
            <w:r>
              <w:fldChar w:fldCharType="end"/>
            </w:r>
            <w:r>
              <w:t>.</w:t>
            </w:r>
          </w:p>
          <w:p w14:paraId="2CFDEB48" w14:textId="77777777" w:rsidR="0036254C" w:rsidRDefault="0036254C">
            <w:r>
              <w:t xml:space="preserve">Naltrexone is effective in preventing relapse when used as directed; however, high rates of dropout have been reported. One study </w:t>
            </w:r>
            <w:r>
              <w:fldChar w:fldCharType="begin"/>
            </w:r>
            <w:r>
              <w:instrText xml:space="preserve"> ADDIN EN.CITE &lt;EndNote&gt;&lt;Cite&gt;&lt;Author&gt;Rothenberg&lt;/Author&gt;&lt;Year&gt;2002&lt;/Year&gt;&lt;RecNum&gt;264&lt;/RecNum&gt;&lt;DisplayText&gt;(Rothenberg et al., 2002)&lt;/DisplayText&gt;&lt;record&gt;&lt;rec-number&gt;264&lt;/rec-number&gt;&lt;foreign-keys&gt;&lt;key app="EN" db-id="5wxraezd9pev2pe5ervx2rfh5dv0ss52tf2z" timestamp="1486070721"&gt;264&lt;/key&gt;&lt;/foreign-keys&gt;&lt;ref-type name="Journal Article"&gt;17&lt;/ref-type&gt;&lt;contributors&gt;&lt;authors&gt;&lt;author&gt;Rothenberg, J. L.&lt;/author&gt;&lt;author&gt;Sullivan, M. A.&lt;/author&gt;&lt;author&gt;Church, S. H.&lt;/author&gt;&lt;author&gt;Seracini, A.&lt;/author&gt;&lt;author&gt;Collins, E.&lt;/author&gt;&lt;author&gt;Kleber, H. D.&lt;/author&gt;&lt;author&gt;Nunes, E. V.&lt;/author&gt;&lt;/authors&gt;&lt;/contributors&gt;&lt;auth-address&gt;The New York State Psychiatric Institute, Division on Substance Abuse, Substance Treatment and Research Service, 1051 Riverside Drive, New York, NY 10032, USA. rothenb@pi.cpmc.columbia.edu&lt;/auth-address&gt;&lt;titles&gt;&lt;title&gt;Behavioral naltrexone therapy: an integrated treatment for opiate dependence&lt;/title&gt;&lt;secondary-title&gt;J Subst Abuse Treat&lt;/secondary-title&gt;&lt;/titles&gt;&lt;periodical&gt;&lt;full-title&gt;J Subst Abuse Treat&lt;/full-title&gt;&lt;abbr-1&gt;Journal of substance abuse treatment&lt;/abbr-1&gt;&lt;/periodical&gt;&lt;pages&gt;351-60&lt;/pages&gt;&lt;volume&gt;23&lt;/volume&gt;&lt;number&gt;4&lt;/number&gt;&lt;keywords&gt;&lt;keyword&gt;Adult&lt;/keyword&gt;&lt;keyword&gt;*Behavior Therapy&lt;/keyword&gt;&lt;keyword&gt;Combined Modality Therapy&lt;/keyword&gt;&lt;keyword&gt;Female&lt;/keyword&gt;&lt;keyword&gt;Humans&lt;/keyword&gt;&lt;keyword&gt;Male&lt;/keyword&gt;&lt;keyword&gt;Methadone/therapeutic use&lt;/keyword&gt;&lt;keyword&gt;Naltrexone/*therapeutic use&lt;/keyword&gt;&lt;keyword&gt;Narcotic Antagonists/*therapeutic use&lt;/keyword&gt;&lt;keyword&gt;Narcotics/therapeutic use&lt;/keyword&gt;&lt;keyword&gt;Opioid-Related Disorders/*drug therapy&lt;/keyword&gt;&lt;keyword&gt;Patient Compliance&lt;/keyword&gt;&lt;keyword&gt;Time Factors&lt;/keyword&gt;&lt;keyword&gt;Treatment Outcome&lt;/keyword&gt;&lt;/keywords&gt;&lt;dates&gt;&lt;year&gt;2002&lt;/year&gt;&lt;pub-dates&gt;&lt;date&gt;Dec&lt;/date&gt;&lt;/pub-dates&gt;&lt;/dates&gt;&lt;isbn&gt;0740-5472 (Print)&amp;#xD;0740-5472 (Linking)&lt;/isbn&gt;&lt;accession-num&gt;12495797&lt;/accession-num&gt;&lt;urls&gt;&lt;related-urls&gt;&lt;url&gt;http://www.ncbi.nlm.nih.gov/pubmed/12495797&lt;/url&gt;&lt;/related-urls&gt;&lt;/urls&gt;&lt;/record&gt;&lt;/Cite&gt;&lt;/EndNote&gt;</w:instrText>
            </w:r>
            <w:r>
              <w:fldChar w:fldCharType="separate"/>
            </w:r>
            <w:r>
              <w:t>(Rothenberg et al., 2002)</w:t>
            </w:r>
            <w:r>
              <w:fldChar w:fldCharType="end"/>
            </w:r>
            <w:r>
              <w:t xml:space="preserve"> found especially poor retention among clients who had received methadone before naltrexone treatment. Naltrexone, under certain conditions, has resulted in better treatment compliance, e.g., when clients were supported with the opportunity to earn vouchers </w:t>
            </w:r>
            <w:r>
              <w:lastRenderedPageBreak/>
              <w:t xml:space="preserve">for treatment compliance (i.e., for each naltrexone dose ingested)   </w:t>
            </w:r>
            <w:r>
              <w:fldChar w:fldCharType="begin"/>
            </w:r>
            <w:r>
              <w:instrText xml:space="preserve"> ADDIN EN.CITE &lt;EndNote&gt;&lt;Cite&gt;&lt;Author&gt;Preston&lt;/Author&gt;&lt;Year&gt;1999&lt;/Year&gt;&lt;RecNum&gt;265&lt;/RecNum&gt;&lt;DisplayText&gt;(Preston et al., 1999)&lt;/DisplayText&gt;&lt;record&gt;&lt;rec-number&gt;265&lt;/rec-number&gt;&lt;foreign-keys&gt;&lt;key app="EN" db-id="5wxraezd9pev2pe5ervx2rfh5dv0ss52tf2z" timestamp="1486070826"&gt;265&lt;/key&gt;&lt;/foreign-keys&gt;&lt;ref-type name="Journal Article"&gt;17&lt;/ref-type&gt;&lt;contributors&gt;&lt;authors&gt;&lt;author&gt;Preston, K. L.&lt;/author&gt;&lt;author&gt;Silverman, K.&lt;/author&gt;&lt;author&gt;Umbricht, A.&lt;/author&gt;&lt;author&gt;DeJesus, A.&lt;/author&gt;&lt;author&gt;Montoya, I. D.&lt;/author&gt;&lt;author&gt;Schuster, C. R.&lt;/author&gt;&lt;/authors&gt;&lt;/contributors&gt;&lt;auth-address&gt;NIDA Intramural Research Program, NIH Addiction Research Centre, Baltimore, MD 21224, USA.&lt;/auth-address&gt;&lt;titles&gt;&lt;title&gt;Improvement in naltrexone treatment compliance with contingency management&lt;/title&gt;&lt;secondary-title&gt;Drug Alcohol Depend&lt;/secondary-title&gt;&lt;/titles&gt;&lt;periodical&gt;&lt;full-title&gt;Drug Alcohol Depend&lt;/full-title&gt;&lt;/periodical&gt;&lt;pages&gt;127-35&lt;/pages&gt;&lt;volume&gt;54&lt;/volume&gt;&lt;number&gt;2&lt;/number&gt;&lt;keywords&gt;&lt;keyword&gt;Adult&lt;/keyword&gt;&lt;keyword&gt;Analysis of Variance&lt;/keyword&gt;&lt;keyword&gt;Behavior Therapy/*methods/standards&lt;/keyword&gt;&lt;keyword&gt;Chi-Square Distribution&lt;/keyword&gt;&lt;keyword&gt;Female&lt;/keyword&gt;&lt;keyword&gt;Heroin Dependence/psychology/*rehabilitation/urine&lt;/keyword&gt;&lt;keyword&gt;Humans&lt;/keyword&gt;&lt;keyword&gt;Male&lt;/keyword&gt;&lt;keyword&gt;Middle Aged&lt;/keyword&gt;&lt;keyword&gt;Naltrexone/*administration &amp;amp; dosage/adverse effects&lt;/keyword&gt;&lt;keyword&gt;Narcotic Antagonists/*administration &amp;amp; dosage/adverse effects&lt;/keyword&gt;&lt;keyword&gt;*Patient Compliance/psychology/statistics &amp;amp; numerical data&lt;/keyword&gt;&lt;keyword&gt;Prospective Studies&lt;/keyword&gt;&lt;keyword&gt;Substance Abuse Detection/statistics &amp;amp; numerical data&lt;/keyword&gt;&lt;keyword&gt;*Token Economy&lt;/keyword&gt;&lt;keyword&gt;Treatment Outcome&lt;/keyword&gt;&lt;/keywords&gt;&lt;dates&gt;&lt;year&gt;1999&lt;/year&gt;&lt;pub-dates&gt;&lt;date&gt;Apr 01&lt;/date&gt;&lt;/pub-dates&gt;&lt;/dates&gt;&lt;isbn&gt;0376-8716 (Print)&amp;#xD;0376-8716 (Linking)&lt;/isbn&gt;&lt;accession-num&gt;10217552&lt;/accession-num&gt;&lt;urls&gt;&lt;related-urls&gt;&lt;url&gt;http://www.ncbi.nlm.nih.gov/pubmed/10217552&lt;/url&gt;&lt;/related-urls&gt;&lt;/urls&gt;&lt;/record&gt;&lt;/Cite&gt;&lt;/EndNote&gt;</w:instrText>
            </w:r>
            <w:r>
              <w:fldChar w:fldCharType="separate"/>
            </w:r>
            <w:r>
              <w:t>(Preston et al., 1999)</w:t>
            </w:r>
            <w:r>
              <w:fldChar w:fldCharType="end"/>
            </w:r>
            <w:r>
              <w:t xml:space="preserve">. It should be noted, however, that </w:t>
            </w:r>
            <w:r>
              <w:rPr>
                <w:iCs/>
              </w:rPr>
              <w:t>CSAT TIP 43</w:t>
            </w:r>
            <w:r>
              <w:rPr>
                <w:b/>
                <w:i/>
              </w:rPr>
              <w:t xml:space="preserve"> </w:t>
            </w:r>
            <w:r>
              <w:t xml:space="preserve">predates approval of the long-acting naltrexone formulation for opioid use disorder and therefore does not address the effectiveness of the long-acting injectable preparation.  </w:t>
            </w:r>
          </w:p>
        </w:tc>
      </w:tr>
      <w:tr w:rsidR="0036254C" w:rsidRPr="0036254C" w14:paraId="6BE26D87"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1472FB54" w14:textId="77777777" w:rsidR="0036254C" w:rsidRDefault="0036254C">
            <w:r>
              <w:lastRenderedPageBreak/>
              <w:t>What harms were identified?</w:t>
            </w:r>
          </w:p>
        </w:tc>
        <w:tc>
          <w:tcPr>
            <w:tcW w:w="6863" w:type="dxa"/>
            <w:tcBorders>
              <w:top w:val="single" w:sz="4" w:space="0" w:color="auto"/>
              <w:left w:val="single" w:sz="4" w:space="0" w:color="auto"/>
              <w:bottom w:val="single" w:sz="4" w:space="0" w:color="auto"/>
              <w:right w:val="single" w:sz="4" w:space="0" w:color="auto"/>
            </w:tcBorders>
            <w:hideMark/>
          </w:tcPr>
          <w:p w14:paraId="1A208030" w14:textId="77777777" w:rsidR="0036254C" w:rsidRDefault="0036254C">
            <w:r>
              <w:t xml:space="preserve">A small number of clients (10 percent) using naltrexone may experience gastrointestinal side effects that may necessitate their stopping the medication. Most clients, however, experience only mild, transient stomach upset. Some other side effects may include anxiety, nervousness, insomnia, headache, joint or muscle pain, and tiredness </w:t>
            </w:r>
            <w:r>
              <w:fldChar w:fldCharType="begin"/>
            </w:r>
            <w:r>
              <w:instrText xml:space="preserve"> ADDIN EN.CITE &lt;EndNote&gt;&lt;Cite&gt;&lt;Author&gt;Center for Substance Abuse Treatment&lt;/Author&gt;&lt;Year&gt;2005&lt;/Year&gt;&lt;RecNum&gt;260&lt;/RecNum&gt;&lt;DisplayText&gt;(Center for Substance Abuse Treatment, 2005)&lt;/DisplayText&gt;&lt;record&gt;&lt;rec-number&gt;260&lt;/rec-number&gt;&lt;foreign-keys&gt;&lt;key app="EN" db-id="5wxraezd9pev2pe5ervx2rfh5dv0ss52tf2z" timestamp="1486065577"&gt;260&lt;/key&gt;&lt;/foreign-keys&gt;&lt;ref-type name="Report"&gt;27&lt;/ref-type&gt;&lt;contributors&gt;&lt;authors&gt;&lt;author&gt;Center for Substance Abuse Treatment,&lt;/author&gt;&lt;/authors&gt;&lt;/contributors&gt;&lt;titles&gt;&lt;title&gt;Medication-Assisted Treatment for Opioid Addiction in Opioid Treatment Programs. Treatment Improvement Protocol (TIP) Series 43&lt;/title&gt;&lt;/titles&gt;&lt;dates&gt;&lt;year&gt;2005&lt;/year&gt;&lt;/dates&gt;&lt;pub-location&gt;HHS Publication No. (SMA) 12-4214. Rockville, MD: Substance Abuse and Mental Health Services Administration&lt;/pub-location&gt;&lt;urls&gt;&lt;/urls&gt;&lt;/record&gt;&lt;/Cite&gt;&lt;/EndNote&gt;</w:instrText>
            </w:r>
            <w:r>
              <w:fldChar w:fldCharType="separate"/>
            </w:r>
            <w:r>
              <w:t>(Center for Substance Abuse Treatment, 2005)</w:t>
            </w:r>
            <w:r>
              <w:fldChar w:fldCharType="end"/>
            </w:r>
            <w:r>
              <w:t>.</w:t>
            </w:r>
          </w:p>
        </w:tc>
      </w:tr>
      <w:tr w:rsidR="0036254C" w:rsidRPr="0036254C" w14:paraId="7098EB5B"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6890C7CE" w14:textId="77777777" w:rsidR="0036254C" w:rsidRDefault="0036254C">
            <w:r>
              <w:t>Identify any new studies conducted since the SR. Do the new studies change the conclusions from the SR?</w:t>
            </w:r>
          </w:p>
        </w:tc>
        <w:tc>
          <w:tcPr>
            <w:tcW w:w="6863" w:type="dxa"/>
            <w:tcBorders>
              <w:top w:val="single" w:sz="4" w:space="0" w:color="auto"/>
              <w:left w:val="single" w:sz="4" w:space="0" w:color="auto"/>
              <w:bottom w:val="single" w:sz="4" w:space="0" w:color="auto"/>
              <w:right w:val="single" w:sz="4" w:space="0" w:color="auto"/>
            </w:tcBorders>
            <w:hideMark/>
          </w:tcPr>
          <w:p w14:paraId="154E1C1B" w14:textId="77777777" w:rsidR="0036254C" w:rsidRDefault="0036254C">
            <w:r>
              <w:t>See below systematic reviews 5, 4, 3, 2, and 1, which support these recommendations.</w:t>
            </w:r>
          </w:p>
        </w:tc>
      </w:tr>
    </w:tbl>
    <w:p w14:paraId="358A0110" w14:textId="77777777" w:rsidR="0036254C" w:rsidRDefault="0036254C" w:rsidP="0036254C">
      <w:pPr>
        <w:rPr>
          <w:rFonts w:asciiTheme="minorHAnsi" w:hAnsiTheme="minorHAnsi" w:cstheme="minorBidi"/>
        </w:rPr>
      </w:pPr>
    </w:p>
    <w:tbl>
      <w:tblPr>
        <w:tblStyle w:val="TableGrid0"/>
        <w:tblW w:w="0" w:type="auto"/>
        <w:tblInd w:w="0" w:type="dxa"/>
        <w:tblLook w:val="04A0" w:firstRow="1" w:lastRow="0" w:firstColumn="1" w:lastColumn="0" w:noHBand="0" w:noVBand="1"/>
      </w:tblPr>
      <w:tblGrid>
        <w:gridCol w:w="2335"/>
        <w:gridCol w:w="6863"/>
      </w:tblGrid>
      <w:tr w:rsidR="0036254C" w:rsidRPr="0036254C" w14:paraId="6F4FF2FF"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0A579829" w14:textId="77777777" w:rsidR="0036254C" w:rsidRDefault="0036254C">
            <w:pPr>
              <w:rPr>
                <w:b/>
              </w:rPr>
            </w:pPr>
            <w:bookmarkStart w:id="4" w:name="_Hlk498247137"/>
            <w:r>
              <w:rPr>
                <w:b/>
              </w:rPr>
              <w:t>Source of Systematic Review 7</w:t>
            </w:r>
          </w:p>
          <w:p w14:paraId="5D750C19" w14:textId="77777777" w:rsidR="0036254C" w:rsidRDefault="0036254C" w:rsidP="0036254C">
            <w:pPr>
              <w:numPr>
                <w:ilvl w:val="0"/>
                <w:numId w:val="7"/>
              </w:numPr>
              <w:rPr>
                <w:b/>
              </w:rPr>
            </w:pPr>
            <w:r>
              <w:rPr>
                <w:b/>
              </w:rPr>
              <w:t>Title</w:t>
            </w:r>
          </w:p>
          <w:p w14:paraId="6E5E058D" w14:textId="77777777" w:rsidR="0036254C" w:rsidRDefault="0036254C" w:rsidP="0036254C">
            <w:pPr>
              <w:numPr>
                <w:ilvl w:val="0"/>
                <w:numId w:val="7"/>
              </w:numPr>
              <w:rPr>
                <w:b/>
              </w:rPr>
            </w:pPr>
            <w:r>
              <w:rPr>
                <w:b/>
              </w:rPr>
              <w:t>Author</w:t>
            </w:r>
          </w:p>
          <w:p w14:paraId="2807F6B3" w14:textId="77777777" w:rsidR="0036254C" w:rsidRDefault="0036254C" w:rsidP="0036254C">
            <w:pPr>
              <w:numPr>
                <w:ilvl w:val="0"/>
                <w:numId w:val="7"/>
              </w:numPr>
              <w:rPr>
                <w:b/>
              </w:rPr>
            </w:pPr>
            <w:r>
              <w:rPr>
                <w:b/>
              </w:rPr>
              <w:t>Date</w:t>
            </w:r>
          </w:p>
          <w:p w14:paraId="548FE9E6" w14:textId="77777777" w:rsidR="0036254C" w:rsidRDefault="0036254C" w:rsidP="0036254C">
            <w:pPr>
              <w:numPr>
                <w:ilvl w:val="0"/>
                <w:numId w:val="7"/>
              </w:numPr>
              <w:rPr>
                <w:b/>
              </w:rPr>
            </w:pPr>
            <w:r>
              <w:rPr>
                <w:b/>
              </w:rPr>
              <w:t>Citation, including page number</w:t>
            </w:r>
          </w:p>
          <w:p w14:paraId="300CF13A" w14:textId="77777777" w:rsidR="0036254C" w:rsidRDefault="0036254C" w:rsidP="0036254C">
            <w:pPr>
              <w:numPr>
                <w:ilvl w:val="0"/>
                <w:numId w:val="7"/>
              </w:numPr>
              <w:rPr>
                <w:b/>
              </w:rPr>
            </w:pPr>
            <w:r>
              <w:rPr>
                <w:b/>
              </w:rPr>
              <w:t>URL</w:t>
            </w:r>
          </w:p>
        </w:tc>
        <w:tc>
          <w:tcPr>
            <w:tcW w:w="6863" w:type="dxa"/>
            <w:tcBorders>
              <w:top w:val="single" w:sz="4" w:space="0" w:color="auto"/>
              <w:left w:val="single" w:sz="4" w:space="0" w:color="auto"/>
              <w:bottom w:val="single" w:sz="4" w:space="0" w:color="auto"/>
              <w:right w:val="single" w:sz="4" w:space="0" w:color="auto"/>
            </w:tcBorders>
            <w:hideMark/>
          </w:tcPr>
          <w:p w14:paraId="7B8EFB49" w14:textId="77777777" w:rsidR="0036254C" w:rsidRDefault="0036254C">
            <w:pPr>
              <w:rPr>
                <w:b/>
              </w:rPr>
            </w:pPr>
            <w:r>
              <w:rPr>
                <w:b/>
              </w:rPr>
              <w:t>Source</w:t>
            </w:r>
          </w:p>
          <w:p w14:paraId="374B08B8" w14:textId="77777777" w:rsidR="0036254C" w:rsidRDefault="0036254C" w:rsidP="002E7226">
            <w:r>
              <w:rPr>
                <w:b/>
              </w:rPr>
              <w:t>Title:</w:t>
            </w:r>
            <w:r>
              <w:t xml:space="preserve"> Clinical guidelines for the use of buprenorphine in the treatment of opioid addiction. Treatment Improvement Protocol (TIP) Series 40</w:t>
            </w:r>
          </w:p>
          <w:p w14:paraId="549A5595" w14:textId="77777777" w:rsidR="0036254C" w:rsidRDefault="0036254C" w:rsidP="002E7226">
            <w:r>
              <w:rPr>
                <w:b/>
              </w:rPr>
              <w:t>Author:</w:t>
            </w:r>
            <w:r>
              <w:t xml:space="preserve"> Center for Substance Abuse Treatment</w:t>
            </w:r>
          </w:p>
          <w:p w14:paraId="3FD20DB2" w14:textId="77777777" w:rsidR="0036254C" w:rsidRDefault="0036254C" w:rsidP="002E7226">
            <w:r>
              <w:rPr>
                <w:b/>
              </w:rPr>
              <w:t>Date:</w:t>
            </w:r>
            <w:r>
              <w:t xml:space="preserve"> 2004</w:t>
            </w:r>
          </w:p>
          <w:p w14:paraId="786433F6" w14:textId="77777777" w:rsidR="0036254C" w:rsidRDefault="0036254C" w:rsidP="002E7226">
            <w:r>
              <w:rPr>
                <w:b/>
              </w:rPr>
              <w:t>Citation:</w:t>
            </w:r>
            <w:r>
              <w:t xml:space="preserve"> Center for Substance Abuse Treatment (2004). </w:t>
            </w:r>
            <w:r>
              <w:rPr>
                <w:i/>
              </w:rPr>
              <w:t>Clinical guidelines for the use of buprenorphine in the treatment of opioid addiction. Treatment Improvement Protocol (TIP) Series 40</w:t>
            </w:r>
            <w:r>
              <w:t>. DHHS Publication No. (SMA) 04-3939. Rockville, MD: Substance Abuse and Mental Health Services Administration. Page 50.</w:t>
            </w:r>
          </w:p>
          <w:p w14:paraId="372A5D74" w14:textId="77777777" w:rsidR="0036254C" w:rsidRDefault="0036254C" w:rsidP="002E7226">
            <w:pPr>
              <w:pStyle w:val="EndNoteBibliography"/>
              <w:numPr>
                <w:ilvl w:val="0"/>
                <w:numId w:val="0"/>
              </w:numPr>
              <w:rPr>
                <w:b/>
              </w:rPr>
            </w:pPr>
            <w:r>
              <w:rPr>
                <w:b/>
              </w:rPr>
              <w:t>URL:</w:t>
            </w:r>
            <w:r>
              <w:t xml:space="preserve"> </w:t>
            </w:r>
            <w:r>
              <w:rPr>
                <w:rFonts w:asciiTheme="minorHAnsi" w:hAnsiTheme="minorHAnsi" w:cstheme="minorBidi"/>
                <w:noProof w:val="0"/>
              </w:rPr>
              <w:t>https://www.ncbi.nlm.nih.gov/books-/NBK64245/pdf/BookshelfNBK6445.pdf</w:t>
            </w:r>
          </w:p>
        </w:tc>
      </w:tr>
      <w:tr w:rsidR="0036254C" w:rsidRPr="0036254C" w14:paraId="4DFCFB94"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692A01E4" w14:textId="77777777" w:rsidR="0036254C" w:rsidRDefault="0036254C">
            <w:r>
              <w:t>Quote the guideline or recommendation verbatim about the process, structure or intermediate outcome being measured. If not a guideline, summarize the conclusions from the SR.</w:t>
            </w:r>
          </w:p>
        </w:tc>
        <w:tc>
          <w:tcPr>
            <w:tcW w:w="6863" w:type="dxa"/>
            <w:tcBorders>
              <w:top w:val="single" w:sz="4" w:space="0" w:color="auto"/>
              <w:left w:val="single" w:sz="4" w:space="0" w:color="auto"/>
              <w:bottom w:val="single" w:sz="4" w:space="0" w:color="auto"/>
              <w:right w:val="single" w:sz="4" w:space="0" w:color="auto"/>
            </w:tcBorders>
            <w:hideMark/>
          </w:tcPr>
          <w:p w14:paraId="0B977F58" w14:textId="77777777" w:rsidR="0036254C" w:rsidRDefault="0036254C">
            <w:r>
              <w:t>p. 50, “The consensus panel recommends that the buprenorphine/naloxone combination be used for induction treatment (and for stabilization and maintenance) for most patients [with an OUD].”</w:t>
            </w:r>
          </w:p>
        </w:tc>
      </w:tr>
      <w:tr w:rsidR="0036254C" w:rsidRPr="0036254C" w14:paraId="52E3FE6D"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7D4C47D6" w14:textId="77777777" w:rsidR="0036254C" w:rsidRDefault="0036254C">
            <w:r>
              <w:t xml:space="preserve">Grade assigned to the </w:t>
            </w:r>
            <w:r>
              <w:rPr>
                <w:b/>
              </w:rPr>
              <w:t>evidence</w:t>
            </w:r>
            <w:r>
              <w:t xml:space="preserve"> associated with the recommendation with the definition of the grade</w:t>
            </w:r>
          </w:p>
        </w:tc>
        <w:tc>
          <w:tcPr>
            <w:tcW w:w="6863" w:type="dxa"/>
            <w:tcBorders>
              <w:top w:val="single" w:sz="4" w:space="0" w:color="auto"/>
              <w:left w:val="single" w:sz="4" w:space="0" w:color="auto"/>
              <w:bottom w:val="single" w:sz="4" w:space="0" w:color="auto"/>
              <w:right w:val="single" w:sz="4" w:space="0" w:color="auto"/>
            </w:tcBorders>
            <w:hideMark/>
          </w:tcPr>
          <w:p w14:paraId="726CCC3C" w14:textId="77777777" w:rsidR="0036254C" w:rsidRDefault="0036254C">
            <w:r>
              <w:t>Not Applicable. The guidelines cited above do not provide grades (e.g., USPSTF grades A, B, etc.).</w:t>
            </w:r>
          </w:p>
        </w:tc>
      </w:tr>
      <w:tr w:rsidR="0036254C" w:rsidRPr="0036254C" w14:paraId="4784DCDF"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0FA47358" w14:textId="77777777" w:rsidR="0036254C" w:rsidRDefault="0036254C">
            <w:r>
              <w:lastRenderedPageBreak/>
              <w:t>Provide all other grades and definitions from the evidence grading system</w:t>
            </w:r>
          </w:p>
        </w:tc>
        <w:tc>
          <w:tcPr>
            <w:tcW w:w="6863" w:type="dxa"/>
            <w:tcBorders>
              <w:top w:val="single" w:sz="4" w:space="0" w:color="auto"/>
              <w:left w:val="single" w:sz="4" w:space="0" w:color="auto"/>
              <w:bottom w:val="single" w:sz="4" w:space="0" w:color="auto"/>
              <w:right w:val="single" w:sz="4" w:space="0" w:color="auto"/>
            </w:tcBorders>
            <w:hideMark/>
          </w:tcPr>
          <w:p w14:paraId="32E99EFB" w14:textId="77777777" w:rsidR="0036254C" w:rsidRDefault="0036254C">
            <w:r>
              <w:t>A consensus panel of experts developed the SAMHSA Treatment Improvement Protocols (CSAT TIP 40). A team of external field reviewers then reviewed and commented on the guideline recommendations.</w:t>
            </w:r>
          </w:p>
        </w:tc>
      </w:tr>
      <w:tr w:rsidR="0036254C" w:rsidRPr="0036254C" w14:paraId="75CB9C4F"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4F1A411C" w14:textId="77777777" w:rsidR="0036254C" w:rsidRDefault="0036254C">
            <w:r>
              <w:t xml:space="preserve">Grade assigned to the </w:t>
            </w:r>
            <w:r>
              <w:rPr>
                <w:b/>
              </w:rPr>
              <w:t>recommendation</w:t>
            </w:r>
            <w:r>
              <w:t xml:space="preserve"> with definition of the grade</w:t>
            </w:r>
          </w:p>
        </w:tc>
        <w:tc>
          <w:tcPr>
            <w:tcW w:w="6863" w:type="dxa"/>
            <w:tcBorders>
              <w:top w:val="single" w:sz="4" w:space="0" w:color="auto"/>
              <w:left w:val="single" w:sz="4" w:space="0" w:color="auto"/>
              <w:bottom w:val="single" w:sz="4" w:space="0" w:color="auto"/>
              <w:right w:val="single" w:sz="4" w:space="0" w:color="auto"/>
            </w:tcBorders>
            <w:hideMark/>
          </w:tcPr>
          <w:p w14:paraId="3D40B0CE" w14:textId="77777777" w:rsidR="0036254C" w:rsidRDefault="0036254C">
            <w:r>
              <w:t>Not Applicable. The guidelines cited above do not provide grades (e.g., USPSTF grades A, B, etc.).</w:t>
            </w:r>
          </w:p>
        </w:tc>
      </w:tr>
      <w:tr w:rsidR="0036254C" w:rsidRPr="0036254C" w14:paraId="4158DD65"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1F387BDC" w14:textId="77777777" w:rsidR="0036254C" w:rsidRDefault="0036254C">
            <w:r>
              <w:t>Provide all other grades and definitions from the recommendation grading system</w:t>
            </w:r>
          </w:p>
        </w:tc>
        <w:tc>
          <w:tcPr>
            <w:tcW w:w="6863" w:type="dxa"/>
            <w:tcBorders>
              <w:top w:val="single" w:sz="4" w:space="0" w:color="auto"/>
              <w:left w:val="single" w:sz="4" w:space="0" w:color="auto"/>
              <w:bottom w:val="single" w:sz="4" w:space="0" w:color="auto"/>
              <w:right w:val="single" w:sz="4" w:space="0" w:color="auto"/>
            </w:tcBorders>
            <w:hideMark/>
          </w:tcPr>
          <w:p w14:paraId="54F475D2" w14:textId="77777777" w:rsidR="0036254C" w:rsidRDefault="0036254C">
            <w:r>
              <w:t>A consensus panel of experts developed the SAMHSA Treatment Improvement Protocols (CSAT TIP 40). A team of external field reviewers then reviewed and commented on the guideline recommendations.</w:t>
            </w:r>
          </w:p>
        </w:tc>
      </w:tr>
      <w:tr w:rsidR="0036254C" w:rsidRPr="0036254C" w14:paraId="37CB74BD"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093238F2" w14:textId="77777777" w:rsidR="0036254C" w:rsidRDefault="0036254C">
            <w:r>
              <w:t>Body of evidence:</w:t>
            </w:r>
          </w:p>
          <w:p w14:paraId="66BF59CE" w14:textId="759EBE16" w:rsidR="0036254C" w:rsidRDefault="0036254C" w:rsidP="00E70109">
            <w:r>
              <w:t>Quantity – how many studies?</w:t>
            </w:r>
          </w:p>
          <w:p w14:paraId="55E50F06" w14:textId="77777777" w:rsidR="0036254C" w:rsidRDefault="0036254C" w:rsidP="00E70109">
            <w:r>
              <w:t>Quality – what type of studies?</w:t>
            </w:r>
          </w:p>
        </w:tc>
        <w:tc>
          <w:tcPr>
            <w:tcW w:w="6863" w:type="dxa"/>
            <w:tcBorders>
              <w:top w:val="single" w:sz="4" w:space="0" w:color="auto"/>
              <w:left w:val="single" w:sz="4" w:space="0" w:color="auto"/>
              <w:bottom w:val="single" w:sz="4" w:space="0" w:color="auto"/>
              <w:right w:val="single" w:sz="4" w:space="0" w:color="auto"/>
            </w:tcBorders>
            <w:hideMark/>
          </w:tcPr>
          <w:p w14:paraId="4F7E3531" w14:textId="77777777" w:rsidR="0036254C" w:rsidRDefault="0036254C">
            <w:r>
              <w:t>The number of studies referenced in support of the guidelines was 180.  The quality of the evidence selected indicates that included studies were considered to be of high quality by an expert panel.</w:t>
            </w:r>
          </w:p>
        </w:tc>
      </w:tr>
      <w:tr w:rsidR="0036254C" w:rsidRPr="0036254C" w14:paraId="678CD836"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134A4BA2" w14:textId="77777777" w:rsidR="0036254C" w:rsidRDefault="0036254C">
            <w:r>
              <w:t xml:space="preserve">Estimates of benefit and consistency across studies </w:t>
            </w:r>
          </w:p>
        </w:tc>
        <w:tc>
          <w:tcPr>
            <w:tcW w:w="6863" w:type="dxa"/>
            <w:tcBorders>
              <w:top w:val="single" w:sz="4" w:space="0" w:color="auto"/>
              <w:left w:val="single" w:sz="4" w:space="0" w:color="auto"/>
              <w:bottom w:val="single" w:sz="4" w:space="0" w:color="auto"/>
              <w:right w:val="single" w:sz="4" w:space="0" w:color="auto"/>
            </w:tcBorders>
          </w:tcPr>
          <w:p w14:paraId="683B5E7B" w14:textId="5E7562EB" w:rsidR="0036254C" w:rsidRDefault="0036254C">
            <w:r>
              <w:t xml:space="preserve">Clinical trials that compared buprenorphine to a placebo and to methadone have established the effectiveness of buprenorphine as a maintenance treatment of opioid addiction </w:t>
            </w:r>
            <w:r>
              <w:fldChar w:fldCharType="begin"/>
            </w:r>
            <w:r>
              <w:instrText xml:space="preserve"> ADDIN EN.CITE &lt;EndNote&gt;&lt;Cite&gt;&lt;Author&gt;Center  for  Substance  Abuse  Treatment&lt;/Author&gt;&lt;Year&gt;2004&lt;/Year&gt;&lt;RecNum&gt;190&lt;/RecNum&gt;&lt;DisplayText&gt;(Center  for  Substance  Abuse  Treatment, 2004)&lt;/DisplayText&gt;&lt;record&gt;&lt;rec-number&gt;190&lt;/rec-number&gt;&lt;foreign-keys&gt;&lt;key app="EN" db-id="5wxraezd9pev2pe5ervx2rfh5dv0ss52tf2z" timestamp="1480625503"&gt;190&lt;/key&gt;&lt;/foreign-keys&gt;&lt;ref-type name="Report"&gt;27&lt;/ref-type&gt;&lt;contributors&gt;&lt;authors&gt;&lt;author&gt;Center  for  Substance  Abuse  Treatment,&lt;/author&gt;&lt;/authors&gt;&lt;/contributors&gt;&lt;titles&gt;&lt;title&gt;Clinical guidelines for the use of buprenorphine in the treatment of opioid addiction.  Treatment  Improvement  Protocol (TIP) Series 40. DHHS Publication No. (SMA) 04-3939. &lt;/title&gt;&lt;/titles&gt;&lt;dates&gt;&lt;year&gt;2004&lt;/year&gt;&lt;/dates&gt;&lt;pub-location&gt;Rockville, MD: Substance Abuse and Mental  Health  Services  Administration&lt;/pub-location&gt;&lt;urls&gt;&lt;related-urls&gt;&lt;url&gt;https://www.ncbi.nlm.nih.gov/books/NBK64245/&lt;/url&gt;&lt;/related-urls&gt;&lt;/urls&gt;&lt;/record&gt;&lt;/Cite&gt;&lt;/EndNote&gt;</w:instrText>
            </w:r>
            <w:r>
              <w:fldChar w:fldCharType="separate"/>
            </w:r>
            <w:r>
              <w:t>(Center  for  Substance  Abuse  Treatment, 2004)</w:t>
            </w:r>
            <w:r>
              <w:fldChar w:fldCharType="end"/>
            </w:r>
            <w:r>
              <w:t xml:space="preserve">. Buprenorphine treatment, compared to a placebo, is effective in reducing opioid use </w:t>
            </w:r>
            <w:r>
              <w:fldChar w:fldCharType="begin"/>
            </w:r>
            <w:r>
              <w:instrText xml:space="preserve"> ADDIN EN.CITE &lt;EndNote&gt;&lt;Cite&gt;&lt;Author&gt;Johnson&lt;/Author&gt;&lt;Year&gt;1995&lt;/Year&gt;&lt;RecNum&gt;257&lt;/RecNum&gt;&lt;DisplayText&gt;(Johnson et al., 1995)&lt;/DisplayText&gt;&lt;record&gt;&lt;rec-number&gt;257&lt;/rec-number&gt;&lt;foreign-keys&gt;&lt;key app="EN" db-id="5wxraezd9pev2pe5ervx2rfh5dv0ss52tf2z" timestamp="1485978961"&gt;257&lt;/key&gt;&lt;/foreign-keys&gt;&lt;ref-type name="Journal Article"&gt;17&lt;/ref-type&gt;&lt;contributors&gt;&lt;authors&gt;&lt;author&gt;Johnson, R. E.&lt;/author&gt;&lt;author&gt;Eissenberg, T.&lt;/author&gt;&lt;author&gt;Stitzer, M. L.&lt;/author&gt;&lt;author&gt;Strain, E. C.&lt;/author&gt;&lt;author&gt;Liebson, I. A.&lt;/author&gt;&lt;author&gt;Bigelow, G. E.&lt;/author&gt;&lt;/authors&gt;&lt;/contributors&gt;&lt;auth-address&gt;Johns Hopkins University School of Medicine, Department of Psychiatry and Behavioral Sciences, Baltimore, MD 21224-6823, USA.&lt;/auth-address&gt;&lt;titles&gt;&lt;title&gt;A placebo controlled clinical trial of buprenorphine as a treatment for opioid dependence&lt;/title&gt;&lt;secondary-title&gt;Drug Alcohol Depend&lt;/secondary-title&gt;&lt;/titles&gt;&lt;periodical&gt;&lt;full-title&gt;Drug Alcohol Depend&lt;/full-title&gt;&lt;/periodical&gt;&lt;pages&gt;17-25&lt;/pages&gt;&lt;volume&gt;40&lt;/volume&gt;&lt;number&gt;1&lt;/number&gt;&lt;keywords&gt;&lt;keyword&gt;Administration, Sublingual&lt;/keyword&gt;&lt;keyword&gt;Adult&lt;/keyword&gt;&lt;keyword&gt;Buprenorphine/*administration &amp;amp; dosage/adverse effects&lt;/keyword&gt;&lt;keyword&gt;Dose-Response Relationship, Drug&lt;/keyword&gt;&lt;keyword&gt;Double-Blind Method&lt;/keyword&gt;&lt;keyword&gt;Drug Administration Schedule&lt;/keyword&gt;&lt;keyword&gt;Female&lt;/keyword&gt;&lt;keyword&gt;Heroin Dependence/*rehabilitation&lt;/keyword&gt;&lt;keyword&gt;Humans&lt;/keyword&gt;&lt;keyword&gt;Male&lt;/keyword&gt;&lt;keyword&gt;Narcotic Antagonists/*administration &amp;amp; dosage/adverse effects&lt;/keyword&gt;&lt;keyword&gt;Patient Acceptance of Health Care&lt;/keyword&gt;&lt;keyword&gt;Substance Abuse Detection&lt;/keyword&gt;&lt;keyword&gt;Treatment Outcome&lt;/keyword&gt;&lt;/keywords&gt;&lt;dates&gt;&lt;year&gt;1995&lt;/year&gt;&lt;pub-dates&gt;&lt;date&gt;Nov&lt;/date&gt;&lt;/pub-dates&gt;&lt;/dates&gt;&lt;isbn&gt;0376-8716 (Print)&amp;#xD;0376-8716 (Linking)&lt;/isbn&gt;&lt;accession-num&gt;8746920&lt;/accession-num&gt;&lt;urls&gt;&lt;related-urls&gt;&lt;url&gt;http://www.ncbi.nlm.nih.gov/pubmed/8746920&lt;/url&gt;&lt;/related-urls&gt;&lt;/urls&gt;&lt;/record&gt;&lt;/Cite&gt;&lt;/EndNote&gt;</w:instrText>
            </w:r>
            <w:r>
              <w:fldChar w:fldCharType="separate"/>
            </w:r>
            <w:r>
              <w:t>(Johnson et al., 1995)</w:t>
            </w:r>
            <w:r>
              <w:fldChar w:fldCharType="end"/>
            </w:r>
            <w:r>
              <w:t xml:space="preserve">. Evidence demonstrates that higher doses of buprenorphine and methadone are more effective in reducing opioid use </w:t>
            </w:r>
            <w:r>
              <w:fldChar w:fldCharType="begin">
                <w:fldData xml:space="preserve">PEVuZE5vdGU+PENpdGU+PEF1dGhvcj5TY2hvdHRlbmZlbGQ8L0F1dGhvcj48WWVhcj4xOTk3PC9Z
ZWFyPjxSZWNOdW0+MjUxPC9SZWNOdW0+PERpc3BsYXlUZXh0PihMaW5nIGV0IGFsLiwgMTk5ODsg
UGV0aXRqZWFuIGV0IGFsLiwgMjAwMTsgU2Nob3R0ZW5mZWxkLCBQYWtlcywgT2xpdmV0bywgWmll
ZG9uaXMsICZhbXA7IEtvc3RlbiwgMTk5Nyk8L0Rpc3BsYXlUZXh0PjxyZWNvcmQ+PHJlYy1udW1i
ZXI+MjUxPC9yZWMtbnVtYmVyPjxmb3JlaWduLWtleXM+PGtleSBhcHA9IkVOIiBkYi1pZD0iNXd4
cmFlemQ5cGV2MnBlNWVydngycmZoNWR2MHNzNTJ0ZjJ6IiB0aW1lc3RhbXA9IjE0ODU3OTI5MDEi
PjI1MTwva2V5PjwvZm9yZWlnbi1rZXlzPjxyZWYtdHlwZSBuYW1lPSJKb3VybmFsIEFydGljbGUi
PjE3PC9yZWYtdHlwZT48Y29udHJpYnV0b3JzPjxhdXRob3JzPjxhdXRob3I+U2Nob3R0ZW5mZWxk
LCBSLiBTLjwvYXV0aG9yPjxhdXRob3I+UGFrZXMsIEouIFIuPC9hdXRob3I+PGF1dGhvcj5PbGl2
ZXRvLCBBLjwvYXV0aG9yPjxhdXRob3I+WmllZG9uaXMsIEQuPC9hdXRob3I+PGF1dGhvcj5Lb3N0
ZW4sIFQuIFIuPC9hdXRob3I+PC9hdXRob3JzPjwvY29udHJpYnV0b3JzPjxhdXRoLWFkZHJlc3M+
RGVwYXJ0bWVudCBvZiBQc3ljaGlhdHJ5LCBZYWxlIFVuaXZlcnNpdHkgU2Nob29sIG9mIE1lZGlj
aW5lLCBOZXcgSGF2ZW4sIENvbm4uLCBVU0EuPC9hdXRoLWFkZHJlc3M+PHRpdGxlcz48dGl0bGU+
QnVwcmVub3JwaGluZSB2cyBtZXRoYWRvbmUgbWFpbnRlbmFuY2UgdHJlYXRtZW50IGZvciBjb25j
dXJyZW50IG9waW9pZCBkZXBlbmRlbmNlIGFuZCBjb2NhaW5lIGFidXNlPC90aXRsZT48c2Vjb25k
YXJ5LXRpdGxlPkFyY2ggR2VuIFBzeWNoaWF0cnk8L3NlY29uZGFyeS10aXRsZT48L3RpdGxlcz48
cGVyaW9kaWNhbD48ZnVsbC10aXRsZT5BcmNoIEdlbiBQc3ljaGlhdHJ5PC9mdWxsLXRpdGxlPjwv
cGVyaW9kaWNhbD48cGFnZXM+NzEzLTIwPC9wYWdlcz48dm9sdW1lPjU0PC92b2x1bWU+PG51bWJl
cj44PC9udW1iZXI+PGtleXdvcmRzPjxrZXl3b3JkPkFkdWx0PC9rZXl3b3JkPjxrZXl3b3JkPkJ1
cHJlbm9ycGhpbmUvYWRtaW5pc3RyYXRpb24gJmFtcDsgZG9zYWdlLyp0aGVyYXBldXRpYyB1c2U8
L2tleXdvcmQ+PGtleXdvcmQ+KkNvY2FpbmU8L2tleXdvcmQ+PGtleXdvcmQ+RG9zZS1SZXNwb25z
ZSBSZWxhdGlvbnNoaXAsIERydWc8L2tleXdvcmQ+PGtleXdvcmQ+RG91YmxlLUJsaW5kIE1ldGhv
ZDwva2V5d29yZD48a2V5d29yZD5EcnVnIEFkbWluaXN0cmF0aW9uIFNjaGVkdWxlPC9rZXl3b3Jk
PjxrZXl3b3JkPkZlbWFsZTwva2V5d29yZD48a2V5d29yZD5IdW1hbnM8L2tleXdvcmQ+PGtleXdv
cmQ+TWFsZTwva2V5d29yZD48a2V5d29yZD5NZXRoYWRvbmUvYWRtaW5pc3RyYXRpb24gJmFtcDsg
ZG9zYWdlLyp0aGVyYXBldXRpYyB1c2U8L2tleXdvcmQ+PGtleXdvcmQ+T3Bpb2lkLVJlbGF0ZWQg
RGlzb3JkZXJzLypyZWhhYmlsaXRhdGlvbjwva2V5d29yZD48a2V5d29yZD5TdWJzdGFuY2UtUmVs
YXRlZCBEaXNvcmRlcnMvKnJlaGFiaWxpdGF0aW9uPC9rZXl3b3JkPjxrZXl3b3JkPlRyZWF0bWVu
dCBPdXRjb21lPC9rZXl3b3JkPjwva2V5d29yZHM+PGRhdGVzPjx5ZWFyPjE5OTc8L3llYXI+PHB1
Yi1kYXRlcz48ZGF0ZT5BdWc8L2RhdGU+PC9wdWItZGF0ZXM+PC9kYXRlcz48aXNibj4wMDAzLTk5
MFggKFByaW50KSYjeEQ7MDAwMy05OTBYIChMaW5raW5nKTwvaXNibj48YWNjZXNzaW9uLW51bT45
MjgzNTA2PC9hY2Nlc3Npb24tbnVtPjx1cmxzPjxyZWxhdGVkLXVybHM+PHVybD5odHRwOi8vd3d3
Lm5jYmkubmxtLm5paC5nb3YvcHVibWVkLzkyODM1MDY8L3VybD48L3JlbGF0ZWQtdXJscz48L3Vy
bHM+PC9yZWNvcmQ+PC9DaXRlPjxDaXRlPjxBdXRob3I+TGluZzwvQXV0aG9yPjxZZWFyPjE5OTg8
L1llYXI+PFJlY051bT4yNTQ8L1JlY051bT48cmVjb3JkPjxyZWMtbnVtYmVyPjI1NDwvcmVjLW51
bWJlcj48Zm9yZWlnbi1rZXlzPjxrZXkgYXBwPSJFTiIgZGItaWQ9IjV3eHJhZXpkOXBldjJwZTVl
cnZ4MnJmaDVkdjBzczUydGYyeiIgdGltZXN0YW1wPSIxNDg1ODA2OTM5Ij4yNTQ8L2tleT48L2Zv
cmVpZ24ta2V5cz48cmVmLXR5cGUgbmFtZT0iSm91cm5hbCBBcnRpY2xlIj4xNzwvcmVmLXR5cGU+
PGNvbnRyaWJ1dG9ycz48YXV0aG9ycz48YXV0aG9yPkxpbmcsIFcuPC9hdXRob3I+PGF1dGhvcj5D
aGFydXZhc3RyYSwgQy48L2F1dGhvcj48YXV0aG9yPkNvbGxpbnMsIEouIEYuPC9hdXRob3I+PGF1
dGhvcj5CYXRraSwgUy48L2F1dGhvcj48YXV0aG9yPkJyb3duLCBMLiBTLiwgSnIuPC9hdXRob3I+
PGF1dGhvcj5LaW50YXVkaSwgUC48L2F1dGhvcj48YXV0aG9yPldlc3NvbiwgRC4gUi48L2F1dGhv
cj48YXV0aG9yPk1jTmljaG9sYXMsIEwuPC9hdXRob3I+PGF1dGhvcj5UdXNlbCwgRC4gSi48L2F1
dGhvcj48YXV0aG9yPk1hbGtlcm5la2VyLCBVLjwvYXV0aG9yPjxhdXRob3I+UmVubmVyLCBKLiBB
LiwgSnIuPC9hdXRob3I+PGF1dGhvcj5TYW50b3MsIEUuPC9hdXRob3I+PGF1dGhvcj5DYXNhZG9u
dGUsIFAuPC9hdXRob3I+PGF1dGhvcj5GeWUsIEMuPC9hdXRob3I+PGF1dGhvcj5TdGluZSwgUy48
L2F1dGhvcj48YXV0aG9yPldhbmcsIFIuIEkuPC9hdXRob3I+PGF1dGhvcj5TZWdhbCwgRC48L2F1
dGhvcj48L2F1dGhvcnM+PC9jb250cmlidXRvcnM+PGF1dGgtYWRkcmVzcz5Mb3MgQW5nZWxlcyBB
ZGRpY3Rpb24gVHJlYXRtZW50IFJlc2VhcmNoIENlbnRlciwgQ0EgOTAwMjUsIFVTQS48L2F1dGgt
YWRkcmVzcz48dGl0bGVzPjx0aXRsZT5CdXByZW5vcnBoaW5lIG1haW50ZW5hbmNlIHRyZWF0bWVu
dCBvZiBvcGlhdGUgZGVwZW5kZW5jZTogYSBtdWx0aWNlbnRlciwgcmFuZG9taXplZCBjbGluaWNh
bCB0cmlhbDwvdGl0bGU+PHNlY29uZGFyeS10aXRsZT5BZGRpY3Rpb248L3NlY29uZGFyeS10aXRs
ZT48L3RpdGxlcz48cGVyaW9kaWNhbD48ZnVsbC10aXRsZT5BZGRpY3Rpb248L2Z1bGwtdGl0bGU+
PGFiYnItMT5BZGRpY3Rpb248L2FiYnItMT48L3BlcmlvZGljYWw+PHBhZ2VzPjQ3NS04NjwvcGFn
ZXM+PHZvbHVtZT45Mzwvdm9sdW1lPjxudW1iZXI+NDwvbnVtYmVyPjxrZXl3b3Jkcz48a2V5d29y
ZD5CdXByZW5vcnBoaW5lLyphZG1pbmlzdHJhdGlvbiAmYW1wOyBkb3NhZ2U8L2tleXdvcmQ+PGtl
eXdvcmQ+RG91YmxlLUJsaW5kIE1ldGhvZDwva2V5d29yZD48a2V5d29yZD5GZW1hbGU8L2tleXdv
cmQ+PGtleXdvcmQ+SHVtYW5zPC9rZXl3b3JkPjxrZXl3b3JkPk1hbGU8L2tleXdvcmQ+PGtleXdv
cmQ+TmFyY290aWMgQW50YWdvbmlzdHMvYWRtaW5pc3RyYXRpb24gJmFtcDsgZG9zYWdlPC9rZXl3
b3JkPjxrZXl3b3JkPk9waW9pZC1SZWxhdGVkIERpc29yZGVycy8qcmVoYWJpbGl0YXRpb248L2tl
eXdvcmQ+PGtleXdvcmQ+VHJlYXRtZW50IE91dGNvbWU8L2tleXdvcmQ+PC9rZXl3b3Jkcz48ZGF0
ZXM+PHllYXI+MTk5ODwveWVhcj48cHViLWRhdGVzPjxkYXRlPkFwcjwvZGF0ZT48L3B1Yi1kYXRl
cz48L2RhdGVzPjxpc2JuPjA5NjUtMjE0MCAoUHJpbnQpJiN4RDswOTY1LTIxNDAgKExpbmtpbmcp
PC9pc2JuPjxhY2Nlc3Npb24tbnVtPjk2ODQzODY8L2FjY2Vzc2lvbi1udW0+PHVybHM+PHJlbGF0
ZWQtdXJscz48dXJsPmh0dHA6Ly93d3cubmNiaS5ubG0ubmloLmdvdi9wdWJtZWQvOTY4NDM4Njwv
dXJsPjwvcmVsYXRlZC11cmxzPjwvdXJscz48L3JlY29yZD48L0NpdGU+PENpdGU+PEF1dGhvcj5Q
ZXRpdGplYW48L0F1dGhvcj48WWVhcj4yMDAxPC9ZZWFyPjxSZWNOdW0+MjU1PC9SZWNOdW0+PHJl
Y29yZD48cmVjLW51bWJlcj4yNTU8L3JlYy1udW1iZXI+PGZvcmVpZ24ta2V5cz48a2V5IGFwcD0i
RU4iIGRiLWlkPSI1d3hyYWV6ZDlwZXYycGU1ZXJ2eDJyZmg1ZHYwc3M1MnRmMnoiIHRpbWVzdGFt
cD0iMTQ4NTgwNzgxNiI+MjU1PC9rZXk+PC9mb3JlaWduLWtleXM+PHJlZi10eXBlIG5hbWU9Ikpv
dXJuYWwgQXJ0aWNsZSI+MTc8L3JlZi10eXBlPjxjb250cmlidXRvcnM+PGF1dGhvcnM+PGF1dGhv
cj5QZXRpdGplYW4sIFMuPC9hdXRob3I+PGF1dGhvcj5TdG9obGVyLCBSLjwvYXV0aG9yPjxhdXRo
b3I+RGVnbG9uLCBKLiBKLjwvYXV0aG9yPjxhdXRob3I+TGl2b3RpLCBTLjwvYXV0aG9yPjxhdXRo
b3I+V2FsZHZvZ2VsLCBELjwvYXV0aG9yPjxhdXRob3I+VWVobGluZ2VyLCBDLjwvYXV0aG9yPjxh
dXRob3I+TGFkZXdpZywgRC48L2F1dGhvcj48L2F1dGhvcnM+PC9jb250cmlidXRvcnM+PGF1dGgt
YWRkcmVzcz5EZXBhcnRtZW50IG9mIFBzeWNoaWF0cnksIFVuaXZlcnNpdHkgb2YgQmFzZWwgV2ls
aGVsbSBLbGVpbi1TdHJhc3NlIDI3LCBDSC00MDI1IEJhc2VsLCBTd2l0emVybGFuZC4gc3lsdmll
LnBldGl0amVhbkBwdWtiYXNlbC5jaDwvYXV0aC1hZGRyZXNzPjx0aXRsZXM+PHRpdGxlPkRvdWJs
ZS1ibGluZCByYW5kb21pemVkIHRyaWFsIG9mIGJ1cHJlbm9ycGhpbmUgYW5kIG1ldGhhZG9uZSBp
biBvcGlhdGUgZGVwZW5kZW5jZTwvdGl0bGU+PHNlY29uZGFyeS10aXRsZT5EcnVnIEFsY29ob2wg
RGVwZW5kPC9zZWNvbmRhcnktdGl0bGU+PC90aXRsZXM+PHBlcmlvZGljYWw+PGZ1bGwtdGl0bGU+
RHJ1ZyBBbGNvaG9sIERlcGVuZDwvZnVsbC10aXRsZT48L3BlcmlvZGljYWw+PHBhZ2VzPjk3LTEw
NDwvcGFnZXM+PHZvbHVtZT42Mjwvdm9sdW1lPjxudW1iZXI+MTwvbnVtYmVyPjxrZXl3b3Jkcz48
a2V5d29yZD5BZHVsdDwva2V5d29yZD48a2V5d29yZD5BbmFseXNpcyBvZiBWYXJpYW5jZTwva2V5
d29yZD48a2V5d29yZD5CZWhhdmlvciwgQWRkaWN0aXZlLypwc3ljaG9sb2d5PC9rZXl3b3JkPjxr
ZXl3b3JkPkJ1cHJlbm9ycGhpbmUvKnRoZXJhcGV1dGljIHVzZTwva2V5d29yZD48a2V5d29yZD5D
aGktU3F1YXJlIERpc3RyaWJ1dGlvbjwva2V5d29yZD48a2V5d29yZD5Eb3VibGUtQmxpbmQgTWV0
aG9kPC9rZXl3b3JkPjxrZXl3b3JkPkZlbWFsZTwva2V5d29yZD48a2V5d29yZD5IZXJvaW4gRGVw
ZW5kZW5jZS9wc3ljaG9sb2d5LypyZWhhYmlsaXRhdGlvbi91cmluZTwva2V5d29yZD48a2V5d29y
ZD5IdW1hbnM8L2tleXdvcmQ+PGtleXdvcmQ+TWFsZTwva2V5d29yZD48a2V5d29yZD5NZXRoYWRv
bmUvKnRoZXJhcGV1dGljIHVzZTwva2V5d29yZD48a2V5d29yZD5OYXJjb3RpYyBBbnRhZ29uaXN0
cy8qdGhlcmFwZXV0aWMgdXNlPC9rZXl3b3JkPjxrZXl3b3JkPk9waW9pZC1SZWxhdGVkIERpc29y
ZGVycy9wc3ljaG9sb2d5L3JlaGFiaWxpdGF0aW9uL3VyaW5lPC9rZXl3b3JkPjxrZXl3b3JkPlBh
dGllbnQgQ29tcGxpYW5jZTwva2V5d29yZD48L2tleXdvcmRzPjxkYXRlcz48eWVhcj4yMDAxPC95
ZWFyPjxwdWItZGF0ZXM+PGRhdGU+TWFyIDAxPC9kYXRlPjwvcHViLWRhdGVzPjwvZGF0ZXM+PGlz
Ym4+MDM3Ni04NzE2IChQcmludCkmI3hEOzAzNzYtODcxNiAoTGlua2luZyk8L2lzYm4+PGFjY2Vz
c2lvbi1udW0+MTExNzMxNzM8L2FjY2Vzc2lvbi1udW0+PHVybHM+PHJlbGF0ZWQtdXJscz48dXJs
Pmh0dHA6Ly93d3cubmNiaS5ubG0ubmloLmdvdi9wdWJtZWQvMTExNzMxNzM8L3VybD48L3JlbGF0
ZWQtdXJscz48L3VybHM+PC9yZWNvcmQ+PC9DaXRlPjwvRW5kTm90ZT4A
</w:fldData>
              </w:fldChar>
            </w:r>
            <w:r>
              <w:instrText xml:space="preserve"> ADDIN EN.CITE </w:instrText>
            </w:r>
            <w:r>
              <w:fldChar w:fldCharType="begin">
                <w:fldData xml:space="preserve">PEVuZE5vdGU+PENpdGU+PEF1dGhvcj5TY2hvdHRlbmZlbGQ8L0F1dGhvcj48WWVhcj4xOTk3PC9Z
ZWFyPjxSZWNOdW0+MjUxPC9SZWNOdW0+PERpc3BsYXlUZXh0PihMaW5nIGV0IGFsLiwgMTk5ODsg
UGV0aXRqZWFuIGV0IGFsLiwgMjAwMTsgU2Nob3R0ZW5mZWxkLCBQYWtlcywgT2xpdmV0bywgWmll
ZG9uaXMsICZhbXA7IEtvc3RlbiwgMTk5Nyk8L0Rpc3BsYXlUZXh0PjxyZWNvcmQ+PHJlYy1udW1i
ZXI+MjUxPC9yZWMtbnVtYmVyPjxmb3JlaWduLWtleXM+PGtleSBhcHA9IkVOIiBkYi1pZD0iNXd4
cmFlemQ5cGV2MnBlNWVydngycmZoNWR2MHNzNTJ0ZjJ6IiB0aW1lc3RhbXA9IjE0ODU3OTI5MDEi
PjI1MTwva2V5PjwvZm9yZWlnbi1rZXlzPjxyZWYtdHlwZSBuYW1lPSJKb3VybmFsIEFydGljbGUi
PjE3PC9yZWYtdHlwZT48Y29udHJpYnV0b3JzPjxhdXRob3JzPjxhdXRob3I+U2Nob3R0ZW5mZWxk
LCBSLiBTLjwvYXV0aG9yPjxhdXRob3I+UGFrZXMsIEouIFIuPC9hdXRob3I+PGF1dGhvcj5PbGl2
ZXRvLCBBLjwvYXV0aG9yPjxhdXRob3I+WmllZG9uaXMsIEQuPC9hdXRob3I+PGF1dGhvcj5Lb3N0
ZW4sIFQuIFIuPC9hdXRob3I+PC9hdXRob3JzPjwvY29udHJpYnV0b3JzPjxhdXRoLWFkZHJlc3M+
RGVwYXJ0bWVudCBvZiBQc3ljaGlhdHJ5LCBZYWxlIFVuaXZlcnNpdHkgU2Nob29sIG9mIE1lZGlj
aW5lLCBOZXcgSGF2ZW4sIENvbm4uLCBVU0EuPC9hdXRoLWFkZHJlc3M+PHRpdGxlcz48dGl0bGU+
QnVwcmVub3JwaGluZSB2cyBtZXRoYWRvbmUgbWFpbnRlbmFuY2UgdHJlYXRtZW50IGZvciBjb25j
dXJyZW50IG9waW9pZCBkZXBlbmRlbmNlIGFuZCBjb2NhaW5lIGFidXNlPC90aXRsZT48c2Vjb25k
YXJ5LXRpdGxlPkFyY2ggR2VuIFBzeWNoaWF0cnk8L3NlY29uZGFyeS10aXRsZT48L3RpdGxlcz48
cGVyaW9kaWNhbD48ZnVsbC10aXRsZT5BcmNoIEdlbiBQc3ljaGlhdHJ5PC9mdWxsLXRpdGxlPjwv
cGVyaW9kaWNhbD48cGFnZXM+NzEzLTIwPC9wYWdlcz48dm9sdW1lPjU0PC92b2x1bWU+PG51bWJl
cj44PC9udW1iZXI+PGtleXdvcmRzPjxrZXl3b3JkPkFkdWx0PC9rZXl3b3JkPjxrZXl3b3JkPkJ1
cHJlbm9ycGhpbmUvYWRtaW5pc3RyYXRpb24gJmFtcDsgZG9zYWdlLyp0aGVyYXBldXRpYyB1c2U8
L2tleXdvcmQ+PGtleXdvcmQ+KkNvY2FpbmU8L2tleXdvcmQ+PGtleXdvcmQ+RG9zZS1SZXNwb25z
ZSBSZWxhdGlvbnNoaXAsIERydWc8L2tleXdvcmQ+PGtleXdvcmQ+RG91YmxlLUJsaW5kIE1ldGhv
ZDwva2V5d29yZD48a2V5d29yZD5EcnVnIEFkbWluaXN0cmF0aW9uIFNjaGVkdWxlPC9rZXl3b3Jk
PjxrZXl3b3JkPkZlbWFsZTwva2V5d29yZD48a2V5d29yZD5IdW1hbnM8L2tleXdvcmQ+PGtleXdv
cmQ+TWFsZTwva2V5d29yZD48a2V5d29yZD5NZXRoYWRvbmUvYWRtaW5pc3RyYXRpb24gJmFtcDsg
ZG9zYWdlLyp0aGVyYXBldXRpYyB1c2U8L2tleXdvcmQ+PGtleXdvcmQ+T3Bpb2lkLVJlbGF0ZWQg
RGlzb3JkZXJzLypyZWhhYmlsaXRhdGlvbjwva2V5d29yZD48a2V5d29yZD5TdWJzdGFuY2UtUmVs
YXRlZCBEaXNvcmRlcnMvKnJlaGFiaWxpdGF0aW9uPC9rZXl3b3JkPjxrZXl3b3JkPlRyZWF0bWVu
dCBPdXRjb21lPC9rZXl3b3JkPjwva2V5d29yZHM+PGRhdGVzPjx5ZWFyPjE5OTc8L3llYXI+PHB1
Yi1kYXRlcz48ZGF0ZT5BdWc8L2RhdGU+PC9wdWItZGF0ZXM+PC9kYXRlcz48aXNibj4wMDAzLTk5
MFggKFByaW50KSYjeEQ7MDAwMy05OTBYIChMaW5raW5nKTwvaXNibj48YWNjZXNzaW9uLW51bT45
MjgzNTA2PC9hY2Nlc3Npb24tbnVtPjx1cmxzPjxyZWxhdGVkLXVybHM+PHVybD5odHRwOi8vd3d3
Lm5jYmkubmxtLm5paC5nb3YvcHVibWVkLzkyODM1MDY8L3VybD48L3JlbGF0ZWQtdXJscz48L3Vy
bHM+PC9yZWNvcmQ+PC9DaXRlPjxDaXRlPjxBdXRob3I+TGluZzwvQXV0aG9yPjxZZWFyPjE5OTg8
L1llYXI+PFJlY051bT4yNTQ8L1JlY051bT48cmVjb3JkPjxyZWMtbnVtYmVyPjI1NDwvcmVjLW51
bWJlcj48Zm9yZWlnbi1rZXlzPjxrZXkgYXBwPSJFTiIgZGItaWQ9IjV3eHJhZXpkOXBldjJwZTVl
cnZ4MnJmaDVkdjBzczUydGYyeiIgdGltZXN0YW1wPSIxNDg1ODA2OTM5Ij4yNTQ8L2tleT48L2Zv
cmVpZ24ta2V5cz48cmVmLXR5cGUgbmFtZT0iSm91cm5hbCBBcnRpY2xlIj4xNzwvcmVmLXR5cGU+
PGNvbnRyaWJ1dG9ycz48YXV0aG9ycz48YXV0aG9yPkxpbmcsIFcuPC9hdXRob3I+PGF1dGhvcj5D
aGFydXZhc3RyYSwgQy48L2F1dGhvcj48YXV0aG9yPkNvbGxpbnMsIEouIEYuPC9hdXRob3I+PGF1
dGhvcj5CYXRraSwgUy48L2F1dGhvcj48YXV0aG9yPkJyb3duLCBMLiBTLiwgSnIuPC9hdXRob3I+
PGF1dGhvcj5LaW50YXVkaSwgUC48L2F1dGhvcj48YXV0aG9yPldlc3NvbiwgRC4gUi48L2F1dGhv
cj48YXV0aG9yPk1jTmljaG9sYXMsIEwuPC9hdXRob3I+PGF1dGhvcj5UdXNlbCwgRC4gSi48L2F1
dGhvcj48YXV0aG9yPk1hbGtlcm5la2VyLCBVLjwvYXV0aG9yPjxhdXRob3I+UmVubmVyLCBKLiBB
LiwgSnIuPC9hdXRob3I+PGF1dGhvcj5TYW50b3MsIEUuPC9hdXRob3I+PGF1dGhvcj5DYXNhZG9u
dGUsIFAuPC9hdXRob3I+PGF1dGhvcj5GeWUsIEMuPC9hdXRob3I+PGF1dGhvcj5TdGluZSwgUy48
L2F1dGhvcj48YXV0aG9yPldhbmcsIFIuIEkuPC9hdXRob3I+PGF1dGhvcj5TZWdhbCwgRC48L2F1
dGhvcj48L2F1dGhvcnM+PC9jb250cmlidXRvcnM+PGF1dGgtYWRkcmVzcz5Mb3MgQW5nZWxlcyBB
ZGRpY3Rpb24gVHJlYXRtZW50IFJlc2VhcmNoIENlbnRlciwgQ0EgOTAwMjUsIFVTQS48L2F1dGgt
YWRkcmVzcz48dGl0bGVzPjx0aXRsZT5CdXByZW5vcnBoaW5lIG1haW50ZW5hbmNlIHRyZWF0bWVu
dCBvZiBvcGlhdGUgZGVwZW5kZW5jZTogYSBtdWx0aWNlbnRlciwgcmFuZG9taXplZCBjbGluaWNh
bCB0cmlhbDwvdGl0bGU+PHNlY29uZGFyeS10aXRsZT5BZGRpY3Rpb248L3NlY29uZGFyeS10aXRs
ZT48L3RpdGxlcz48cGVyaW9kaWNhbD48ZnVsbC10aXRsZT5BZGRpY3Rpb248L2Z1bGwtdGl0bGU+
PGFiYnItMT5BZGRpY3Rpb248L2FiYnItMT48L3BlcmlvZGljYWw+PHBhZ2VzPjQ3NS04NjwvcGFn
ZXM+PHZvbHVtZT45Mzwvdm9sdW1lPjxudW1iZXI+NDwvbnVtYmVyPjxrZXl3b3Jkcz48a2V5d29y
ZD5CdXByZW5vcnBoaW5lLyphZG1pbmlzdHJhdGlvbiAmYW1wOyBkb3NhZ2U8L2tleXdvcmQ+PGtl
eXdvcmQ+RG91YmxlLUJsaW5kIE1ldGhvZDwva2V5d29yZD48a2V5d29yZD5GZW1hbGU8L2tleXdv
cmQ+PGtleXdvcmQ+SHVtYW5zPC9rZXl3b3JkPjxrZXl3b3JkPk1hbGU8L2tleXdvcmQ+PGtleXdv
cmQ+TmFyY290aWMgQW50YWdvbmlzdHMvYWRtaW5pc3RyYXRpb24gJmFtcDsgZG9zYWdlPC9rZXl3
b3JkPjxrZXl3b3JkPk9waW9pZC1SZWxhdGVkIERpc29yZGVycy8qcmVoYWJpbGl0YXRpb248L2tl
eXdvcmQ+PGtleXdvcmQ+VHJlYXRtZW50IE91dGNvbWU8L2tleXdvcmQ+PC9rZXl3b3Jkcz48ZGF0
ZXM+PHllYXI+MTk5ODwveWVhcj48cHViLWRhdGVzPjxkYXRlPkFwcjwvZGF0ZT48L3B1Yi1kYXRl
cz48L2RhdGVzPjxpc2JuPjA5NjUtMjE0MCAoUHJpbnQpJiN4RDswOTY1LTIxNDAgKExpbmtpbmcp
PC9pc2JuPjxhY2Nlc3Npb24tbnVtPjk2ODQzODY8L2FjY2Vzc2lvbi1udW0+PHVybHM+PHJlbGF0
ZWQtdXJscz48dXJsPmh0dHA6Ly93d3cubmNiaS5ubG0ubmloLmdvdi9wdWJtZWQvOTY4NDM4Njwv
dXJsPjwvcmVsYXRlZC11cmxzPjwvdXJscz48L3JlY29yZD48L0NpdGU+PENpdGU+PEF1dGhvcj5Q
ZXRpdGplYW48L0F1dGhvcj48WWVhcj4yMDAxPC9ZZWFyPjxSZWNOdW0+MjU1PC9SZWNOdW0+PHJl
Y29yZD48cmVjLW51bWJlcj4yNTU8L3JlYy1udW1iZXI+PGZvcmVpZ24ta2V5cz48a2V5IGFwcD0i
RU4iIGRiLWlkPSI1d3hyYWV6ZDlwZXYycGU1ZXJ2eDJyZmg1ZHYwc3M1MnRmMnoiIHRpbWVzdGFt
cD0iMTQ4NTgwNzgxNiI+MjU1PC9rZXk+PC9mb3JlaWduLWtleXM+PHJlZi10eXBlIG5hbWU9Ikpv
dXJuYWwgQXJ0aWNsZSI+MTc8L3JlZi10eXBlPjxjb250cmlidXRvcnM+PGF1dGhvcnM+PGF1dGhv
cj5QZXRpdGplYW4sIFMuPC9hdXRob3I+PGF1dGhvcj5TdG9obGVyLCBSLjwvYXV0aG9yPjxhdXRo
b3I+RGVnbG9uLCBKLiBKLjwvYXV0aG9yPjxhdXRob3I+TGl2b3RpLCBTLjwvYXV0aG9yPjxhdXRo
b3I+V2FsZHZvZ2VsLCBELjwvYXV0aG9yPjxhdXRob3I+VWVobGluZ2VyLCBDLjwvYXV0aG9yPjxh
dXRob3I+TGFkZXdpZywgRC48L2F1dGhvcj48L2F1dGhvcnM+PC9jb250cmlidXRvcnM+PGF1dGgt
YWRkcmVzcz5EZXBhcnRtZW50IG9mIFBzeWNoaWF0cnksIFVuaXZlcnNpdHkgb2YgQmFzZWwgV2ls
aGVsbSBLbGVpbi1TdHJhc3NlIDI3LCBDSC00MDI1IEJhc2VsLCBTd2l0emVybGFuZC4gc3lsdmll
LnBldGl0amVhbkBwdWtiYXNlbC5jaDwvYXV0aC1hZGRyZXNzPjx0aXRsZXM+PHRpdGxlPkRvdWJs
ZS1ibGluZCByYW5kb21pemVkIHRyaWFsIG9mIGJ1cHJlbm9ycGhpbmUgYW5kIG1ldGhhZG9uZSBp
biBvcGlhdGUgZGVwZW5kZW5jZTwvdGl0bGU+PHNlY29uZGFyeS10aXRsZT5EcnVnIEFsY29ob2wg
RGVwZW5kPC9zZWNvbmRhcnktdGl0bGU+PC90aXRsZXM+PHBlcmlvZGljYWw+PGZ1bGwtdGl0bGU+
RHJ1ZyBBbGNvaG9sIERlcGVuZDwvZnVsbC10aXRsZT48L3BlcmlvZGljYWw+PHBhZ2VzPjk3LTEw
NDwvcGFnZXM+PHZvbHVtZT42Mjwvdm9sdW1lPjxudW1iZXI+MTwvbnVtYmVyPjxrZXl3b3Jkcz48
a2V5d29yZD5BZHVsdDwva2V5d29yZD48a2V5d29yZD5BbmFseXNpcyBvZiBWYXJpYW5jZTwva2V5
d29yZD48a2V5d29yZD5CZWhhdmlvciwgQWRkaWN0aXZlLypwc3ljaG9sb2d5PC9rZXl3b3JkPjxr
ZXl3b3JkPkJ1cHJlbm9ycGhpbmUvKnRoZXJhcGV1dGljIHVzZTwva2V5d29yZD48a2V5d29yZD5D
aGktU3F1YXJlIERpc3RyaWJ1dGlvbjwva2V5d29yZD48a2V5d29yZD5Eb3VibGUtQmxpbmQgTWV0
aG9kPC9rZXl3b3JkPjxrZXl3b3JkPkZlbWFsZTwva2V5d29yZD48a2V5d29yZD5IZXJvaW4gRGVw
ZW5kZW5jZS9wc3ljaG9sb2d5LypyZWhhYmlsaXRhdGlvbi91cmluZTwva2V5d29yZD48a2V5d29y
ZD5IdW1hbnM8L2tleXdvcmQ+PGtleXdvcmQ+TWFsZTwva2V5d29yZD48a2V5d29yZD5NZXRoYWRv
bmUvKnRoZXJhcGV1dGljIHVzZTwva2V5d29yZD48a2V5d29yZD5OYXJjb3RpYyBBbnRhZ29uaXN0
cy8qdGhlcmFwZXV0aWMgdXNlPC9rZXl3b3JkPjxrZXl3b3JkPk9waW9pZC1SZWxhdGVkIERpc29y
ZGVycy9wc3ljaG9sb2d5L3JlaGFiaWxpdGF0aW9uL3VyaW5lPC9rZXl3b3JkPjxrZXl3b3JkPlBh
dGllbnQgQ29tcGxpYW5jZTwva2V5d29yZD48L2tleXdvcmRzPjxkYXRlcz48eWVhcj4yMDAxPC95
ZWFyPjxwdWItZGF0ZXM+PGRhdGU+TWFyIDAxPC9kYXRlPjwvcHViLWRhdGVzPjwvZGF0ZXM+PGlz
Ym4+MDM3Ni04NzE2IChQcmludCkmI3hEOzAzNzYtODcxNiAoTGlua2luZyk8L2lzYm4+PGFjY2Vz
c2lvbi1udW0+MTExNzMxNzM8L2FjY2Vzc2lvbi1udW0+PHVybHM+PHJlbGF0ZWQtdXJscz48dXJs
Pmh0dHA6Ly93d3cubmNiaS5ubG0ubmloLmdvdi9wdWJtZWQvMTExNzMxNzM8L3VybD48L3JlbGF0
ZWQtdXJscz48L3VybHM+PC9yZWNvcmQ+PC9DaXRlPjwvRW5kTm90ZT4A
</w:fldData>
              </w:fldChar>
            </w:r>
            <w:r>
              <w:instrText xml:space="preserve"> ADDIN EN.CITE.DATA </w:instrText>
            </w:r>
            <w:r>
              <w:fldChar w:fldCharType="end"/>
            </w:r>
            <w:r>
              <w:fldChar w:fldCharType="separate"/>
            </w:r>
            <w:r>
              <w:t>(Ling et al., 1998; Petitjean et al., 2001; Schottenfeld, Pakes, Oliveto, Ziedonis, &amp; Kosten, 1997)</w:t>
            </w:r>
            <w:r>
              <w:fldChar w:fldCharType="end"/>
            </w:r>
            <w:r>
              <w:t xml:space="preserve">. Another randomized trial found buprenorphine to be as effective as methadone, 60 mg/d, for retaining patients and reducing their opioid use. Both medications were superior to methadone at a lower level (20 mg/d) in reducing illicit opioid use and maintaining patients in treatment for 25 weeks </w:t>
            </w:r>
            <w:r>
              <w:fldChar w:fldCharType="begin"/>
            </w:r>
            <w:r>
              <w:instrText xml:space="preserve"> ADDIN EN.CITE &lt;EndNote&gt;&lt;Cite&gt;&lt;Author&gt;Johnson&lt;/Author&gt;&lt;Year&gt;1992&lt;/Year&gt;&lt;RecNum&gt;252&lt;/RecNum&gt;&lt;DisplayText&gt;(Johnson, Jaffe, &amp;amp; Fudala, 1992)&lt;/DisplayText&gt;&lt;record&gt;&lt;rec-number&gt;252&lt;/rec-number&gt;&lt;foreign-keys&gt;&lt;key app="EN" db-id="5wxraezd9pev2pe5ervx2rfh5dv0ss52tf2z" timestamp="1485794798"&gt;252&lt;/key&gt;&lt;/foreign-keys&gt;&lt;ref-type name="Journal Article"&gt;17&lt;/ref-type&gt;&lt;contributors&gt;&lt;authors&gt;&lt;author&gt;Johnson, R. E.&lt;/author&gt;&lt;author&gt;Jaffe, J. H.&lt;/author&gt;&lt;author&gt;Fudala, P. J.&lt;/author&gt;&lt;/authors&gt;&lt;/contributors&gt;&lt;auth-address&gt;Addiction Research Center, National Institute on Drug Abuse, Baltimore, Md.&lt;/auth-address&gt;&lt;titles&gt;&lt;title&gt;A controlled trial of buprenorphine treatment for opioid dependence&lt;/title&gt;&lt;secondary-title&gt;JAMA&lt;/secondary-title&gt;&lt;/titles&gt;&lt;periodical&gt;&lt;full-title&gt;JAMA&lt;/full-title&gt;&lt;/periodical&gt;&lt;pages&gt;2750-5&lt;/pages&gt;&lt;volume&gt;267&lt;/volume&gt;&lt;number&gt;20&lt;/number&gt;&lt;keywords&gt;&lt;keyword&gt;Adult&lt;/keyword&gt;&lt;keyword&gt;Buprenorphine/*therapeutic use&lt;/keyword&gt;&lt;keyword&gt;Double-Blind Method&lt;/keyword&gt;&lt;keyword&gt;Female&lt;/keyword&gt;&lt;keyword&gt;Heroin/urine&lt;/keyword&gt;&lt;keyword&gt;Heroin Dependence/rehabilitation/urine&lt;/keyword&gt;&lt;keyword&gt;Humans&lt;/keyword&gt;&lt;keyword&gt;Male&lt;/keyword&gt;&lt;keyword&gt;Methadone/therapeutic use&lt;/keyword&gt;&lt;keyword&gt;Middle Aged&lt;/keyword&gt;&lt;keyword&gt;Narcotics/urine&lt;/keyword&gt;&lt;keyword&gt;Opioid-Related Disorders/*rehabilitation/urine&lt;/keyword&gt;&lt;keyword&gt;Proportional Hazards Models&lt;/keyword&gt;&lt;/keywords&gt;&lt;dates&gt;&lt;year&gt;1992&lt;/year&gt;&lt;pub-dates&gt;&lt;date&gt;May 27&lt;/date&gt;&lt;/pub-dates&gt;&lt;/dates&gt;&lt;isbn&gt;0098-7484 (Print)&amp;#xD;0098-7484 (Linking)&lt;/isbn&gt;&lt;accession-num&gt;1578593&lt;/accession-num&gt;&lt;urls&gt;&lt;related-urls&gt;&lt;url&gt;http://www.ncbi.nlm.nih.gov/pubmed/1578593&lt;/url&gt;&lt;/related-urls&gt;&lt;/urls&gt;&lt;/record&gt;&lt;/Cite&gt;&lt;/EndNote&gt;</w:instrText>
            </w:r>
            <w:r>
              <w:fldChar w:fldCharType="separate"/>
            </w:r>
            <w:r>
              <w:t>(Johnson, Jaffe, &amp; Fudala, 1992)</w:t>
            </w:r>
            <w:r>
              <w:fldChar w:fldCharType="end"/>
            </w:r>
            <w:r>
              <w:t>.</w:t>
            </w:r>
          </w:p>
          <w:p w14:paraId="48A470EC" w14:textId="77777777" w:rsidR="0036254C" w:rsidRDefault="0036254C">
            <w:r>
              <w:t xml:space="preserve">A multisite office-based randomized study compared the effectiveness and safety of buprenorphine (16 mg) in combination with naloxone (4 mg), buprenorphine alone (16 mg), and a placebo </w:t>
            </w:r>
            <w:r>
              <w:fldChar w:fldCharType="begin">
                <w:fldData xml:space="preserve">PEVuZE5vdGU+PENpdGU+PEF1dGhvcj5GdWRhbGE8L0F1dGhvcj48WWVhcj4yMDAzPC9ZZWFyPjxS
ZWNOdW0+MjUzPC9SZWNOdW0+PERpc3BsYXlUZXh0PihGdWRhbGEgZXQgYWwuLCAyMDAzKTwvRGlz
cGxheVRleHQ+PHJlY29yZD48cmVjLW51bWJlcj4yNTM8L3JlYy1udW1iZXI+PGZvcmVpZ24ta2V5
cz48a2V5IGFwcD0iRU4iIGRiLWlkPSI1d3hyYWV6ZDlwZXYycGU1ZXJ2eDJyZmg1ZHYwc3M1MnRm
MnoiIHRpbWVzdGFtcD0iMTQ4NTgwNTk3NiI+MjUzPC9rZXk+PC9mb3JlaWduLWtleXM+PHJlZi10
eXBlIG5hbWU9IkpvdXJuYWwgQXJ0aWNsZSI+MTc8L3JlZi10eXBlPjxjb250cmlidXRvcnM+PGF1
dGhvcnM+PGF1dGhvcj5GdWRhbGEsIFAuIEouPC9hdXRob3I+PGF1dGhvcj5CcmlkZ2UsIFQuIFAu
PC9hdXRob3I+PGF1dGhvcj5IZXJiZXJ0LCBTLjwvYXV0aG9yPjxhdXRob3I+V2lsbGlmb3JkLCBX
LiBPLjwvYXV0aG9yPjxhdXRob3I+Q2hpYW5nLCBDLiBOLjwvYXV0aG9yPjxhdXRob3I+Sm9uZXMs
IEsuPC9hdXRob3I+PGF1dGhvcj5Db2xsaW5zLCBKLjwvYXV0aG9yPjxhdXRob3I+UmFpc2NoLCBE
LjwvYXV0aG9yPjxhdXRob3I+Q2FzYWRvbnRlLCBQLjwvYXV0aG9yPjxhdXRob3I+R29sZHNtaXRo
LCBSLiBKLjwvYXV0aG9yPjxhdXRob3I+TGluZywgVy48L2F1dGhvcj48YXV0aG9yPk1hbGtlcm5l
a2VyLCBVLjwvYXV0aG9yPjxhdXRob3I+TWNOaWNob2xhcywgTC48L2F1dGhvcj48YXV0aG9yPlJl
bm5lciwgSi48L2F1dGhvcj48YXV0aG9yPlN0aW5lLCBTLjwvYXV0aG9yPjxhdXRob3I+VHVzZWws
IEQuPC9hdXRob3I+PGF1dGhvcj5CdXByZW5vcnBoaW5lL05hbG94b25lIENvbGxhYm9yYXRpdmUg
U3R1ZHksIEdyb3VwPC9hdXRob3I+PC9hdXRob3JzPjwvY29udHJpYnV0b3JzPjxhdXRoLWFkZHJl
c3M+VmV0ZXJhbnMgQWZmYWlycyAoVkEpIE1lZGljYWwgQ2VudGVyLCBVbml2ZXJzaXR5IG9mIFBl
bm5zeWx2YW5pYSBTY2hvb2wgb2YgTWVkaWNpbmUsIFBoaWxhZGVscGhpYSwgVVNBLjwvYXV0aC1h
ZGRyZXNzPjx0aXRsZXM+PHRpdGxlPk9mZmljZS1iYXNlZCB0cmVhdG1lbnQgb2Ygb3BpYXRlIGFk
ZGljdGlvbiB3aXRoIGEgc3VibGluZ3VhbC10YWJsZXQgZm9ybXVsYXRpb24gb2YgYnVwcmVub3Jw
aGluZSBhbmQgbmFsb3hvbmU8L3RpdGxlPjxzZWNvbmRhcnktdGl0bGU+TiBFbmdsIEogTWVkPC9z
ZWNvbmRhcnktdGl0bGU+PC90aXRsZXM+PHBlcmlvZGljYWw+PGZ1bGwtdGl0bGU+TiBFbmdsIEog
TWVkPC9mdWxsLXRpdGxlPjwvcGVyaW9kaWNhbD48cGFnZXM+OTQ5LTU4PC9wYWdlcz48dm9sdW1l
PjM0OTwvdm9sdW1lPjxudW1iZXI+MTA8L251bWJlcj48a2V5d29yZHM+PGtleXdvcmQ+QWRtaW5p
c3RyYXRpb24sIFN1Ymxpbmd1YWw8L2tleXdvcmQ+PGtleXdvcmQ+QWR1bHQ8L2tleXdvcmQ+PGtl
eXdvcmQ+KkFtYnVsYXRvcnkgQ2FyZTwva2V5d29yZD48a2V5d29yZD5CdXByZW5vcnBoaW5lLyp0
aGVyYXBldXRpYyB1c2U8L2tleXdvcmQ+PGtleXdvcmQ+RG91YmxlLUJsaW5kIE1ldGhvZDwva2V5
d29yZD48a2V5d29yZD5EcnVnIFRoZXJhcHksIENvbWJpbmF0aW9uPC9rZXl3b3JkPjxrZXl3b3Jk
PkZlbWFsZTwva2V5d29yZD48a2V5d29yZD5IdW1hbnM8L2tleXdvcmQ+PGtleXdvcmQ+TWFsZTwv
a2V5d29yZD48a2V5d29yZD5NaWRkbGUgQWdlZDwva2V5d29yZD48a2V5d29yZD5OYWxveG9uZS8q
dGhlcmFwZXV0aWMgdXNlPC9rZXl3b3JkPjxrZXl3b3JkPk5hcmNvdGljIEFudGFnb25pc3RzLyp0
aGVyYXBldXRpYyB1c2U8L2tleXdvcmQ+PGtleXdvcmQ+TmFyY290aWNzL3VyaW5lPC9rZXl3b3Jk
PjxrZXl3b3JkPk9mZmljZSBWaXNpdHM8L2tleXdvcmQ+PGtleXdvcmQ+T3Bpb2lkLVJlbGF0ZWQg
RGlzb3JkZXJzLypkcnVnIHRoZXJhcHk8L2tleXdvcmQ+PGtleXdvcmQ+VHJlYXRtZW50IE91dGNv
bWU8L2tleXdvcmQ+PC9rZXl3b3Jkcz48ZGF0ZXM+PHllYXI+MjAwMzwveWVhcj48cHViLWRhdGVz
PjxkYXRlPlNlcCAwNDwvZGF0ZT48L3B1Yi1kYXRlcz48L2RhdGVzPjxpc2JuPjE1MzMtNDQwNiAo
RWxlY3Ryb25pYykmI3hEOzAwMjgtNDc5MyAoTGlua2luZyk8L2lzYm4+PGFjY2Vzc2lvbi1udW0+
MTI5NTQ3NDM8L2FjY2Vzc2lvbi1udW0+PHVybHM+PHJlbGF0ZWQtdXJscz48dXJsPmh0dHA6Ly93
d3cubmNiaS5ubG0ubmloLmdvdi9wdWJtZWQvMTI5NTQ3NDM8L3VybD48L3JlbGF0ZWQtdXJscz48
L3VybHM+PGVsZWN0cm9uaWMtcmVzb3VyY2UtbnVtPjEwLjEwNTYvTkVKTW9hMDIyMTY0PC9lbGVj
dHJvbmljLXJlc291cmNlLW51bT48L3JlY29yZD48L0NpdGU+PC9FbmROb3RlPn==
</w:fldData>
              </w:fldChar>
            </w:r>
            <w:r>
              <w:instrText xml:space="preserve"> ADDIN EN.CITE </w:instrText>
            </w:r>
            <w:r>
              <w:fldChar w:fldCharType="begin">
                <w:fldData xml:space="preserve">PEVuZE5vdGU+PENpdGU+PEF1dGhvcj5GdWRhbGE8L0F1dGhvcj48WWVhcj4yMDAzPC9ZZWFyPjxS
ZWNOdW0+MjUzPC9SZWNOdW0+PERpc3BsYXlUZXh0PihGdWRhbGEgZXQgYWwuLCAyMDAzKTwvRGlz
cGxheVRleHQ+PHJlY29yZD48cmVjLW51bWJlcj4yNTM8L3JlYy1udW1iZXI+PGZvcmVpZ24ta2V5
cz48a2V5IGFwcD0iRU4iIGRiLWlkPSI1d3hyYWV6ZDlwZXYycGU1ZXJ2eDJyZmg1ZHYwc3M1MnRm
MnoiIHRpbWVzdGFtcD0iMTQ4NTgwNTk3NiI+MjUzPC9rZXk+PC9mb3JlaWduLWtleXM+PHJlZi10
eXBlIG5hbWU9IkpvdXJuYWwgQXJ0aWNsZSI+MTc8L3JlZi10eXBlPjxjb250cmlidXRvcnM+PGF1
dGhvcnM+PGF1dGhvcj5GdWRhbGEsIFAuIEouPC9hdXRob3I+PGF1dGhvcj5CcmlkZ2UsIFQuIFAu
PC9hdXRob3I+PGF1dGhvcj5IZXJiZXJ0LCBTLjwvYXV0aG9yPjxhdXRob3I+V2lsbGlmb3JkLCBX
LiBPLjwvYXV0aG9yPjxhdXRob3I+Q2hpYW5nLCBDLiBOLjwvYXV0aG9yPjxhdXRob3I+Sm9uZXMs
IEsuPC9hdXRob3I+PGF1dGhvcj5Db2xsaW5zLCBKLjwvYXV0aG9yPjxhdXRob3I+UmFpc2NoLCBE
LjwvYXV0aG9yPjxhdXRob3I+Q2FzYWRvbnRlLCBQLjwvYXV0aG9yPjxhdXRob3I+R29sZHNtaXRo
LCBSLiBKLjwvYXV0aG9yPjxhdXRob3I+TGluZywgVy48L2F1dGhvcj48YXV0aG9yPk1hbGtlcm5l
a2VyLCBVLjwvYXV0aG9yPjxhdXRob3I+TWNOaWNob2xhcywgTC48L2F1dGhvcj48YXV0aG9yPlJl
bm5lciwgSi48L2F1dGhvcj48YXV0aG9yPlN0aW5lLCBTLjwvYXV0aG9yPjxhdXRob3I+VHVzZWws
IEQuPC9hdXRob3I+PGF1dGhvcj5CdXByZW5vcnBoaW5lL05hbG94b25lIENvbGxhYm9yYXRpdmUg
U3R1ZHksIEdyb3VwPC9hdXRob3I+PC9hdXRob3JzPjwvY29udHJpYnV0b3JzPjxhdXRoLWFkZHJl
c3M+VmV0ZXJhbnMgQWZmYWlycyAoVkEpIE1lZGljYWwgQ2VudGVyLCBVbml2ZXJzaXR5IG9mIFBl
bm5zeWx2YW5pYSBTY2hvb2wgb2YgTWVkaWNpbmUsIFBoaWxhZGVscGhpYSwgVVNBLjwvYXV0aC1h
ZGRyZXNzPjx0aXRsZXM+PHRpdGxlPk9mZmljZS1iYXNlZCB0cmVhdG1lbnQgb2Ygb3BpYXRlIGFk
ZGljdGlvbiB3aXRoIGEgc3VibGluZ3VhbC10YWJsZXQgZm9ybXVsYXRpb24gb2YgYnVwcmVub3Jw
aGluZSBhbmQgbmFsb3hvbmU8L3RpdGxlPjxzZWNvbmRhcnktdGl0bGU+TiBFbmdsIEogTWVkPC9z
ZWNvbmRhcnktdGl0bGU+PC90aXRsZXM+PHBlcmlvZGljYWw+PGZ1bGwtdGl0bGU+TiBFbmdsIEog
TWVkPC9mdWxsLXRpdGxlPjwvcGVyaW9kaWNhbD48cGFnZXM+OTQ5LTU4PC9wYWdlcz48dm9sdW1l
PjM0OTwvdm9sdW1lPjxudW1iZXI+MTA8L251bWJlcj48a2V5d29yZHM+PGtleXdvcmQ+QWRtaW5p
c3RyYXRpb24sIFN1Ymxpbmd1YWw8L2tleXdvcmQ+PGtleXdvcmQ+QWR1bHQ8L2tleXdvcmQ+PGtl
eXdvcmQ+KkFtYnVsYXRvcnkgQ2FyZTwva2V5d29yZD48a2V5d29yZD5CdXByZW5vcnBoaW5lLyp0
aGVyYXBldXRpYyB1c2U8L2tleXdvcmQ+PGtleXdvcmQ+RG91YmxlLUJsaW5kIE1ldGhvZDwva2V5
d29yZD48a2V5d29yZD5EcnVnIFRoZXJhcHksIENvbWJpbmF0aW9uPC9rZXl3b3JkPjxrZXl3b3Jk
PkZlbWFsZTwva2V5d29yZD48a2V5d29yZD5IdW1hbnM8L2tleXdvcmQ+PGtleXdvcmQ+TWFsZTwv
a2V5d29yZD48a2V5d29yZD5NaWRkbGUgQWdlZDwva2V5d29yZD48a2V5d29yZD5OYWxveG9uZS8q
dGhlcmFwZXV0aWMgdXNlPC9rZXl3b3JkPjxrZXl3b3JkPk5hcmNvdGljIEFudGFnb25pc3RzLyp0
aGVyYXBldXRpYyB1c2U8L2tleXdvcmQ+PGtleXdvcmQ+TmFyY290aWNzL3VyaW5lPC9rZXl3b3Jk
PjxrZXl3b3JkPk9mZmljZSBWaXNpdHM8L2tleXdvcmQ+PGtleXdvcmQ+T3Bpb2lkLVJlbGF0ZWQg
RGlzb3JkZXJzLypkcnVnIHRoZXJhcHk8L2tleXdvcmQ+PGtleXdvcmQ+VHJlYXRtZW50IE91dGNv
bWU8L2tleXdvcmQ+PC9rZXl3b3Jkcz48ZGF0ZXM+PHllYXI+MjAwMzwveWVhcj48cHViLWRhdGVz
PjxkYXRlPlNlcCAwNDwvZGF0ZT48L3B1Yi1kYXRlcz48L2RhdGVzPjxpc2JuPjE1MzMtNDQwNiAo
RWxlY3Ryb25pYykmI3hEOzAwMjgtNDc5MyAoTGlua2luZyk8L2lzYm4+PGFjY2Vzc2lvbi1udW0+
MTI5NTQ3NDM8L2FjY2Vzc2lvbi1udW0+PHVybHM+PHJlbGF0ZWQtdXJscz48dXJsPmh0dHA6Ly93
d3cubmNiaS5ubG0ubmloLmdvdi9wdWJtZWQvMTI5NTQ3NDM8L3VybD48L3JlbGF0ZWQtdXJscz48
L3VybHM+PGVsZWN0cm9uaWMtcmVzb3VyY2UtbnVtPjEwLjEwNTYvTkVKTW9hMDIyMTY0PC9lbGVj
dHJvbmljLXJlc291cmNlLW51bT48L3JlY29yZD48L0NpdGU+PC9FbmROb3RlPn==
</w:fldData>
              </w:fldChar>
            </w:r>
            <w:r>
              <w:instrText xml:space="preserve"> ADDIN EN.CITE.DATA </w:instrText>
            </w:r>
            <w:r>
              <w:fldChar w:fldCharType="end"/>
            </w:r>
            <w:r>
              <w:fldChar w:fldCharType="separate"/>
            </w:r>
            <w:r>
              <w:t>(Fudala et al., 2003)</w:t>
            </w:r>
            <w:r>
              <w:fldChar w:fldCharType="end"/>
            </w:r>
            <w:r>
              <w:t xml:space="preserve">. The buprenorphine/naloxone in combination and buprenorphine alone demonstrated greater efficacy than the placebo. The proportion of urine samples that were negative for opiates was greater in the combined-treatment and buprenorphine-alone groups (17.8 and 20.7 percent, respectively) than in the placebo group (5.8 percent, </w:t>
            </w:r>
            <w:r>
              <w:rPr>
                <w:i/>
                <w:iCs/>
              </w:rPr>
              <w:t>p</w:t>
            </w:r>
            <w:r>
              <w:t xml:space="preserve"> &lt; 0.001 for both comparisons). Both buprenorphine treatment groups also reported significantly less opiate craving (</w:t>
            </w:r>
            <w:r>
              <w:rPr>
                <w:i/>
                <w:iCs/>
              </w:rPr>
              <w:t>p</w:t>
            </w:r>
            <w:r>
              <w:t xml:space="preserve"> &lt; 0.001 for both comparisons with placebo).   </w:t>
            </w:r>
          </w:p>
        </w:tc>
      </w:tr>
      <w:tr w:rsidR="0036254C" w:rsidRPr="0036254C" w14:paraId="0EE55FE8"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214F7E97" w14:textId="77777777" w:rsidR="0036254C" w:rsidRDefault="0036254C">
            <w:r>
              <w:t>What harms were identified?</w:t>
            </w:r>
          </w:p>
        </w:tc>
        <w:tc>
          <w:tcPr>
            <w:tcW w:w="6863" w:type="dxa"/>
            <w:tcBorders>
              <w:top w:val="single" w:sz="4" w:space="0" w:color="auto"/>
              <w:left w:val="single" w:sz="4" w:space="0" w:color="auto"/>
              <w:bottom w:val="single" w:sz="4" w:space="0" w:color="auto"/>
              <w:right w:val="single" w:sz="4" w:space="0" w:color="auto"/>
            </w:tcBorders>
            <w:hideMark/>
          </w:tcPr>
          <w:p w14:paraId="01B81AB6" w14:textId="77777777" w:rsidR="0036254C" w:rsidRDefault="0036254C">
            <w:r>
              <w:t xml:space="preserve">Buprenorphine and combinations of buprenorphine and naloxone are generally well tolerated, although side effects reported with these medications include headache, anxiety, constipation, perspiration, fluid retention in lower extremities, urinary hesitancy, and sleep disturbance </w:t>
            </w:r>
            <w:r>
              <w:fldChar w:fldCharType="begin"/>
            </w:r>
            <w:r>
              <w:instrText xml:space="preserve"> ADDIN EN.CITE &lt;EndNote&gt;&lt;Cite&gt;&lt;Author&gt;Center  for  Substance  Abuse  Treatment&lt;/Author&gt;&lt;Year&gt;2004&lt;/Year&gt;&lt;RecNum&gt;190&lt;/RecNum&gt;&lt;DisplayText&gt;(Center  for  Substance  Abuse  Treatment, 2004)&lt;/DisplayText&gt;&lt;record&gt;&lt;rec-number&gt;190&lt;/rec-number&gt;&lt;foreign-keys&gt;&lt;key app="EN" db-id="5wxraezd9pev2pe5ervx2rfh5dv0ss52tf2z" timestamp="1480625503"&gt;190&lt;/key&gt;&lt;/foreign-keys&gt;&lt;ref-type name="Report"&gt;27&lt;/ref-type&gt;&lt;contributors&gt;&lt;authors&gt;&lt;author&gt;Center  for  Substance  Abuse  Treatment,&lt;/author&gt;&lt;/authors&gt;&lt;/contributors&gt;&lt;titles&gt;&lt;title&gt;Clinical guidelines for the use of buprenorphine in the treatment of opioid addiction.  Treatment  Improvement  Protocol (TIP) Series 40. DHHS Publication No. (SMA) 04-3939. &lt;/title&gt;&lt;/titles&gt;&lt;dates&gt;&lt;year&gt;2004&lt;/year&gt;&lt;/dates&gt;&lt;pub-location&gt;Rockville, MD: Substance Abuse and Mental  Health  Services  Administration&lt;/pub-location&gt;&lt;urls&gt;&lt;related-urls&gt;&lt;url&gt;https://www.ncbi.nlm.nih.gov/books/NBK64245/&lt;/url&gt;&lt;/related-urls&gt;&lt;/urls&gt;&lt;/record&gt;&lt;/Cite&gt;&lt;/EndNote&gt;</w:instrText>
            </w:r>
            <w:r>
              <w:fldChar w:fldCharType="separate"/>
            </w:r>
            <w:r>
              <w:t>(Center  for  Substance  Abuse  Treatment, 2004)</w:t>
            </w:r>
            <w:r>
              <w:fldChar w:fldCharType="end"/>
            </w:r>
            <w:r>
              <w:t>.</w:t>
            </w:r>
          </w:p>
        </w:tc>
      </w:tr>
      <w:tr w:rsidR="0036254C" w:rsidRPr="0036254C" w14:paraId="2BF0AE3C" w14:textId="77777777" w:rsidTr="002E7226">
        <w:tc>
          <w:tcPr>
            <w:tcW w:w="2335" w:type="dxa"/>
            <w:tcBorders>
              <w:top w:val="single" w:sz="4" w:space="0" w:color="auto"/>
              <w:left w:val="single" w:sz="4" w:space="0" w:color="auto"/>
              <w:bottom w:val="single" w:sz="4" w:space="0" w:color="auto"/>
              <w:right w:val="single" w:sz="4" w:space="0" w:color="auto"/>
            </w:tcBorders>
            <w:hideMark/>
          </w:tcPr>
          <w:p w14:paraId="109D0C12" w14:textId="77777777" w:rsidR="0036254C" w:rsidRDefault="0036254C">
            <w:r>
              <w:lastRenderedPageBreak/>
              <w:t>Identify any new studies conducted since the SR. Do the new studies change the conclusions from the SR?</w:t>
            </w:r>
          </w:p>
        </w:tc>
        <w:tc>
          <w:tcPr>
            <w:tcW w:w="6863" w:type="dxa"/>
            <w:tcBorders>
              <w:top w:val="single" w:sz="4" w:space="0" w:color="auto"/>
              <w:left w:val="single" w:sz="4" w:space="0" w:color="auto"/>
              <w:bottom w:val="single" w:sz="4" w:space="0" w:color="auto"/>
              <w:right w:val="single" w:sz="4" w:space="0" w:color="auto"/>
            </w:tcBorders>
            <w:hideMark/>
          </w:tcPr>
          <w:p w14:paraId="73E4CF46" w14:textId="77777777" w:rsidR="0036254C" w:rsidRDefault="0036254C">
            <w:r>
              <w:t>See below systematic reviews 6, 4, 3, and 1, which support these recommendations.</w:t>
            </w:r>
          </w:p>
        </w:tc>
        <w:bookmarkEnd w:id="4"/>
      </w:tr>
    </w:tbl>
    <w:p w14:paraId="3A9A04C3" w14:textId="77777777" w:rsidR="0069449E" w:rsidRDefault="0069449E">
      <w:pPr>
        <w:spacing w:after="0"/>
        <w:ind w:left="355"/>
        <w:rPr>
          <w:b/>
        </w:rPr>
      </w:pPr>
    </w:p>
    <w:tbl>
      <w:tblPr>
        <w:tblStyle w:val="TableGrid0"/>
        <w:tblW w:w="0" w:type="auto"/>
        <w:tblInd w:w="0" w:type="dxa"/>
        <w:tblLook w:val="04A0" w:firstRow="1" w:lastRow="0" w:firstColumn="1" w:lastColumn="0" w:noHBand="0" w:noVBand="1"/>
      </w:tblPr>
      <w:tblGrid>
        <w:gridCol w:w="2425"/>
        <w:gridCol w:w="6773"/>
      </w:tblGrid>
      <w:tr w:rsidR="0069449E" w:rsidRPr="0036254C" w14:paraId="1A8694B7" w14:textId="77777777" w:rsidTr="002E7226">
        <w:tc>
          <w:tcPr>
            <w:tcW w:w="2425" w:type="dxa"/>
            <w:tcBorders>
              <w:top w:val="single" w:sz="4" w:space="0" w:color="auto"/>
              <w:left w:val="single" w:sz="4" w:space="0" w:color="auto"/>
              <w:bottom w:val="single" w:sz="4" w:space="0" w:color="auto"/>
              <w:right w:val="single" w:sz="4" w:space="0" w:color="auto"/>
            </w:tcBorders>
            <w:hideMark/>
          </w:tcPr>
          <w:p w14:paraId="51F4ABDD" w14:textId="77777777" w:rsidR="0069449E" w:rsidRDefault="0069449E" w:rsidP="007916B7">
            <w:pPr>
              <w:rPr>
                <w:b/>
              </w:rPr>
            </w:pPr>
            <w:r>
              <w:rPr>
                <w:b/>
              </w:rPr>
              <w:t>Source of Systematic Review 6:</w:t>
            </w:r>
          </w:p>
          <w:p w14:paraId="327221B1" w14:textId="77777777" w:rsidR="0069449E" w:rsidRDefault="0069449E" w:rsidP="0069449E">
            <w:pPr>
              <w:numPr>
                <w:ilvl w:val="0"/>
                <w:numId w:val="7"/>
              </w:numPr>
              <w:rPr>
                <w:b/>
              </w:rPr>
            </w:pPr>
            <w:r>
              <w:rPr>
                <w:b/>
              </w:rPr>
              <w:t>Title</w:t>
            </w:r>
          </w:p>
          <w:p w14:paraId="5F83460F" w14:textId="77777777" w:rsidR="0069449E" w:rsidRDefault="0069449E" w:rsidP="0069449E">
            <w:pPr>
              <w:numPr>
                <w:ilvl w:val="0"/>
                <w:numId w:val="7"/>
              </w:numPr>
              <w:rPr>
                <w:b/>
              </w:rPr>
            </w:pPr>
            <w:r>
              <w:rPr>
                <w:b/>
              </w:rPr>
              <w:t>Author</w:t>
            </w:r>
          </w:p>
          <w:p w14:paraId="4A23A795" w14:textId="77777777" w:rsidR="0069449E" w:rsidRDefault="0069449E" w:rsidP="0069449E">
            <w:pPr>
              <w:numPr>
                <w:ilvl w:val="0"/>
                <w:numId w:val="7"/>
              </w:numPr>
              <w:rPr>
                <w:b/>
              </w:rPr>
            </w:pPr>
            <w:r>
              <w:rPr>
                <w:b/>
              </w:rPr>
              <w:t>Date</w:t>
            </w:r>
          </w:p>
          <w:p w14:paraId="54E0DBD0" w14:textId="77777777" w:rsidR="0069449E" w:rsidRDefault="0069449E" w:rsidP="0069449E">
            <w:pPr>
              <w:numPr>
                <w:ilvl w:val="0"/>
                <w:numId w:val="7"/>
              </w:numPr>
              <w:rPr>
                <w:b/>
              </w:rPr>
            </w:pPr>
            <w:r>
              <w:rPr>
                <w:b/>
              </w:rPr>
              <w:t>Citation, including page number</w:t>
            </w:r>
          </w:p>
          <w:p w14:paraId="515DAEDA" w14:textId="77777777" w:rsidR="0069449E" w:rsidRDefault="0069449E" w:rsidP="0069449E">
            <w:pPr>
              <w:numPr>
                <w:ilvl w:val="0"/>
                <w:numId w:val="7"/>
              </w:numPr>
              <w:rPr>
                <w:b/>
              </w:rPr>
            </w:pPr>
            <w:r>
              <w:rPr>
                <w:b/>
              </w:rPr>
              <w:t>URL</w:t>
            </w:r>
          </w:p>
        </w:tc>
        <w:tc>
          <w:tcPr>
            <w:tcW w:w="6773" w:type="dxa"/>
            <w:tcBorders>
              <w:top w:val="single" w:sz="4" w:space="0" w:color="auto"/>
              <w:left w:val="single" w:sz="4" w:space="0" w:color="auto"/>
              <w:bottom w:val="single" w:sz="4" w:space="0" w:color="auto"/>
              <w:right w:val="single" w:sz="4" w:space="0" w:color="auto"/>
            </w:tcBorders>
            <w:hideMark/>
          </w:tcPr>
          <w:p w14:paraId="19CF2027" w14:textId="77777777" w:rsidR="0069449E" w:rsidRDefault="0069449E" w:rsidP="002E7226">
            <w:r>
              <w:rPr>
                <w:b/>
              </w:rPr>
              <w:t>Title:</w:t>
            </w:r>
            <w:r>
              <w:t xml:space="preserve"> Medications for Opioid Use Disorder. Treatment Improvement Protocol (TIP) Series 63</w:t>
            </w:r>
          </w:p>
          <w:p w14:paraId="3A113130" w14:textId="77777777" w:rsidR="0069449E" w:rsidRDefault="0069449E" w:rsidP="002E7226">
            <w:r>
              <w:rPr>
                <w:b/>
              </w:rPr>
              <w:t>Author:</w:t>
            </w:r>
            <w:r>
              <w:t xml:space="preserve"> Substance Abuse and Mental Health Services Administration</w:t>
            </w:r>
          </w:p>
          <w:p w14:paraId="4098E10B" w14:textId="77777777" w:rsidR="0069449E" w:rsidRDefault="0069449E" w:rsidP="002E7226">
            <w:r>
              <w:rPr>
                <w:b/>
              </w:rPr>
              <w:t>Date:</w:t>
            </w:r>
            <w:r>
              <w:t xml:space="preserve"> 2020</w:t>
            </w:r>
          </w:p>
          <w:p w14:paraId="43FE3E55" w14:textId="77777777" w:rsidR="0069449E" w:rsidRDefault="0069449E" w:rsidP="002E7226">
            <w:r>
              <w:rPr>
                <w:b/>
              </w:rPr>
              <w:t>Citation:</w:t>
            </w:r>
            <w:r>
              <w:t xml:space="preserve"> Substance Abuse and Mental Health Services Administration. Medications for Opioid Use Disorder. Treatment Improvement Protocol (TIP) Series 63. Publication No. PEP20-02-01-006. Rockville, MD: Substance Abuse and Mental Health Services Administration, 2020.</w:t>
            </w:r>
          </w:p>
          <w:p w14:paraId="0BAA2CD5" w14:textId="77777777" w:rsidR="0069449E" w:rsidRDefault="0069449E" w:rsidP="002E7226">
            <w:r>
              <w:rPr>
                <w:b/>
              </w:rPr>
              <w:t>URL:</w:t>
            </w:r>
            <w:r>
              <w:t xml:space="preserve"> https://www.ncbi.nlm.nih.gov/books-/NBK64164/pdf/Bookshelf_NBK64164.pdf</w:t>
            </w:r>
          </w:p>
        </w:tc>
      </w:tr>
      <w:tr w:rsidR="0069449E" w:rsidRPr="0036254C" w14:paraId="2BEB8AF8" w14:textId="77777777" w:rsidTr="002E7226">
        <w:tc>
          <w:tcPr>
            <w:tcW w:w="2425" w:type="dxa"/>
            <w:tcBorders>
              <w:top w:val="single" w:sz="4" w:space="0" w:color="auto"/>
              <w:left w:val="single" w:sz="4" w:space="0" w:color="auto"/>
              <w:bottom w:val="single" w:sz="4" w:space="0" w:color="auto"/>
              <w:right w:val="single" w:sz="4" w:space="0" w:color="auto"/>
            </w:tcBorders>
            <w:hideMark/>
          </w:tcPr>
          <w:p w14:paraId="3803DFD6" w14:textId="77777777" w:rsidR="0069449E" w:rsidRDefault="0069449E" w:rsidP="007916B7">
            <w:r>
              <w:t>Quote the guideline or recommendation verbatim about the process, structure or intermediate outcome being measured. If not a guideline, summarize the conclusions from the SR.</w:t>
            </w:r>
          </w:p>
        </w:tc>
        <w:tc>
          <w:tcPr>
            <w:tcW w:w="6773" w:type="dxa"/>
            <w:tcBorders>
              <w:top w:val="single" w:sz="4" w:space="0" w:color="auto"/>
              <w:left w:val="single" w:sz="4" w:space="0" w:color="auto"/>
              <w:bottom w:val="single" w:sz="4" w:space="0" w:color="auto"/>
              <w:right w:val="single" w:sz="4" w:space="0" w:color="auto"/>
            </w:tcBorders>
            <w:hideMark/>
          </w:tcPr>
          <w:p w14:paraId="07AEE6CB" w14:textId="77777777" w:rsidR="0069449E" w:rsidRDefault="0069449E" w:rsidP="007916B7">
            <w:r>
              <w:t>p. 1-5, “</w:t>
            </w:r>
            <w:r w:rsidRPr="00C37EAC">
              <w:t>The TIP expert panel strongly recommends informing all patients with OUD about the risks and benefits of treatment of OUD with all FD</w:t>
            </w:r>
            <w:r>
              <w:t>-</w:t>
            </w:r>
            <w:proofErr w:type="spellStart"/>
            <w:r w:rsidRPr="00C37EAC">
              <w:t>Aapproved</w:t>
            </w:r>
            <w:proofErr w:type="spellEnd"/>
            <w:r w:rsidRPr="00C37EAC">
              <w:t xml:space="preserve"> medications. Alternatives to these treatments and their risks and benefits should be discussed. Patients should receive access to such medications if clinically appropriate and desired by the patients.</w:t>
            </w:r>
            <w:r>
              <w:t>”</w:t>
            </w:r>
          </w:p>
          <w:p w14:paraId="5BD8A940" w14:textId="77777777" w:rsidR="0069449E" w:rsidRDefault="0069449E" w:rsidP="007916B7">
            <w:r>
              <w:t>p. 1-8, “</w:t>
            </w:r>
            <w:r w:rsidRPr="00C37EAC">
              <w:t>Patients can take medication for OUD on a short-term or long-term basis. However, patients who discontinue OUD medication generally return to illicit opioid use.</w:t>
            </w:r>
            <w:r>
              <w:t>”</w:t>
            </w:r>
          </w:p>
          <w:p w14:paraId="21E1DC3C" w14:textId="77777777" w:rsidR="0069449E" w:rsidRDefault="0069449E" w:rsidP="007916B7">
            <w:r>
              <w:t>p. 1-8, “</w:t>
            </w:r>
            <w:r w:rsidRPr="00C37EAC">
              <w:t xml:space="preserve">The best results occur when a patient receives medication for as long as it provides a benefit. This approach is often called </w:t>
            </w:r>
            <w:r>
              <w:t>‘</w:t>
            </w:r>
            <w:r w:rsidRPr="00C37EAC">
              <w:t>maintenance treatment</w:t>
            </w:r>
            <w:r>
              <w:t>.’”</w:t>
            </w:r>
          </w:p>
          <w:p w14:paraId="70CAB76C" w14:textId="77777777" w:rsidR="0069449E" w:rsidRDefault="0069449E" w:rsidP="007916B7"/>
        </w:tc>
      </w:tr>
      <w:tr w:rsidR="0069449E" w:rsidRPr="0036254C" w14:paraId="0E51E485" w14:textId="77777777" w:rsidTr="002E7226">
        <w:tc>
          <w:tcPr>
            <w:tcW w:w="2425" w:type="dxa"/>
            <w:tcBorders>
              <w:top w:val="single" w:sz="4" w:space="0" w:color="auto"/>
              <w:left w:val="single" w:sz="4" w:space="0" w:color="auto"/>
              <w:bottom w:val="single" w:sz="4" w:space="0" w:color="auto"/>
              <w:right w:val="single" w:sz="4" w:space="0" w:color="auto"/>
            </w:tcBorders>
            <w:hideMark/>
          </w:tcPr>
          <w:p w14:paraId="063F12C1" w14:textId="77777777" w:rsidR="0069449E" w:rsidRDefault="0069449E" w:rsidP="007916B7">
            <w:r>
              <w:t xml:space="preserve">Grade assigned to the </w:t>
            </w:r>
            <w:r>
              <w:rPr>
                <w:b/>
              </w:rPr>
              <w:t>evidence</w:t>
            </w:r>
            <w:r>
              <w:t xml:space="preserve"> associated with the recommendation with the definition of the grade</w:t>
            </w:r>
          </w:p>
        </w:tc>
        <w:tc>
          <w:tcPr>
            <w:tcW w:w="6773" w:type="dxa"/>
            <w:tcBorders>
              <w:top w:val="single" w:sz="4" w:space="0" w:color="auto"/>
              <w:left w:val="single" w:sz="4" w:space="0" w:color="auto"/>
              <w:bottom w:val="single" w:sz="4" w:space="0" w:color="auto"/>
              <w:right w:val="single" w:sz="4" w:space="0" w:color="auto"/>
            </w:tcBorders>
            <w:hideMark/>
          </w:tcPr>
          <w:p w14:paraId="3CBF349B" w14:textId="77777777" w:rsidR="0069449E" w:rsidRDefault="0069449E" w:rsidP="007916B7">
            <w:r>
              <w:t>Not Applicable. The guidelines cited above do not provide grades (e.g., USPSTF grades A, B, etc.).</w:t>
            </w:r>
          </w:p>
        </w:tc>
      </w:tr>
      <w:tr w:rsidR="0069449E" w:rsidRPr="0036254C" w14:paraId="16DCAF4C" w14:textId="77777777" w:rsidTr="002E7226">
        <w:tc>
          <w:tcPr>
            <w:tcW w:w="2425" w:type="dxa"/>
            <w:tcBorders>
              <w:top w:val="single" w:sz="4" w:space="0" w:color="auto"/>
              <w:left w:val="single" w:sz="4" w:space="0" w:color="auto"/>
              <w:bottom w:val="single" w:sz="4" w:space="0" w:color="auto"/>
              <w:right w:val="single" w:sz="4" w:space="0" w:color="auto"/>
            </w:tcBorders>
            <w:hideMark/>
          </w:tcPr>
          <w:p w14:paraId="76B87D5B" w14:textId="77777777" w:rsidR="0069449E" w:rsidRDefault="0069449E" w:rsidP="007916B7">
            <w:r>
              <w:t>Provide all other grades and definitions from the evidence grading system</w:t>
            </w:r>
          </w:p>
        </w:tc>
        <w:tc>
          <w:tcPr>
            <w:tcW w:w="6773" w:type="dxa"/>
            <w:tcBorders>
              <w:top w:val="single" w:sz="4" w:space="0" w:color="auto"/>
              <w:left w:val="single" w:sz="4" w:space="0" w:color="auto"/>
              <w:bottom w:val="single" w:sz="4" w:space="0" w:color="auto"/>
              <w:right w:val="single" w:sz="4" w:space="0" w:color="auto"/>
            </w:tcBorders>
            <w:hideMark/>
          </w:tcPr>
          <w:p w14:paraId="1EAE115C" w14:textId="77777777" w:rsidR="0069449E" w:rsidRDefault="0069449E" w:rsidP="007916B7">
            <w:r>
              <w:t>A consensus panel of experts developed the SAMHSA Treatment Improvement Protocols (CSAT TIP 60). A team of external field reviewers then reviewed and commented on the guideline recommendations.</w:t>
            </w:r>
          </w:p>
        </w:tc>
      </w:tr>
      <w:tr w:rsidR="0069449E" w:rsidRPr="0036254C" w14:paraId="6B40CBB0" w14:textId="77777777" w:rsidTr="002E7226">
        <w:tc>
          <w:tcPr>
            <w:tcW w:w="2425" w:type="dxa"/>
            <w:tcBorders>
              <w:top w:val="single" w:sz="4" w:space="0" w:color="auto"/>
              <w:left w:val="single" w:sz="4" w:space="0" w:color="auto"/>
              <w:bottom w:val="single" w:sz="4" w:space="0" w:color="auto"/>
              <w:right w:val="single" w:sz="4" w:space="0" w:color="auto"/>
            </w:tcBorders>
            <w:hideMark/>
          </w:tcPr>
          <w:p w14:paraId="2B3DA4EB" w14:textId="77777777" w:rsidR="0069449E" w:rsidRDefault="0069449E" w:rsidP="007916B7">
            <w:r>
              <w:t xml:space="preserve">Grade assigned to the </w:t>
            </w:r>
            <w:r>
              <w:rPr>
                <w:b/>
              </w:rPr>
              <w:t>recommendation</w:t>
            </w:r>
            <w:r>
              <w:t xml:space="preserve"> with definition of the grade</w:t>
            </w:r>
          </w:p>
        </w:tc>
        <w:tc>
          <w:tcPr>
            <w:tcW w:w="6773" w:type="dxa"/>
            <w:tcBorders>
              <w:top w:val="single" w:sz="4" w:space="0" w:color="auto"/>
              <w:left w:val="single" w:sz="4" w:space="0" w:color="auto"/>
              <w:bottom w:val="single" w:sz="4" w:space="0" w:color="auto"/>
              <w:right w:val="single" w:sz="4" w:space="0" w:color="auto"/>
            </w:tcBorders>
            <w:hideMark/>
          </w:tcPr>
          <w:p w14:paraId="76EC8896" w14:textId="77777777" w:rsidR="0069449E" w:rsidRDefault="0069449E" w:rsidP="007916B7">
            <w:r>
              <w:t>Not Applicable. The guidelines cited above do not provide grades (e.g., USPSTF grades A, B, etc.).</w:t>
            </w:r>
          </w:p>
        </w:tc>
      </w:tr>
      <w:tr w:rsidR="0069449E" w:rsidRPr="0036254C" w14:paraId="5BC16AB2" w14:textId="77777777" w:rsidTr="002E7226">
        <w:tc>
          <w:tcPr>
            <w:tcW w:w="2425" w:type="dxa"/>
            <w:tcBorders>
              <w:top w:val="single" w:sz="4" w:space="0" w:color="auto"/>
              <w:left w:val="single" w:sz="4" w:space="0" w:color="auto"/>
              <w:bottom w:val="single" w:sz="4" w:space="0" w:color="auto"/>
              <w:right w:val="single" w:sz="4" w:space="0" w:color="auto"/>
            </w:tcBorders>
            <w:hideMark/>
          </w:tcPr>
          <w:p w14:paraId="2FD3200A" w14:textId="77777777" w:rsidR="0069449E" w:rsidRDefault="0069449E" w:rsidP="007916B7">
            <w:r>
              <w:t>Provide all other grades and definitions from the recommendation grading system</w:t>
            </w:r>
          </w:p>
        </w:tc>
        <w:tc>
          <w:tcPr>
            <w:tcW w:w="6773" w:type="dxa"/>
            <w:tcBorders>
              <w:top w:val="single" w:sz="4" w:space="0" w:color="auto"/>
              <w:left w:val="single" w:sz="4" w:space="0" w:color="auto"/>
              <w:bottom w:val="single" w:sz="4" w:space="0" w:color="auto"/>
              <w:right w:val="single" w:sz="4" w:space="0" w:color="auto"/>
            </w:tcBorders>
            <w:hideMark/>
          </w:tcPr>
          <w:p w14:paraId="5180F846" w14:textId="77777777" w:rsidR="0069449E" w:rsidRDefault="0069449E" w:rsidP="007916B7">
            <w:r>
              <w:t>A consensus panel of experts developed the SAMHSA Treatment Improvement Protocols (CSAT TIP 60). A team of external field reviewers then reviewed and commented on the guideline recommendations.</w:t>
            </w:r>
          </w:p>
        </w:tc>
      </w:tr>
      <w:tr w:rsidR="0069449E" w:rsidRPr="0036254C" w14:paraId="42AEB297" w14:textId="77777777" w:rsidTr="002E7226">
        <w:tc>
          <w:tcPr>
            <w:tcW w:w="2425" w:type="dxa"/>
            <w:tcBorders>
              <w:top w:val="single" w:sz="4" w:space="0" w:color="auto"/>
              <w:left w:val="single" w:sz="4" w:space="0" w:color="auto"/>
              <w:bottom w:val="single" w:sz="4" w:space="0" w:color="auto"/>
              <w:right w:val="single" w:sz="4" w:space="0" w:color="auto"/>
            </w:tcBorders>
            <w:hideMark/>
          </w:tcPr>
          <w:p w14:paraId="262723A1" w14:textId="77777777" w:rsidR="0069449E" w:rsidRDefault="0069449E" w:rsidP="007916B7">
            <w:r>
              <w:t>Body of evidence:</w:t>
            </w:r>
          </w:p>
          <w:p w14:paraId="468E9FB8" w14:textId="77777777" w:rsidR="0069449E" w:rsidRDefault="0069449E" w:rsidP="00E70109">
            <w:r>
              <w:t>Quantity – how many studies?</w:t>
            </w:r>
          </w:p>
          <w:p w14:paraId="68923394" w14:textId="77777777" w:rsidR="0069449E" w:rsidRDefault="0069449E" w:rsidP="00E70109">
            <w:r>
              <w:lastRenderedPageBreak/>
              <w:t>Quality – what type of studies?</w:t>
            </w:r>
          </w:p>
        </w:tc>
        <w:tc>
          <w:tcPr>
            <w:tcW w:w="6773" w:type="dxa"/>
            <w:tcBorders>
              <w:top w:val="single" w:sz="4" w:space="0" w:color="auto"/>
              <w:left w:val="single" w:sz="4" w:space="0" w:color="auto"/>
              <w:bottom w:val="single" w:sz="4" w:space="0" w:color="auto"/>
              <w:right w:val="single" w:sz="4" w:space="0" w:color="auto"/>
            </w:tcBorders>
            <w:hideMark/>
          </w:tcPr>
          <w:p w14:paraId="4BD19785" w14:textId="77777777" w:rsidR="0069449E" w:rsidRDefault="0069449E" w:rsidP="007916B7">
            <w:r>
              <w:lastRenderedPageBreak/>
              <w:t>The number of studies referenced in support of the guidelines was 87. The quality of the evidence selected indicates that included studies were considered to be of high quality by an expert panel.</w:t>
            </w:r>
          </w:p>
        </w:tc>
      </w:tr>
      <w:tr w:rsidR="0069449E" w:rsidRPr="0036254C" w14:paraId="146E3527" w14:textId="77777777" w:rsidTr="002E7226">
        <w:tc>
          <w:tcPr>
            <w:tcW w:w="2425" w:type="dxa"/>
            <w:tcBorders>
              <w:top w:val="single" w:sz="4" w:space="0" w:color="auto"/>
              <w:left w:val="single" w:sz="4" w:space="0" w:color="auto"/>
              <w:bottom w:val="single" w:sz="4" w:space="0" w:color="auto"/>
              <w:right w:val="single" w:sz="4" w:space="0" w:color="auto"/>
            </w:tcBorders>
            <w:hideMark/>
          </w:tcPr>
          <w:p w14:paraId="43062C90" w14:textId="77777777" w:rsidR="0069449E" w:rsidRDefault="0069449E" w:rsidP="007916B7">
            <w:r>
              <w:t xml:space="preserve">Estimates of benefit and consistency across studies </w:t>
            </w:r>
          </w:p>
        </w:tc>
        <w:tc>
          <w:tcPr>
            <w:tcW w:w="6773" w:type="dxa"/>
            <w:tcBorders>
              <w:top w:val="single" w:sz="4" w:space="0" w:color="auto"/>
              <w:left w:val="single" w:sz="4" w:space="0" w:color="auto"/>
              <w:bottom w:val="single" w:sz="4" w:space="0" w:color="auto"/>
              <w:right w:val="single" w:sz="4" w:space="0" w:color="auto"/>
            </w:tcBorders>
          </w:tcPr>
          <w:p w14:paraId="5EE864C1" w14:textId="2B773024" w:rsidR="0069449E" w:rsidRPr="00336115" w:rsidRDefault="0069449E" w:rsidP="007916B7">
            <w:pPr>
              <w:rPr>
                <w:rFonts w:eastAsia="Times New Roman"/>
              </w:rPr>
            </w:pPr>
            <w:r>
              <w:t>Multiple studies have demonstrated that methadone, extended-release injectable naltrexone (XR-NTX), and buprenorphine were each found to be more effective in reducing illicit opioid use than no medication in randomized clinical trials. Additional studies indicated that methadone and buprenorphine treatment have also been associated with reduced risk of overdose death.</w:t>
            </w:r>
          </w:p>
        </w:tc>
      </w:tr>
      <w:tr w:rsidR="0069449E" w:rsidRPr="0036254C" w14:paraId="63320AEE" w14:textId="77777777" w:rsidTr="002E7226">
        <w:tc>
          <w:tcPr>
            <w:tcW w:w="2425" w:type="dxa"/>
            <w:tcBorders>
              <w:top w:val="single" w:sz="4" w:space="0" w:color="auto"/>
              <w:left w:val="single" w:sz="4" w:space="0" w:color="auto"/>
              <w:bottom w:val="single" w:sz="4" w:space="0" w:color="auto"/>
              <w:right w:val="single" w:sz="4" w:space="0" w:color="auto"/>
            </w:tcBorders>
            <w:hideMark/>
          </w:tcPr>
          <w:p w14:paraId="62F9E85E" w14:textId="77777777" w:rsidR="0069449E" w:rsidRDefault="0069449E" w:rsidP="007916B7">
            <w:r>
              <w:t>What harms were identified?</w:t>
            </w:r>
          </w:p>
        </w:tc>
        <w:tc>
          <w:tcPr>
            <w:tcW w:w="6773" w:type="dxa"/>
            <w:tcBorders>
              <w:top w:val="single" w:sz="4" w:space="0" w:color="auto"/>
              <w:left w:val="single" w:sz="4" w:space="0" w:color="auto"/>
              <w:bottom w:val="single" w:sz="4" w:space="0" w:color="auto"/>
              <w:right w:val="single" w:sz="4" w:space="0" w:color="auto"/>
            </w:tcBorders>
            <w:hideMark/>
          </w:tcPr>
          <w:p w14:paraId="285437C4" w14:textId="77777777" w:rsidR="0069449E" w:rsidRDefault="0069449E" w:rsidP="007916B7">
            <w:r>
              <w:t>Buprenorphine has a very low risk of medication-induced respiratory depression, possible risk of precipitated withdrawal when starting medication if started too prematurely after recent use of other opioids, and side effects of constipation, vomiting, headache, sweating, insomnia, and blurred vision. Methadone has higher risk of medication-induced respiratory depression than buprenorphine, although still rare. It has no risk of precipitated withdrawal when starting medication, and side effects include c</w:t>
            </w:r>
            <w:r w:rsidRPr="007135EA">
              <w:t>onstipation, vomiting, sweating, dizziness,</w:t>
            </w:r>
            <w:r>
              <w:t xml:space="preserve"> and</w:t>
            </w:r>
            <w:r w:rsidRPr="007135EA">
              <w:t xml:space="preserve"> sedation</w:t>
            </w:r>
            <w:r>
              <w:t>.</w:t>
            </w:r>
          </w:p>
          <w:p w14:paraId="41EC16F8" w14:textId="77777777" w:rsidR="0069449E" w:rsidRPr="007135EA" w:rsidRDefault="0069449E" w:rsidP="007916B7">
            <w:r>
              <w:t>Naltrexone has no risk of medication-induced respiratory depression, although severe withdrawal when starting medication is possible if period of abstinence is inadequate before starting medication. Common side effects include difficulty sleeping, anxiety, nausea, vomiting, low energy, joint and muscle pain, headache, and liver enzyme elevation. Extended-release injectable naltrexone also can have the additional side effects of injection site pain, nasopharyngitis, insomnia, and toothache.</w:t>
            </w:r>
          </w:p>
          <w:p w14:paraId="193A0DD9" w14:textId="77777777" w:rsidR="0069449E" w:rsidRDefault="0069449E" w:rsidP="007916B7"/>
        </w:tc>
      </w:tr>
      <w:tr w:rsidR="0069449E" w:rsidRPr="0036254C" w14:paraId="4ABCCF7D" w14:textId="77777777" w:rsidTr="002E7226">
        <w:tc>
          <w:tcPr>
            <w:tcW w:w="2425" w:type="dxa"/>
            <w:tcBorders>
              <w:top w:val="single" w:sz="4" w:space="0" w:color="auto"/>
              <w:left w:val="single" w:sz="4" w:space="0" w:color="auto"/>
              <w:bottom w:val="single" w:sz="4" w:space="0" w:color="auto"/>
              <w:right w:val="single" w:sz="4" w:space="0" w:color="auto"/>
            </w:tcBorders>
            <w:hideMark/>
          </w:tcPr>
          <w:p w14:paraId="11DA4925" w14:textId="77777777" w:rsidR="0069449E" w:rsidRDefault="0069449E" w:rsidP="007916B7">
            <w:r>
              <w:t>Identify any new studies conducted since the SR. Do the new studies change the conclusions from the SR?</w:t>
            </w:r>
          </w:p>
        </w:tc>
        <w:tc>
          <w:tcPr>
            <w:tcW w:w="6773" w:type="dxa"/>
            <w:tcBorders>
              <w:top w:val="single" w:sz="4" w:space="0" w:color="auto"/>
              <w:left w:val="single" w:sz="4" w:space="0" w:color="auto"/>
              <w:bottom w:val="single" w:sz="4" w:space="0" w:color="auto"/>
              <w:right w:val="single" w:sz="4" w:space="0" w:color="auto"/>
            </w:tcBorders>
            <w:hideMark/>
          </w:tcPr>
          <w:p w14:paraId="7E34CD81" w14:textId="77777777" w:rsidR="0069449E" w:rsidRDefault="0069449E" w:rsidP="007916B7"/>
        </w:tc>
      </w:tr>
    </w:tbl>
    <w:p w14:paraId="43B2AC42" w14:textId="6274EC4C" w:rsidR="007A74C2" w:rsidRDefault="00184A5C">
      <w:pPr>
        <w:spacing w:after="0"/>
        <w:ind w:left="355"/>
      </w:pPr>
      <w:r>
        <w:rPr>
          <w:b/>
        </w:rPr>
        <w:t xml:space="preserve"> </w:t>
      </w:r>
    </w:p>
    <w:p w14:paraId="388732A0" w14:textId="77777777" w:rsidR="007A74C2" w:rsidRDefault="00184A5C">
      <w:pPr>
        <w:spacing w:after="5" w:line="249" w:lineRule="auto"/>
        <w:ind w:left="350" w:right="209" w:hanging="10"/>
      </w:pPr>
      <w:r>
        <w:rPr>
          <w:b/>
        </w:rPr>
        <w:t>1a.4</w:t>
      </w:r>
      <w:r>
        <w:rPr>
          <w:b/>
          <w:color w:val="0000FF"/>
        </w:rPr>
        <w:t xml:space="preserve"> </w:t>
      </w:r>
      <w:r>
        <w:rPr>
          <w:b/>
        </w:rPr>
        <w:t xml:space="preserve">OTHER SOURCE OF EVIDENCE </w:t>
      </w:r>
    </w:p>
    <w:p w14:paraId="35ADE504" w14:textId="79726676" w:rsidR="007A74C2" w:rsidRDefault="00184A5C">
      <w:pPr>
        <w:spacing w:after="0" w:line="249" w:lineRule="auto"/>
        <w:ind w:left="351" w:right="125" w:hanging="10"/>
        <w:rPr>
          <w:i/>
        </w:rPr>
      </w:pPr>
      <w:r>
        <w:rPr>
          <w:i/>
        </w:rPr>
        <w:t xml:space="preserve">If source of evidence is NOT from a clinical practice guideline, USPSTF, or systematic review, please describe the evidence on which you are basing the performance measure. </w:t>
      </w:r>
    </w:p>
    <w:p w14:paraId="34D1BFD8" w14:textId="77777777" w:rsidR="006F54FA" w:rsidRDefault="006F54FA">
      <w:pPr>
        <w:spacing w:after="0" w:line="249" w:lineRule="auto"/>
        <w:ind w:left="351" w:right="125" w:hanging="10"/>
        <w:rPr>
          <w:i/>
        </w:rPr>
      </w:pPr>
    </w:p>
    <w:p w14:paraId="7DD3955C" w14:textId="08211D6C" w:rsidR="006F54FA" w:rsidRPr="006F54FA" w:rsidRDefault="006F54FA">
      <w:pPr>
        <w:spacing w:after="0" w:line="249" w:lineRule="auto"/>
        <w:ind w:left="351" w:right="125" w:hanging="10"/>
        <w:rPr>
          <w:color w:val="4472C4" w:themeColor="accent1"/>
        </w:rPr>
      </w:pPr>
      <w:r w:rsidRPr="006F54FA">
        <w:rPr>
          <w:i/>
          <w:color w:val="4472C4" w:themeColor="accent1"/>
        </w:rPr>
        <w:t>N.A.</w:t>
      </w:r>
    </w:p>
    <w:p w14:paraId="6B378977" w14:textId="77777777" w:rsidR="007A74C2" w:rsidRDefault="00184A5C">
      <w:pPr>
        <w:spacing w:after="0"/>
        <w:ind w:left="355"/>
      </w:pPr>
      <w:r>
        <w:t xml:space="preserve"> </w:t>
      </w:r>
    </w:p>
    <w:p w14:paraId="4CA19137" w14:textId="63A1A864" w:rsidR="007A74C2" w:rsidRDefault="00184A5C">
      <w:pPr>
        <w:spacing w:after="5" w:line="249" w:lineRule="auto"/>
        <w:ind w:left="350" w:right="209" w:hanging="10"/>
      </w:pPr>
      <w:r>
        <w:rPr>
          <w:b/>
        </w:rPr>
        <w:t>1a.4.1</w:t>
      </w:r>
      <w:r>
        <w:rPr>
          <w:color w:val="006FC0"/>
        </w:rPr>
        <w:t xml:space="preserve"> </w:t>
      </w:r>
      <w:r>
        <w:rPr>
          <w:b/>
        </w:rPr>
        <w:t xml:space="preserve">Briefly SYNTHESIZE the evidence that supports the measure. </w:t>
      </w:r>
      <w:r>
        <w:t xml:space="preserve">A list of references without a summary is not acceptable. </w:t>
      </w:r>
    </w:p>
    <w:p w14:paraId="4BC5F8FE" w14:textId="77777777" w:rsidR="006F54FA" w:rsidRDefault="006F54FA">
      <w:pPr>
        <w:spacing w:after="5" w:line="249" w:lineRule="auto"/>
        <w:ind w:left="350" w:right="209" w:hanging="10"/>
      </w:pPr>
    </w:p>
    <w:p w14:paraId="74842861" w14:textId="1C9AB821" w:rsidR="006F54FA" w:rsidRDefault="006F54FA" w:rsidP="006F54FA">
      <w:pPr>
        <w:spacing w:after="5" w:line="249" w:lineRule="auto"/>
        <w:ind w:left="350" w:right="209" w:hanging="10"/>
        <w:rPr>
          <w:color w:val="4472C4" w:themeColor="accent1"/>
        </w:rPr>
      </w:pPr>
      <w:r w:rsidRPr="006F54FA">
        <w:rPr>
          <w:color w:val="4472C4" w:themeColor="accent1"/>
        </w:rPr>
        <w:t xml:space="preserve">In 2018, opioids were involved in 46,802 overdose deaths in 2018 in the United States. Provisional numbers from the CDC show that in 2019 were 49,912 opioid overdose deaths, a 6.6% annual increase.  Successful medication (MOUD) initiation and retention are the two clinical milestones likely to have the greatest impact on lowering risk of mortality from opioid use disorders (Degenhardt et al., 2010; </w:t>
      </w:r>
      <w:proofErr w:type="spellStart"/>
      <w:r w:rsidRPr="006F54FA">
        <w:rPr>
          <w:color w:val="4472C4" w:themeColor="accent1"/>
        </w:rPr>
        <w:t>Sordo</w:t>
      </w:r>
      <w:proofErr w:type="spellEnd"/>
      <w:r w:rsidRPr="006F54FA">
        <w:rPr>
          <w:color w:val="4472C4" w:themeColor="accent1"/>
        </w:rPr>
        <w:t xml:space="preserve"> et al., 2017; Volkow et al., 2019). Many randomized clinical trials and observational studies find that individuals with an opioid use disorder (OUD) who are treated with an FDA-approved opioid use disorder medication (i.e., methadone, buprenorphine, naltrexone) have better outcomes than individuals who do not receive OUD medications including larger reductions in mortality, opioid usage and relapses, rates of infectious disease, and emergency department or inpatient admissions, as well as improved functioning </w:t>
      </w:r>
      <w:r w:rsidRPr="006F54FA">
        <w:rPr>
          <w:color w:val="4472C4" w:themeColor="accent1"/>
        </w:rPr>
        <w:lastRenderedPageBreak/>
        <w:t xml:space="preserve">in major life domains (Clark et al., 2015; Clark et al., 2014; </w:t>
      </w:r>
      <w:r w:rsidR="00145AD0" w:rsidRPr="00145AD0">
        <w:rPr>
          <w:color w:val="4472C4" w:themeColor="accent1"/>
        </w:rPr>
        <w:t>Council of Economic Advisers</w:t>
      </w:r>
      <w:r w:rsidR="00145AD0">
        <w:rPr>
          <w:color w:val="4472C4" w:themeColor="accent1"/>
        </w:rPr>
        <w:t xml:space="preserve">, 2019; </w:t>
      </w:r>
      <w:r w:rsidRPr="006F54FA">
        <w:rPr>
          <w:color w:val="4472C4" w:themeColor="accent1"/>
        </w:rPr>
        <w:t>D'Onofrio et al., 2015; Fullerton et al., 2014; Haley et al., 2019; Jarvis et al., 2018; Larochelle et al., 2018; Lo-</w:t>
      </w:r>
      <w:proofErr w:type="spellStart"/>
      <w:r w:rsidRPr="006F54FA">
        <w:rPr>
          <w:color w:val="4472C4" w:themeColor="accent1"/>
        </w:rPr>
        <w:t>Ciganic</w:t>
      </w:r>
      <w:proofErr w:type="spellEnd"/>
      <w:r w:rsidRPr="006F54FA">
        <w:rPr>
          <w:color w:val="4472C4" w:themeColor="accent1"/>
        </w:rPr>
        <w:t xml:space="preserve"> et al., 2016; Ma et al., 2019; Mark et al., 2020; </w:t>
      </w:r>
      <w:proofErr w:type="spellStart"/>
      <w:r w:rsidRPr="006F54FA">
        <w:rPr>
          <w:color w:val="4472C4" w:themeColor="accent1"/>
        </w:rPr>
        <w:t>Mattick</w:t>
      </w:r>
      <w:proofErr w:type="spellEnd"/>
      <w:r w:rsidRPr="006F54FA">
        <w:rPr>
          <w:color w:val="4472C4" w:themeColor="accent1"/>
        </w:rPr>
        <w:t xml:space="preserve"> et al., 2009; </w:t>
      </w:r>
      <w:proofErr w:type="spellStart"/>
      <w:r w:rsidRPr="006F54FA">
        <w:rPr>
          <w:color w:val="4472C4" w:themeColor="accent1"/>
        </w:rPr>
        <w:t>Mattick</w:t>
      </w:r>
      <w:proofErr w:type="spellEnd"/>
      <w:r w:rsidRPr="006F54FA">
        <w:rPr>
          <w:color w:val="4472C4" w:themeColor="accent1"/>
        </w:rPr>
        <w:t xml:space="preserve"> et al., 2014; </w:t>
      </w:r>
      <w:proofErr w:type="spellStart"/>
      <w:r w:rsidRPr="006F54FA">
        <w:rPr>
          <w:color w:val="4472C4" w:themeColor="accent1"/>
        </w:rPr>
        <w:t>Parran</w:t>
      </w:r>
      <w:proofErr w:type="spellEnd"/>
      <w:r w:rsidRPr="006F54FA">
        <w:rPr>
          <w:color w:val="4472C4" w:themeColor="accent1"/>
        </w:rPr>
        <w:t xml:space="preserve"> et al., 2010; Pierce et al., 2016; Schwarz et al., 2012; </w:t>
      </w:r>
      <w:proofErr w:type="spellStart"/>
      <w:r w:rsidRPr="006F54FA">
        <w:rPr>
          <w:color w:val="4472C4" w:themeColor="accent1"/>
        </w:rPr>
        <w:t>Sordo</w:t>
      </w:r>
      <w:proofErr w:type="spellEnd"/>
      <w:r w:rsidRPr="006F54FA">
        <w:rPr>
          <w:color w:val="4472C4" w:themeColor="accent1"/>
        </w:rPr>
        <w:t xml:space="preserve"> et al., 2017; Syed &amp; Keating, 2013; Thomas et al., 2014; Williams et al., 2020; Woody et al., 2014).  As described below, comprehensive reviews conclude that the evidence for the effectiveness of MOUD relative to non-medication based OUD treatment is of high to moderate quality (American Society of Addiction Medicine, 2020; Fullerton et al., 2014; Thomas et al., 2014, </w:t>
      </w:r>
      <w:proofErr w:type="spellStart"/>
      <w:r w:rsidRPr="006F54FA">
        <w:rPr>
          <w:color w:val="4472C4" w:themeColor="accent1"/>
        </w:rPr>
        <w:t>Mattick</w:t>
      </w:r>
      <w:proofErr w:type="spellEnd"/>
      <w:r w:rsidRPr="006F54FA">
        <w:rPr>
          <w:color w:val="4472C4" w:themeColor="accent1"/>
        </w:rPr>
        <w:t xml:space="preserve"> et al., 2014, </w:t>
      </w:r>
      <w:proofErr w:type="spellStart"/>
      <w:r w:rsidRPr="006F54FA">
        <w:rPr>
          <w:color w:val="4472C4" w:themeColor="accent1"/>
        </w:rPr>
        <w:t>Mattick</w:t>
      </w:r>
      <w:proofErr w:type="spellEnd"/>
      <w:r w:rsidRPr="006F54FA">
        <w:rPr>
          <w:color w:val="4472C4" w:themeColor="accent1"/>
        </w:rPr>
        <w:t xml:space="preserve"> et al., 2009, Center for Substance Abuse Treatment, 2004, SAMHSA, 2020)</w:t>
      </w:r>
      <w:r>
        <w:rPr>
          <w:color w:val="4472C4" w:themeColor="accent1"/>
        </w:rPr>
        <w:t>.</w:t>
      </w:r>
    </w:p>
    <w:p w14:paraId="0325F7FE" w14:textId="77777777" w:rsidR="006F54FA" w:rsidRPr="006F54FA" w:rsidRDefault="006F54FA" w:rsidP="006F54FA">
      <w:pPr>
        <w:spacing w:after="5" w:line="249" w:lineRule="auto"/>
        <w:ind w:left="350" w:right="209" w:hanging="10"/>
        <w:rPr>
          <w:color w:val="4472C4" w:themeColor="accent1"/>
        </w:rPr>
      </w:pPr>
    </w:p>
    <w:p w14:paraId="0D0E1591" w14:textId="3D6B7D5E" w:rsidR="006F54FA" w:rsidRDefault="006F54FA" w:rsidP="006F54FA">
      <w:pPr>
        <w:spacing w:after="5" w:line="249" w:lineRule="auto"/>
        <w:ind w:left="350" w:right="209" w:hanging="10"/>
        <w:rPr>
          <w:color w:val="4472C4" w:themeColor="accent1"/>
        </w:rPr>
      </w:pPr>
      <w:r w:rsidRPr="006F54FA">
        <w:rPr>
          <w:color w:val="4472C4" w:themeColor="accent1"/>
        </w:rPr>
        <w:t xml:space="preserve">NQF endorsed Use of Pharmacotherapy (NQF #3400) – a measure of percentage of Medicaid beneficiaries ages 18 to 64 with an OUD who filled a prescription for or were administered or ordered an FDA-approved medication for opioid use disorder (MOUD) during the measure year - at the health plan/Medicaid program level.  The implementation of this measure is hypothesized to lead to more people receiving MOUD, improved health care outcomes, higher treatment costs, but lower overall costs because the comorbidities associated with OUD are reduced (See Figure 1. Logic model)  (Ball &amp; Ross, 1991; Busch et al., 2017; Clark et al., 2015; Florence et al., 2013; Mohlman et al., 2016; National Institute of Drug Abuse, 2019; Nielsen et al., 2016; </w:t>
      </w:r>
      <w:proofErr w:type="spellStart"/>
      <w:r w:rsidRPr="006F54FA">
        <w:rPr>
          <w:color w:val="4472C4" w:themeColor="accent1"/>
        </w:rPr>
        <w:t>Ronquest</w:t>
      </w:r>
      <w:proofErr w:type="spellEnd"/>
      <w:r w:rsidRPr="006F54FA">
        <w:rPr>
          <w:color w:val="4472C4" w:themeColor="accent1"/>
        </w:rPr>
        <w:t xml:space="preserve"> et al., 2018). The potential untended consequences of the measure may include diversion and accidental overdoses such as by children.  A recent review of 17 studies finds that most people use illicit buprenorphine to self-medicate (to manage opioid withdrawal symptoms or achieve or maintain abstinence from other opioids), while a smaller percentage use it to get high (</w:t>
      </w:r>
      <w:proofErr w:type="spellStart"/>
      <w:r w:rsidRPr="006F54FA">
        <w:rPr>
          <w:color w:val="4472C4" w:themeColor="accent1"/>
        </w:rPr>
        <w:t>Chilcoat</w:t>
      </w:r>
      <w:proofErr w:type="spellEnd"/>
      <w:r w:rsidRPr="006F54FA">
        <w:rPr>
          <w:color w:val="4472C4" w:themeColor="accent1"/>
        </w:rPr>
        <w:t xml:space="preserve"> et al., 2019).   Between 2004 and 2011 there were 5,222 emergency department visits by children ages 1 to 5 involving accidental ingestion of buprenorphine (Crane, 2017). To put that number in perspective, there were 8.2 million prescriptions for buprenorphine in 2012. Buprenorphine is available in an extended release injectable form which has no diversion potential and no potential for accidental ingestion. </w:t>
      </w:r>
    </w:p>
    <w:p w14:paraId="5FB54A00" w14:textId="77777777" w:rsidR="006F54FA" w:rsidRPr="006F54FA" w:rsidRDefault="006F54FA" w:rsidP="006F54FA">
      <w:pPr>
        <w:spacing w:after="5" w:line="249" w:lineRule="auto"/>
        <w:ind w:left="350" w:right="209" w:hanging="10"/>
        <w:rPr>
          <w:color w:val="4472C4" w:themeColor="accent1"/>
        </w:rPr>
      </w:pPr>
    </w:p>
    <w:p w14:paraId="705E06C2" w14:textId="40227941" w:rsidR="006F54FA" w:rsidRDefault="006F54FA" w:rsidP="006F54FA">
      <w:pPr>
        <w:spacing w:after="5" w:line="249" w:lineRule="auto"/>
        <w:ind w:left="350" w:right="209" w:hanging="10"/>
        <w:rPr>
          <w:color w:val="4472C4" w:themeColor="accent1"/>
        </w:rPr>
      </w:pPr>
      <w:r w:rsidRPr="006F54FA">
        <w:rPr>
          <w:color w:val="4472C4" w:themeColor="accent1"/>
        </w:rPr>
        <w:t xml:space="preserve">Despite the clear benefits of MOUD, many practitioners do not offer them to their patients with OUD. In 2018, only 40% of specialty addiction treatment facilities offered medications to treat opioid use disorder (Mark et al., 2020). In 2015, between 31% and 37% of patients with OUD in specialty facilities received medications for OUD (SAMHSA, 2017). In many regions of the county lack adequate supply of buprenorphine waived professionals (Abraham et al., 2020, </w:t>
      </w:r>
      <w:proofErr w:type="spellStart"/>
      <w:r w:rsidRPr="006F54FA">
        <w:rPr>
          <w:color w:val="4472C4" w:themeColor="accent1"/>
        </w:rPr>
        <w:t>Andri</w:t>
      </w:r>
      <w:r w:rsidR="00082514">
        <w:rPr>
          <w:color w:val="4472C4" w:themeColor="accent1"/>
        </w:rPr>
        <w:t>ll</w:t>
      </w:r>
      <w:r w:rsidRPr="006F54FA">
        <w:rPr>
          <w:color w:val="4472C4" w:themeColor="accent1"/>
        </w:rPr>
        <w:t>a</w:t>
      </w:r>
      <w:proofErr w:type="spellEnd"/>
      <w:r w:rsidRPr="006F54FA">
        <w:rPr>
          <w:color w:val="4472C4" w:themeColor="accent1"/>
        </w:rPr>
        <w:t xml:space="preserve"> et al., 2020).  A recent study in Massachusetts reported that only 30% of those who survived an opioid overdose received medications for OUD in the year after their overdose (Larochelle, 2018)</w:t>
      </w:r>
      <w:r>
        <w:rPr>
          <w:color w:val="4472C4" w:themeColor="accent1"/>
        </w:rPr>
        <w:t>.</w:t>
      </w:r>
    </w:p>
    <w:p w14:paraId="75CA775F" w14:textId="77777777" w:rsidR="006F54FA" w:rsidRPr="006F54FA" w:rsidRDefault="006F54FA" w:rsidP="006F54FA">
      <w:pPr>
        <w:spacing w:after="5" w:line="249" w:lineRule="auto"/>
        <w:ind w:left="350" w:right="209" w:hanging="10"/>
        <w:rPr>
          <w:color w:val="4472C4" w:themeColor="accent1"/>
        </w:rPr>
      </w:pPr>
    </w:p>
    <w:p w14:paraId="62362B53" w14:textId="29EE4D82" w:rsidR="006F54FA" w:rsidRPr="006F54FA" w:rsidRDefault="006F54FA" w:rsidP="006F54FA">
      <w:pPr>
        <w:spacing w:after="5" w:line="249" w:lineRule="auto"/>
        <w:ind w:left="350" w:right="209" w:hanging="10"/>
        <w:rPr>
          <w:color w:val="4472C4" w:themeColor="accent1"/>
        </w:rPr>
      </w:pPr>
      <w:r w:rsidRPr="006F54FA">
        <w:rPr>
          <w:color w:val="4472C4" w:themeColor="accent1"/>
        </w:rPr>
        <w:t>A 2014 American Society of Addiction Medicine expert panel recommended that the Use of Pharmacotherapy Measure (NQF #3400) be created as a measure at the clinician level (ASAM, 2014).  They note that individual providers use measures for internal quality improvement and to monitor their practices (ASAM, 2014).  The ASAM expert panel noted that the measure would be useful despite the fact that there is no set time in which a patient with OUD should be initiated on MOUD or an absolute benchmark level to determine the appropriate percentages of patients on MOUD.  They explain that ensuring timely treatment with OUD medications is important as data show that individuals who receive MOUD are more likely to be retained in addiction treatment (</w:t>
      </w:r>
      <w:proofErr w:type="spellStart"/>
      <w:r w:rsidRPr="006F54FA">
        <w:rPr>
          <w:color w:val="4472C4" w:themeColor="accent1"/>
        </w:rPr>
        <w:t>Mattick</w:t>
      </w:r>
      <w:proofErr w:type="spellEnd"/>
      <w:r w:rsidRPr="006F54FA">
        <w:rPr>
          <w:color w:val="4472C4" w:themeColor="accent1"/>
        </w:rPr>
        <w:t xml:space="preserve"> et al., 2014, Timko et al., 2016).  Further, improved outcomes have been demonstrated for patients who initiate buprenorphine to treat OUD in emergency departments (D’Onofrio et al</w:t>
      </w:r>
      <w:r w:rsidR="0042211B">
        <w:rPr>
          <w:color w:val="4472C4" w:themeColor="accent1"/>
        </w:rPr>
        <w:t>.</w:t>
      </w:r>
      <w:r w:rsidRPr="006F54FA">
        <w:rPr>
          <w:color w:val="4472C4" w:themeColor="accent1"/>
        </w:rPr>
        <w:t xml:space="preserve">, 2015).  Finally, as noted above, a large and robust portfolio of research highlights the significant mortality and morbidity benefits of MOUD. </w:t>
      </w:r>
    </w:p>
    <w:p w14:paraId="5328E9E4" w14:textId="1D8EFF97" w:rsidR="006F54FA" w:rsidRPr="006F54FA" w:rsidRDefault="006F54FA" w:rsidP="006F54FA">
      <w:pPr>
        <w:spacing w:after="5" w:line="249" w:lineRule="auto"/>
        <w:ind w:left="350" w:right="209" w:hanging="10"/>
        <w:rPr>
          <w:color w:val="4472C4" w:themeColor="accent1"/>
        </w:rPr>
      </w:pPr>
      <w:r w:rsidRPr="006F54FA">
        <w:rPr>
          <w:color w:val="4472C4" w:themeColor="accent1"/>
        </w:rPr>
        <w:lastRenderedPageBreak/>
        <w:t>A measure of use of MOUD for OUD was developed and tested at the provider level in four states using Medicaid claims data and commercial claims data as part of a project sponsored by the nonprofit Shatterproof and conducted by RTI international. They study found that the measure was reliable and valid (Dowd et al., 2020)</w:t>
      </w:r>
      <w:r w:rsidR="00012305">
        <w:rPr>
          <w:color w:val="4472C4" w:themeColor="accent1"/>
        </w:rPr>
        <w:t>.</w:t>
      </w:r>
    </w:p>
    <w:p w14:paraId="6D4CD5E7" w14:textId="77777777" w:rsidR="007A74C2" w:rsidRDefault="00184A5C">
      <w:pPr>
        <w:spacing w:after="0"/>
        <w:ind w:left="355"/>
      </w:pPr>
      <w:r>
        <w:rPr>
          <w:b/>
        </w:rPr>
        <w:t xml:space="preserve"> </w:t>
      </w:r>
    </w:p>
    <w:p w14:paraId="37B6E07A" w14:textId="6830D70F" w:rsidR="007A74C2" w:rsidRDefault="00184A5C">
      <w:pPr>
        <w:spacing w:after="5" w:line="249" w:lineRule="auto"/>
        <w:ind w:left="350" w:right="209" w:hanging="10"/>
      </w:pPr>
      <w:r>
        <w:rPr>
          <w:b/>
        </w:rPr>
        <w:t>1a.4.2</w:t>
      </w:r>
      <w:r>
        <w:rPr>
          <w:b/>
          <w:color w:val="234060"/>
        </w:rPr>
        <w:t xml:space="preserve"> </w:t>
      </w:r>
      <w:r>
        <w:rPr>
          <w:b/>
        </w:rPr>
        <w:t>What process was used to identify the evidence?</w:t>
      </w:r>
      <w:r>
        <w:t xml:space="preserve"> </w:t>
      </w:r>
    </w:p>
    <w:p w14:paraId="34B74BBE" w14:textId="77777777" w:rsidR="00110CF9" w:rsidRDefault="00110CF9">
      <w:pPr>
        <w:spacing w:after="5" w:line="249" w:lineRule="auto"/>
        <w:ind w:left="350" w:right="209" w:hanging="10"/>
      </w:pPr>
    </w:p>
    <w:p w14:paraId="7DCE6EF9" w14:textId="0443B01E" w:rsidR="007A74C2" w:rsidRPr="00A27FE2" w:rsidRDefault="00110CF9">
      <w:pPr>
        <w:spacing w:after="0"/>
        <w:ind w:left="355"/>
        <w:rPr>
          <w:color w:val="4472C4" w:themeColor="accent1"/>
        </w:rPr>
      </w:pPr>
      <w:r w:rsidRPr="00A27FE2">
        <w:rPr>
          <w:color w:val="4472C4" w:themeColor="accent1"/>
        </w:rPr>
        <w:t xml:space="preserve">PubMed searches were conducted using keywords: </w:t>
      </w:r>
      <w:r w:rsidR="00294C50" w:rsidRPr="00A27FE2">
        <w:rPr>
          <w:color w:val="4472C4" w:themeColor="accent1"/>
        </w:rPr>
        <w:t xml:space="preserve">opioid use disorder, buprenorphine, methadone, naltrexone, vivitrol, and medication assisted therapy. </w:t>
      </w:r>
      <w:r w:rsidRPr="00A27FE2">
        <w:rPr>
          <w:color w:val="4472C4" w:themeColor="accent1"/>
        </w:rPr>
        <w:t xml:space="preserve"> </w:t>
      </w:r>
      <w:r w:rsidR="00A27FE2" w:rsidRPr="00A27FE2">
        <w:rPr>
          <w:color w:val="4472C4" w:themeColor="accent1"/>
        </w:rPr>
        <w:t>The reference lists of articles were reviewed to identify articles that might have not been identified in the PubMed search.</w:t>
      </w:r>
    </w:p>
    <w:p w14:paraId="4494B4C1" w14:textId="77777777" w:rsidR="00110CF9" w:rsidRDefault="00110CF9">
      <w:pPr>
        <w:spacing w:after="0"/>
        <w:ind w:left="355"/>
      </w:pPr>
    </w:p>
    <w:p w14:paraId="7E248A91" w14:textId="25264A1D" w:rsidR="0036254C" w:rsidRDefault="00184A5C" w:rsidP="00110CF9">
      <w:pPr>
        <w:spacing w:after="5" w:line="249" w:lineRule="auto"/>
        <w:ind w:left="350" w:right="209" w:hanging="10"/>
        <w:rPr>
          <w:rFonts w:eastAsiaTheme="minorHAnsi"/>
          <w:b/>
        </w:rPr>
      </w:pPr>
      <w:r>
        <w:rPr>
          <w:b/>
        </w:rPr>
        <w:t>1a.4.3.</w:t>
      </w:r>
      <w:r>
        <w:rPr>
          <w:color w:val="006FC0"/>
        </w:rPr>
        <w:t xml:space="preserve"> </w:t>
      </w:r>
      <w:r>
        <w:rPr>
          <w:b/>
        </w:rPr>
        <w:t>Provide the citation(s) for the evidence</w:t>
      </w:r>
      <w:r>
        <w:t xml:space="preserve"> </w:t>
      </w:r>
      <w:r w:rsidR="0036254C">
        <w:fldChar w:fldCharType="begin"/>
      </w:r>
      <w:r w:rsidR="0036254C">
        <w:instrText xml:space="preserve"> ADDIN EN.REFLIST </w:instrText>
      </w:r>
      <w:r w:rsidR="0036254C">
        <w:fldChar w:fldCharType="separate"/>
      </w:r>
    </w:p>
    <w:p w14:paraId="5AE4C6D9" w14:textId="41516EDF" w:rsidR="0036254C" w:rsidRDefault="0036254C" w:rsidP="00283117">
      <w:pPr>
        <w:pStyle w:val="EndNoteBibliography"/>
        <w:numPr>
          <w:ilvl w:val="0"/>
          <w:numId w:val="0"/>
        </w:numPr>
        <w:ind w:left="360"/>
        <w:rPr>
          <w:b/>
        </w:rPr>
      </w:pPr>
    </w:p>
    <w:p w14:paraId="35CFBB75" w14:textId="2EC7F3E9" w:rsidR="00283117" w:rsidRDefault="00283117" w:rsidP="00EE05FC">
      <w:pPr>
        <w:pStyle w:val="EndNoteBibliography"/>
        <w:numPr>
          <w:ilvl w:val="0"/>
          <w:numId w:val="10"/>
        </w:numPr>
      </w:pPr>
      <w:r w:rsidRPr="00283117">
        <w:t>Abraham AJ, Andrews CM, Harris SJ, Friedmann PD. Availability of Medications for the Treatment of Alcohol and Opioid Use Disorder in the USA. Neurotherapeutics. 2020;17(1):55-69. doi:10.1007/s13311-019-00814-4</w:t>
      </w:r>
    </w:p>
    <w:p w14:paraId="15AD5B82" w14:textId="2FFB5F62" w:rsidR="0036254C" w:rsidRPr="004C004E" w:rsidRDefault="0036254C" w:rsidP="00EE05FC">
      <w:pPr>
        <w:pStyle w:val="EndNoteBibliography"/>
        <w:numPr>
          <w:ilvl w:val="0"/>
          <w:numId w:val="10"/>
        </w:numPr>
        <w:rPr>
          <w:rStyle w:val="Hyperlink"/>
          <w:color w:val="auto"/>
          <w:u w:val="none"/>
        </w:rPr>
      </w:pPr>
      <w:bookmarkStart w:id="5" w:name="_Hlk52456331"/>
      <w:r>
        <w:t xml:space="preserve">American Society of Addiction Medicine. (2015). National practice guideline for the use of medications in the treatment of addiction involving opioid use.   Retrieved from </w:t>
      </w:r>
      <w:hyperlink r:id="rId34" w:history="1">
        <w:r>
          <w:rPr>
            <w:rStyle w:val="Hyperlink"/>
          </w:rPr>
          <w:t>http://www.asam.org/quality-practice/guidelines-and-consensus-documents/npg/jam-article</w:t>
        </w:r>
      </w:hyperlink>
    </w:p>
    <w:p w14:paraId="5986FF7A" w14:textId="09CF827F" w:rsidR="004C004E" w:rsidRPr="004C004E" w:rsidRDefault="004C004E" w:rsidP="00F452C5">
      <w:pPr>
        <w:pStyle w:val="EndNoteBibliography"/>
        <w:numPr>
          <w:ilvl w:val="0"/>
          <w:numId w:val="10"/>
        </w:numPr>
        <w:rPr>
          <w:rStyle w:val="Hyperlink"/>
          <w:color w:val="auto"/>
          <w:u w:val="none"/>
        </w:rPr>
      </w:pPr>
      <w:r w:rsidRPr="004C004E">
        <w:rPr>
          <w:rStyle w:val="Hyperlink"/>
          <w:color w:val="auto"/>
          <w:u w:val="none"/>
        </w:rPr>
        <w:t>American Society of Addiction Medicine (2020). National practice guideline for the treatment of opioid use disorder: 2020 focused update</w:t>
      </w:r>
    </w:p>
    <w:p w14:paraId="5319C4C7" w14:textId="0DF24377" w:rsidR="00BA7B06" w:rsidRDefault="00BA7B06" w:rsidP="00EE05FC">
      <w:pPr>
        <w:pStyle w:val="EndNoteBibliography"/>
        <w:numPr>
          <w:ilvl w:val="0"/>
          <w:numId w:val="10"/>
        </w:numPr>
      </w:pPr>
      <w:bookmarkStart w:id="6" w:name="_Hlk45738213"/>
      <w:bookmarkEnd w:id="5"/>
      <w:r>
        <w:t xml:space="preserve">American Society of Addiction Medicine (2014). The ASAM Performance Measures for the Addiction Specialist Physician. </w:t>
      </w:r>
      <w:r w:rsidR="001E3B6E">
        <w:t>Re</w:t>
      </w:r>
      <w:r w:rsidR="001E3B6E">
        <w:rPr>
          <w:rFonts w:eastAsia="Calibri"/>
          <w:noProof w:val="0"/>
          <w:color w:val="000000"/>
        </w:rPr>
        <w:t xml:space="preserve">trieved from </w:t>
      </w:r>
      <w:r w:rsidR="001E3B6E" w:rsidRPr="00283117">
        <w:t>https://www.asam.org/docs/default-source/advocacy/performance-measures-for-the-addiction-specialist-physician.p</w:t>
      </w:r>
      <w:r w:rsidR="001E3B6E">
        <w:t>df</w:t>
      </w:r>
    </w:p>
    <w:p w14:paraId="2212DA63" w14:textId="5DCC4768" w:rsidR="00431BB4" w:rsidRDefault="00431BB4" w:rsidP="00EE05FC">
      <w:pPr>
        <w:pStyle w:val="EndNoteBibliography"/>
        <w:numPr>
          <w:ilvl w:val="0"/>
          <w:numId w:val="10"/>
        </w:numPr>
      </w:pPr>
      <w:r w:rsidRPr="00431BB4">
        <w:t>Andrilla CHA, Moore TE, Patterson DG, Larson EH. Geographic Distribution of Providers With a DEA Waiver to Prescribe Buprenorphine for the Treatment of Opioid Use Disorder: A 5-Year Update. J Rural Health. 2019;35(1):108-112. doi:10.1111/jrh.12307</w:t>
      </w:r>
    </w:p>
    <w:bookmarkEnd w:id="6"/>
    <w:p w14:paraId="274AA246" w14:textId="709AB2FD" w:rsidR="0036254C" w:rsidRDefault="0036254C" w:rsidP="00EE05FC">
      <w:pPr>
        <w:pStyle w:val="EndNoteBibliography"/>
        <w:numPr>
          <w:ilvl w:val="0"/>
          <w:numId w:val="10"/>
        </w:numPr>
      </w:pPr>
      <w:r>
        <w:t xml:space="preserve">Ball, J. C., &amp; Ross, A. (1991). </w:t>
      </w:r>
      <w:r>
        <w:rPr>
          <w:i/>
        </w:rPr>
        <w:t>The Effectiveness of Methadone Maintenance Treatment: Patients,Programs, Services, and Outcome</w:t>
      </w:r>
      <w:r>
        <w:t>. New York: Springer Verlag.</w:t>
      </w:r>
    </w:p>
    <w:p w14:paraId="6E6077A2" w14:textId="77777777" w:rsidR="00B95777" w:rsidRDefault="001301FA" w:rsidP="00EE05FC">
      <w:pPr>
        <w:pStyle w:val="EndNoteBibliography"/>
        <w:numPr>
          <w:ilvl w:val="0"/>
          <w:numId w:val="10"/>
        </w:numPr>
      </w:pPr>
      <w:r w:rsidRPr="001301FA">
        <w:t>B</w:t>
      </w:r>
      <w:bookmarkStart w:id="7" w:name="_Hlk52458242"/>
      <w:r w:rsidRPr="001301FA">
        <w:t>usch, S. H., Fiellin, D. A., Chawarski, M. C., Owens, P. H., Pantalon, M. V., Hawk, K., Bernstein, S. L., O’Connor, P. G., &amp; D’Onofrio, G. (2017). Cost-effectiveness of emergency department-initiated treatment for opioid dependence: Treatment for opioid dependence. Addiction, 112(11), 2002–2010. https://doi.org/10.1111/add.13900</w:t>
      </w:r>
    </w:p>
    <w:bookmarkEnd w:id="7"/>
    <w:p w14:paraId="7540231B" w14:textId="49C6E588" w:rsidR="0036254C" w:rsidRDefault="0036254C" w:rsidP="00EE05FC">
      <w:pPr>
        <w:pStyle w:val="EndNoteBibliography"/>
        <w:numPr>
          <w:ilvl w:val="0"/>
          <w:numId w:val="10"/>
        </w:numPr>
      </w:pPr>
      <w:r>
        <w:t xml:space="preserve">Center for Substance Abuse Treatment. (2004). </w:t>
      </w:r>
      <w:r>
        <w:rPr>
          <w:i/>
        </w:rPr>
        <w:t xml:space="preserve">Clinical guidelines for the use of buprenorphine in the treatment of opioid addiction.  Treatment  Improvement  Protocol (TIP) Series 40. DHHS Publication No. (SMA) 04-3939. </w:t>
      </w:r>
      <w:r>
        <w:t xml:space="preserve">. Retrieved from Rockville, MD: Substance Abuse and Mental Health Services  Administration: </w:t>
      </w:r>
      <w:hyperlink r:id="rId35" w:history="1">
        <w:r>
          <w:rPr>
            <w:rStyle w:val="Hyperlink"/>
          </w:rPr>
          <w:t>https://www.ncbi.nlm.nih.gov/books/NBK64245/</w:t>
        </w:r>
      </w:hyperlink>
    </w:p>
    <w:p w14:paraId="388FAE2E" w14:textId="2E602A96" w:rsidR="0036254C" w:rsidRDefault="0036254C" w:rsidP="00EE05FC">
      <w:pPr>
        <w:pStyle w:val="EndNoteBibliography"/>
        <w:numPr>
          <w:ilvl w:val="0"/>
          <w:numId w:val="10"/>
        </w:numPr>
      </w:pPr>
      <w:bookmarkStart w:id="8" w:name="_Hlk52456479"/>
      <w:r>
        <w:t xml:space="preserve">Center for Substance Abuse Treatment. (2005). </w:t>
      </w:r>
      <w:r>
        <w:rPr>
          <w:i/>
        </w:rPr>
        <w:t>Medication-Assisted Treatment for Opioid Addiction in Opioid Treatment Programs. Treatment Improvement Protocol (TIP) Series 43</w:t>
      </w:r>
      <w:r>
        <w:t>. Retrieved from HHS Publication No. (SMA) 12-4214. Rockville, MD: Substance Abuse and Mental Health Services Administration</w:t>
      </w:r>
      <w:r w:rsidR="0066019D">
        <w:t>.</w:t>
      </w:r>
      <w:r>
        <w:t xml:space="preserve"> </w:t>
      </w:r>
    </w:p>
    <w:p w14:paraId="3A4E83D3" w14:textId="5B51D799" w:rsidR="00C82FAE" w:rsidRDefault="00C82FAE" w:rsidP="00EE05FC">
      <w:pPr>
        <w:pStyle w:val="EndNoteBibliography"/>
        <w:numPr>
          <w:ilvl w:val="0"/>
          <w:numId w:val="10"/>
        </w:numPr>
      </w:pPr>
      <w:r w:rsidRPr="00C82FAE">
        <w:t>CMS, CMCS Information Bulletin. New Reporting Measures for Substance Use Disorder (SUD)-focused Health Homes, November 17, 2019. https://www.medicaid.gov/federal-policy-guidance/downloads/cib112719.pdf</w:t>
      </w:r>
    </w:p>
    <w:p w14:paraId="52667122" w14:textId="32F05902" w:rsidR="0066019D" w:rsidRDefault="0066019D" w:rsidP="00EE05FC">
      <w:pPr>
        <w:pStyle w:val="EndNoteBibliography"/>
        <w:numPr>
          <w:ilvl w:val="0"/>
          <w:numId w:val="10"/>
        </w:numPr>
      </w:pPr>
      <w:bookmarkStart w:id="9" w:name="_Hlk52459173"/>
      <w:bookmarkEnd w:id="8"/>
      <w:r w:rsidRPr="0066019D">
        <w:t>Chilcoat HD, Amick HR, Sherwood MR, Dunn KE. Buprenorphine in the United States: Motives for abuse, misuse, and diversion. J Subst Abuse Treat. 2019;104:148-157. doi:10.1016/j.jsat.2019.07.005</w:t>
      </w:r>
    </w:p>
    <w:p w14:paraId="7B19FFC9" w14:textId="77777777" w:rsidR="0036254C" w:rsidRDefault="0036254C" w:rsidP="00EE05FC">
      <w:pPr>
        <w:pStyle w:val="EndNoteBibliography"/>
        <w:numPr>
          <w:ilvl w:val="0"/>
          <w:numId w:val="10"/>
        </w:numPr>
      </w:pPr>
      <w:bookmarkStart w:id="10" w:name="_Hlk52458356"/>
      <w:bookmarkEnd w:id="9"/>
      <w:r>
        <w:lastRenderedPageBreak/>
        <w:t xml:space="preserve">Clark, R. E., Baxter, J. D., Aweh, G., O'Connell, E., Fisher, W. H., &amp; Barton, B. A. (2015). Risk Factors for Relapse and Higher Costs Among Medicaid Members with Opioid Dependence or Abuse: Opioid Agonists, Comorbidities, and Treatment History. </w:t>
      </w:r>
      <w:r>
        <w:rPr>
          <w:i/>
        </w:rPr>
        <w:t>J Subst Abuse Treat, 57</w:t>
      </w:r>
      <w:r>
        <w:t>, 75-80. doi:10.1016/j.jsat.2015.05.001</w:t>
      </w:r>
    </w:p>
    <w:p w14:paraId="2F76C37F" w14:textId="690B1C89" w:rsidR="0036254C" w:rsidRDefault="0036254C" w:rsidP="00EE05FC">
      <w:pPr>
        <w:pStyle w:val="EndNoteBibliography"/>
        <w:numPr>
          <w:ilvl w:val="0"/>
          <w:numId w:val="10"/>
        </w:numPr>
      </w:pPr>
      <w:r>
        <w:t xml:space="preserve">Clark, R. E., Baxter, J. D., Barton, B. A., Aweh, G., O'Connell, E., &amp; Fisher, W. H. (2014). The impact of prior authorization on buprenorphine dose, relapse rates, and cost for Massachusetts Medicaid beneficiaries with opioid dependence. </w:t>
      </w:r>
      <w:r>
        <w:rPr>
          <w:i/>
        </w:rPr>
        <w:t>Health Serv Res, 49</w:t>
      </w:r>
      <w:r>
        <w:t>(6), 1964-1979. doi:10.1111/1475-6773.12201</w:t>
      </w:r>
    </w:p>
    <w:bookmarkEnd w:id="10"/>
    <w:p w14:paraId="02D62E76" w14:textId="45476965" w:rsidR="001301FA" w:rsidRPr="00D14B9D" w:rsidRDefault="001301FA" w:rsidP="00EE05FC">
      <w:pPr>
        <w:pStyle w:val="EndNoteBibliography"/>
        <w:numPr>
          <w:ilvl w:val="0"/>
          <w:numId w:val="10"/>
        </w:numPr>
      </w:pPr>
      <w:r w:rsidRPr="001301FA">
        <w:rPr>
          <w:rFonts w:eastAsia="Times New Roman"/>
        </w:rPr>
        <w:t xml:space="preserve">Council of Economic Advisers. (2019). </w:t>
      </w:r>
      <w:r w:rsidRPr="00283117">
        <w:rPr>
          <w:rFonts w:eastAsia="Times New Roman"/>
          <w:i/>
          <w:iCs/>
        </w:rPr>
        <w:t>The Full Cost of the Opioid Crisis: $2.5 Trillion Over Four Years</w:t>
      </w:r>
      <w:r w:rsidRPr="001301FA">
        <w:rPr>
          <w:rFonts w:eastAsia="Times New Roman"/>
        </w:rPr>
        <w:t>. https://www.whitehouse.gov/articles/full-cost-opioid-crisis-2-5-trillion-four-years/</w:t>
      </w:r>
    </w:p>
    <w:p w14:paraId="66E6EA50" w14:textId="4D494E49" w:rsidR="006F2B3B" w:rsidRDefault="008D5675" w:rsidP="00A228E6">
      <w:pPr>
        <w:pStyle w:val="EndNoteBibliography"/>
        <w:numPr>
          <w:ilvl w:val="0"/>
          <w:numId w:val="10"/>
        </w:numPr>
      </w:pPr>
      <w:bookmarkStart w:id="11" w:name="_Hlk52459218"/>
      <w:r>
        <w:t>Crane, E.H. Emergency Department Visits Involving the Accidental Ingestion of Opioid Pain Relievers by Children Aged 1 to 5. The CBHSQ Report: November 30, 2017. Center for Behavioral Health Statistics and Quality, Substance Abuse and Mental Health Services Administration, Rockville, MD.</w:t>
      </w:r>
    </w:p>
    <w:bookmarkEnd w:id="11"/>
    <w:p w14:paraId="104D29F4" w14:textId="711F2334" w:rsidR="00D579F1" w:rsidRDefault="00D579F1" w:rsidP="00A228E6">
      <w:pPr>
        <w:pStyle w:val="EndNoteBibliography"/>
        <w:numPr>
          <w:ilvl w:val="0"/>
          <w:numId w:val="10"/>
        </w:numPr>
      </w:pPr>
      <w:r w:rsidRPr="00D579F1">
        <w:t xml:space="preserve">Degenhardt L, Bucello C, Mathers B, Briegleb C, Ali H, Hickman M, McLaren J. Mortality among regular or dependent users of heroin and other opioids: a systematic review and meta-analysis of cohort studies. Addiction. 2011 Jan;106(1):32-51. doi: 10.1111/j.1360-0443.2010.03140.x. Epub 2010 Nov 4. </w:t>
      </w:r>
    </w:p>
    <w:p w14:paraId="12D6B2B9" w14:textId="752E82A5" w:rsidR="001301FA" w:rsidRDefault="001301FA" w:rsidP="00EE05FC">
      <w:pPr>
        <w:pStyle w:val="EndNoteBibliography"/>
        <w:numPr>
          <w:ilvl w:val="0"/>
          <w:numId w:val="10"/>
        </w:numPr>
      </w:pPr>
      <w:r w:rsidRPr="001301FA">
        <w:t xml:space="preserve">D’Onofrio, G., O’Connor, P. G., Pantalon, M. V., Chawarski, M. C., Busch, S. H., Owens, P. H., Bernstein, S. L., &amp; Fiellin, D. A. (2015). Emergency Department–Initiated Buprenorphine/Naloxone Treatment for Opioid Dependence: A Randomized Clinical Trial. </w:t>
      </w:r>
      <w:r w:rsidRPr="00283117">
        <w:rPr>
          <w:i/>
          <w:iCs/>
        </w:rPr>
        <w:t>JAMA</w:t>
      </w:r>
      <w:r w:rsidRPr="001301FA">
        <w:t>, 313(16), 1636. https://doi.org/10.1001/jama.2015.3474</w:t>
      </w:r>
    </w:p>
    <w:p w14:paraId="1456FD5D" w14:textId="19364078" w:rsidR="002429E2" w:rsidRDefault="00CF418C" w:rsidP="00584862">
      <w:pPr>
        <w:pStyle w:val="EndNoteBibliography"/>
        <w:numPr>
          <w:ilvl w:val="0"/>
          <w:numId w:val="10"/>
        </w:numPr>
      </w:pPr>
      <w:r>
        <w:t>Dowd, W.N., Mark, T.L., Barch, D.H., Popovic, J.R., Seibert, J.H. (2020). The Reliability and Validity of Provider-Level Claims-based Substance Use Disorder Quality Measures. Research Triangle Park, NC: RTI International</w:t>
      </w:r>
      <w:r w:rsidR="002429E2">
        <w:t xml:space="preserve"> </w:t>
      </w:r>
    </w:p>
    <w:p w14:paraId="1652414A" w14:textId="6F26E357" w:rsidR="001301FA" w:rsidRDefault="001301FA" w:rsidP="00EE05FC">
      <w:pPr>
        <w:pStyle w:val="EndNoteBibliography"/>
        <w:numPr>
          <w:ilvl w:val="0"/>
          <w:numId w:val="10"/>
        </w:numPr>
      </w:pPr>
      <w:r w:rsidRPr="001301FA">
        <w:t xml:space="preserve">Florence, C. S., Zhou, C., Luo, F., &amp; Xu, L. (2016). The Economic Burden of Prescription Opioid Overdose, Abuse, and Dependence in the United States, 2013: </w:t>
      </w:r>
      <w:r w:rsidRPr="00283117">
        <w:rPr>
          <w:i/>
          <w:iCs/>
        </w:rPr>
        <w:t>Medical Care</w:t>
      </w:r>
      <w:r w:rsidRPr="001301FA">
        <w:t>, 54(10), 901–906. https://doi.org/10.1097/MLR.0000000000000625</w:t>
      </w:r>
    </w:p>
    <w:p w14:paraId="7A36B42D" w14:textId="74434D64" w:rsidR="0036254C" w:rsidRDefault="0036254C" w:rsidP="00EE05FC">
      <w:pPr>
        <w:pStyle w:val="EndNoteBibliography"/>
        <w:numPr>
          <w:ilvl w:val="0"/>
          <w:numId w:val="10"/>
        </w:numPr>
      </w:pPr>
      <w:r>
        <w:t xml:space="preserve">Fudala, P. J., Bridge, T. P., Herbert, S., Williford, W. O., Chiang, C. N., Jones, K., . . . Buprenorphine/Naloxone Collaborative Study, G. (2003). Office-based treatment of opiate addiction with a sublingual-tablet formulation of buprenorphine and naloxone. </w:t>
      </w:r>
      <w:r>
        <w:rPr>
          <w:i/>
        </w:rPr>
        <w:t>N Engl J Med, 349</w:t>
      </w:r>
      <w:r>
        <w:t>(10), 949-958. doi:10.1056/NEJMoa022164</w:t>
      </w:r>
    </w:p>
    <w:p w14:paraId="1FAB28C5" w14:textId="77777777" w:rsidR="0036254C" w:rsidRDefault="0036254C" w:rsidP="00EE05FC">
      <w:pPr>
        <w:pStyle w:val="EndNoteBibliography"/>
        <w:numPr>
          <w:ilvl w:val="0"/>
          <w:numId w:val="10"/>
        </w:numPr>
      </w:pPr>
      <w:r>
        <w:t xml:space="preserve">Fullerton, C. A., Kim, M., Thomas, C. P., Lyman, D. R., Montejano, L. B., Dougherty, R. H., . . . Delphin-Rittmon, M. E. (2014). Medication-assisted treatment with methadone: assessing the evidence. </w:t>
      </w:r>
      <w:r>
        <w:rPr>
          <w:i/>
        </w:rPr>
        <w:t>Psychiatr Serv, 65</w:t>
      </w:r>
      <w:r>
        <w:t>(2), 146-157. doi:10.1176/appi.ps.201300235</w:t>
      </w:r>
    </w:p>
    <w:p w14:paraId="205090CC" w14:textId="36F797A9" w:rsidR="001301FA" w:rsidRDefault="001301FA" w:rsidP="00EE05FC">
      <w:pPr>
        <w:pStyle w:val="EndNoteBibliography"/>
        <w:numPr>
          <w:ilvl w:val="0"/>
          <w:numId w:val="10"/>
        </w:numPr>
      </w:pPr>
      <w:r w:rsidRPr="001301FA">
        <w:t xml:space="preserve">Haley, S. J., Maroko, A. R., Wyka, K., &amp; Baker, M. R. (2019). The association between county-level safety net treatment access and opioid hospitalizations and mortality in New York. </w:t>
      </w:r>
      <w:r w:rsidRPr="00283117">
        <w:rPr>
          <w:i/>
          <w:iCs/>
        </w:rPr>
        <w:t>Journal of Substance Abuse Treatment</w:t>
      </w:r>
      <w:r w:rsidRPr="001301FA">
        <w:t>, 100, 52–58. https://doi.org/10.1016/j.jsat.2019.02.004</w:t>
      </w:r>
    </w:p>
    <w:p w14:paraId="33FFFB3F" w14:textId="37036801" w:rsidR="001301FA" w:rsidRDefault="001301FA" w:rsidP="00EE05FC">
      <w:pPr>
        <w:pStyle w:val="EndNoteBibliography"/>
        <w:numPr>
          <w:ilvl w:val="0"/>
          <w:numId w:val="10"/>
        </w:numPr>
      </w:pPr>
      <w:r w:rsidRPr="001301FA">
        <w:t xml:space="preserve">Jarvis, B. P., Holtyn, A. F., Subramaniam, S., Tompkins, D. A., Oga, E. A., Bigelow, G. E., &amp; Silverman, K. (2018). Extended-release injectable naltrexone for opioid use disorder: A systematic review: Review of XR-NTX for OUD. </w:t>
      </w:r>
      <w:r w:rsidRPr="00283117">
        <w:rPr>
          <w:i/>
          <w:iCs/>
        </w:rPr>
        <w:t>Addiction</w:t>
      </w:r>
      <w:r w:rsidRPr="001301FA">
        <w:t>, 113(7), 1188–1209. https://doi.org/10.1111/add.14180</w:t>
      </w:r>
    </w:p>
    <w:p w14:paraId="0447E250" w14:textId="75F0D5AB" w:rsidR="0036254C" w:rsidRDefault="0036254C" w:rsidP="00EE05FC">
      <w:pPr>
        <w:pStyle w:val="EndNoteBibliography"/>
        <w:numPr>
          <w:ilvl w:val="0"/>
          <w:numId w:val="10"/>
        </w:numPr>
      </w:pPr>
      <w:r>
        <w:t xml:space="preserve">Johnson, R. E., Eissenberg, T., Stitzer, M. L., Strain, E. C., Liebson, I. A., &amp; Bigelow, G. E. (1995). A placebo controlled clinical trial of buprenorphine as a treatment for opioid dependence. </w:t>
      </w:r>
      <w:r>
        <w:rPr>
          <w:i/>
        </w:rPr>
        <w:t>Drug Alcohol Depend, 40</w:t>
      </w:r>
      <w:r>
        <w:t xml:space="preserve">(1), 17-25. </w:t>
      </w:r>
    </w:p>
    <w:p w14:paraId="54C1DB3F" w14:textId="77777777" w:rsidR="0036254C" w:rsidRDefault="0036254C" w:rsidP="00EE05FC">
      <w:pPr>
        <w:pStyle w:val="EndNoteBibliography"/>
        <w:numPr>
          <w:ilvl w:val="0"/>
          <w:numId w:val="10"/>
        </w:numPr>
      </w:pPr>
      <w:r>
        <w:t xml:space="preserve">Johnson, R. E., Jaffe, J. H., &amp; Fudala, P. J. (1992). A controlled trial of buprenorphine treatment for opioid dependence. </w:t>
      </w:r>
      <w:r>
        <w:rPr>
          <w:i/>
        </w:rPr>
        <w:t>JAMA, 267</w:t>
      </w:r>
      <w:r>
        <w:t xml:space="preserve">(20), 2750-2755. </w:t>
      </w:r>
    </w:p>
    <w:p w14:paraId="2C04E4F7" w14:textId="4A4B8947" w:rsidR="0036254C" w:rsidRDefault="0036254C" w:rsidP="00EE05FC">
      <w:pPr>
        <w:pStyle w:val="EndNoteBibliography"/>
        <w:numPr>
          <w:ilvl w:val="0"/>
          <w:numId w:val="10"/>
        </w:numPr>
      </w:pPr>
      <w:r>
        <w:t xml:space="preserve">Johnson, R. E., Strain, E. C., &amp; Amass, L. (2003). Buprenorphine: how to use it right. </w:t>
      </w:r>
      <w:r>
        <w:rPr>
          <w:i/>
        </w:rPr>
        <w:t>Drug Alcohol Depend, 70</w:t>
      </w:r>
      <w:r>
        <w:t xml:space="preserve">(2 Suppl), S59-77. </w:t>
      </w:r>
    </w:p>
    <w:p w14:paraId="6E6ABC30" w14:textId="63E636EF" w:rsidR="001301FA" w:rsidRDefault="00DF39F9" w:rsidP="00EE05FC">
      <w:pPr>
        <w:pStyle w:val="EndNoteBibliography"/>
        <w:numPr>
          <w:ilvl w:val="0"/>
          <w:numId w:val="10"/>
        </w:numPr>
      </w:pPr>
      <w:bookmarkStart w:id="12" w:name="_Hlk52455137"/>
      <w:r w:rsidRPr="00DF39F9">
        <w:t xml:space="preserve">Larochelle, M. R., Bernson, D., Land, T., Stopka, T. J., Wang, N., Xuan, Z., Bagley, S. M., Liebschutz, J. M., &amp; Walley, A. Y. (2018). Medication for Opioid Use Disorder After Nonfatal Opioid Overdose and </w:t>
      </w:r>
      <w:r w:rsidRPr="00DF39F9">
        <w:lastRenderedPageBreak/>
        <w:t xml:space="preserve">Association With Mortality: A Cohort Study. </w:t>
      </w:r>
      <w:r w:rsidRPr="00283117">
        <w:rPr>
          <w:i/>
          <w:iCs/>
        </w:rPr>
        <w:t>Annals of Internal Medicine</w:t>
      </w:r>
      <w:r w:rsidRPr="00DF39F9">
        <w:t>, 169(3), 137. https://doi.org/10.7326/M17-3107</w:t>
      </w:r>
    </w:p>
    <w:p w14:paraId="78489475" w14:textId="353650EA" w:rsidR="001301FA" w:rsidRDefault="002247BB" w:rsidP="00EE05FC">
      <w:pPr>
        <w:pStyle w:val="EndNoteBibliography"/>
        <w:numPr>
          <w:ilvl w:val="0"/>
          <w:numId w:val="10"/>
        </w:numPr>
      </w:pPr>
      <w:bookmarkStart w:id="13" w:name="_Hlk52455207"/>
      <w:bookmarkEnd w:id="12"/>
      <w:r w:rsidRPr="002247BB">
        <w:t xml:space="preserve">Lo-Ciganic WH, Gellad WF, Gordon AJ, et al. Association between trajectories of buprenorphine treatment and emergency department and in-patient utilization. </w:t>
      </w:r>
      <w:r w:rsidRPr="00283117">
        <w:rPr>
          <w:i/>
          <w:iCs/>
        </w:rPr>
        <w:t>Addiction</w:t>
      </w:r>
      <w:r w:rsidRPr="002247BB">
        <w:t>. 2016;111(5):892-902. doi:10.1111/add.13270</w:t>
      </w:r>
    </w:p>
    <w:bookmarkEnd w:id="13"/>
    <w:p w14:paraId="52D0B2D8" w14:textId="2219ABE4" w:rsidR="0036254C" w:rsidRDefault="0036254C" w:rsidP="00EE05FC">
      <w:pPr>
        <w:pStyle w:val="EndNoteBibliography"/>
        <w:numPr>
          <w:ilvl w:val="0"/>
          <w:numId w:val="10"/>
        </w:numPr>
      </w:pPr>
      <w:r>
        <w:t xml:space="preserve">Ling, W., Charuvastra, C., Collins, J. F., Batki, S., Brown, L. S., Jr., Kintaudi, P., . . . Segal, D. (1998). Buprenorphine maintenance treatment of opiate dependence: a multicenter, randomized clinical trial. </w:t>
      </w:r>
      <w:r>
        <w:rPr>
          <w:i/>
        </w:rPr>
        <w:t>Addiction, 93</w:t>
      </w:r>
      <w:r>
        <w:t xml:space="preserve">(4), 475-486. </w:t>
      </w:r>
    </w:p>
    <w:p w14:paraId="2FB06F5D" w14:textId="58977CA4" w:rsidR="00DF39F9" w:rsidRPr="002247BB" w:rsidRDefault="00DF39F9" w:rsidP="00EE05FC">
      <w:pPr>
        <w:pStyle w:val="EndNoteBibliography"/>
        <w:numPr>
          <w:ilvl w:val="0"/>
          <w:numId w:val="10"/>
        </w:numPr>
        <w:rPr>
          <w:iCs/>
        </w:rPr>
      </w:pPr>
      <w:bookmarkStart w:id="14" w:name="_Hlk52455265"/>
      <w:r w:rsidRPr="00DF39F9">
        <w:rPr>
          <w:iCs/>
        </w:rPr>
        <w:t xml:space="preserve">Ma, J., Bao, Y.-P., Wang, R.-J., Su, M.-F., Liu, M.-X., Li, J.-Q., Degenhardt, L., Farrell, M., Blow, F. C., Ilgen, M., Shi, J., &amp; Lu, L. (2019). Effects of medication-assisted treatment on mortality among opioids users: A systematic review and meta-analysis. </w:t>
      </w:r>
      <w:r w:rsidRPr="00283117">
        <w:rPr>
          <w:i/>
        </w:rPr>
        <w:t>Molecular Psychiatry</w:t>
      </w:r>
      <w:r w:rsidRPr="00DF39F9">
        <w:rPr>
          <w:iCs/>
        </w:rPr>
        <w:t>, 24(12), 1868–1883. https://doi.org/10.1038/s41380-018-0094-5</w:t>
      </w:r>
    </w:p>
    <w:p w14:paraId="718EFF09" w14:textId="0AE4DA99" w:rsidR="00DF39F9" w:rsidRDefault="00DF39F9" w:rsidP="00EE05FC">
      <w:pPr>
        <w:pStyle w:val="EndNoteBibliography"/>
        <w:numPr>
          <w:ilvl w:val="0"/>
          <w:numId w:val="10"/>
        </w:numPr>
        <w:rPr>
          <w:iCs/>
        </w:rPr>
      </w:pPr>
      <w:r w:rsidRPr="00DF39F9">
        <w:rPr>
          <w:iCs/>
        </w:rPr>
        <w:t xml:space="preserve">Mark, T. L., Parish, W. J., &amp; Zarkin, G. A. (2020). Association of Formulary Prior Authorization Policies With Buprenorphine-Naloxone Prescriptions and Hospital and Emergency Department Use Among Medicare Beneficiaries. </w:t>
      </w:r>
      <w:r w:rsidRPr="00283117">
        <w:rPr>
          <w:i/>
        </w:rPr>
        <w:t>JAMA Network Open</w:t>
      </w:r>
      <w:r w:rsidRPr="00DF39F9">
        <w:rPr>
          <w:iCs/>
        </w:rPr>
        <w:t>, 3(4), e203132. https://doi.org/10.1001/jamanetworkopen.2020.3132</w:t>
      </w:r>
    </w:p>
    <w:p w14:paraId="08A2C86C" w14:textId="7B91E580" w:rsidR="00173697" w:rsidRPr="002247BB" w:rsidRDefault="00173697" w:rsidP="00EE05FC">
      <w:pPr>
        <w:pStyle w:val="EndNoteBibliography"/>
        <w:numPr>
          <w:ilvl w:val="0"/>
          <w:numId w:val="10"/>
        </w:numPr>
        <w:rPr>
          <w:iCs/>
        </w:rPr>
      </w:pPr>
      <w:bookmarkStart w:id="15" w:name="_Hlk52456837"/>
      <w:bookmarkEnd w:id="14"/>
      <w:r>
        <w:rPr>
          <w:iCs/>
        </w:rPr>
        <w:t>Mark, T.L, Dowd, W.N , Council, C..L. Tracking the Qualty of Addiction Treatment Over Time and Across States: Using the Federal Government's "Signs" of Higher Quality. RTI Press. June, 2020</w:t>
      </w:r>
    </w:p>
    <w:p w14:paraId="2B69DD84" w14:textId="78E3BFE5" w:rsidR="0036254C" w:rsidRDefault="0036254C" w:rsidP="00EE05FC">
      <w:pPr>
        <w:pStyle w:val="EndNoteBibliography"/>
        <w:numPr>
          <w:ilvl w:val="0"/>
          <w:numId w:val="10"/>
        </w:numPr>
        <w:rPr>
          <w:i/>
        </w:rPr>
      </w:pPr>
      <w:bookmarkStart w:id="16" w:name="_Hlk52455458"/>
      <w:bookmarkEnd w:id="15"/>
      <w:r>
        <w:t xml:space="preserve">Mattick, R. P., Breen, C., Kimber, J., &amp; Davoli, M. (2003). Methadone maintenance therapy versus no opioid replacement therapy for opioid dependence (Cochrane Review). </w:t>
      </w:r>
      <w:r>
        <w:rPr>
          <w:i/>
        </w:rPr>
        <w:t>Cochrane Database Systems Review 2003(2):CD00209.</w:t>
      </w:r>
    </w:p>
    <w:p w14:paraId="1763CAA7" w14:textId="77777777" w:rsidR="0036254C" w:rsidRDefault="0036254C" w:rsidP="00EE05FC">
      <w:pPr>
        <w:pStyle w:val="EndNoteBibliography"/>
        <w:numPr>
          <w:ilvl w:val="0"/>
          <w:numId w:val="10"/>
        </w:numPr>
      </w:pPr>
      <w:r>
        <w:t xml:space="preserve">Mattick, R. P., Breen, C., Kimber, J., &amp; Davoli, M. (2009). </w:t>
      </w:r>
      <w:r>
        <w:rPr>
          <w:i/>
        </w:rPr>
        <w:t>Methadone maintenance therapy versus no opioid replacement therapy for opioid dependence. Cochrane Database of Systematic Reviews 2009, Issue 3. Art. No.: CD002209. DOI: 10.1002/14651858.CD002209.pub2.</w:t>
      </w:r>
      <w:r>
        <w:t xml:space="preserve"> Retrieved from </w:t>
      </w:r>
    </w:p>
    <w:p w14:paraId="22BEB6C9" w14:textId="77777777" w:rsidR="0042211B" w:rsidRDefault="00DF39F9" w:rsidP="00EE05FC">
      <w:pPr>
        <w:pStyle w:val="EndNoteBibliography"/>
        <w:numPr>
          <w:ilvl w:val="0"/>
          <w:numId w:val="10"/>
        </w:numPr>
      </w:pPr>
      <w:r w:rsidRPr="00DF39F9">
        <w:t xml:space="preserve">Mattick, R. P., Breen, C., Kimber, J., &amp; Davoli, M. (2014). Buprenorphine maintenance versus placebo or methadone maintenance for opioid dependence. </w:t>
      </w:r>
      <w:r w:rsidRPr="00283117">
        <w:rPr>
          <w:i/>
          <w:iCs/>
        </w:rPr>
        <w:t>Cochrane Database of Systematic Reviews</w:t>
      </w:r>
      <w:r w:rsidRPr="00DF39F9">
        <w:t>. https://doi.org/10.1002/14651858.CD002207.pub4</w:t>
      </w:r>
    </w:p>
    <w:p w14:paraId="7FE5DA8B" w14:textId="6F63FD50" w:rsidR="00874A6B" w:rsidRDefault="00874A6B" w:rsidP="00EE05FC">
      <w:pPr>
        <w:pStyle w:val="EndNoteBibliography"/>
        <w:numPr>
          <w:ilvl w:val="0"/>
          <w:numId w:val="10"/>
        </w:numPr>
      </w:pPr>
      <w:bookmarkStart w:id="17" w:name="_Hlk52911788"/>
      <w:bookmarkEnd w:id="16"/>
      <w:r w:rsidRPr="00874A6B">
        <w:t>Minozzi</w:t>
      </w:r>
      <w:bookmarkEnd w:id="17"/>
      <w:r w:rsidRPr="00874A6B">
        <w:t>, S., Amato, L., Vecchi, S., Davoli, M., Kirchmayer, U., &amp; Verster, A. (2011). Oral naltrexone maintenance treatment for opioid dependence. The Cochrane database of systematic reviews, 2011(4), CD001333. https://doi.org/10.1002/14651858.CD001333.pub4</w:t>
      </w:r>
    </w:p>
    <w:p w14:paraId="5015522A" w14:textId="0C1C9694" w:rsidR="0036254C" w:rsidRDefault="0036254C" w:rsidP="00EE05FC">
      <w:pPr>
        <w:pStyle w:val="EndNoteBibliography"/>
        <w:numPr>
          <w:ilvl w:val="0"/>
          <w:numId w:val="10"/>
        </w:numPr>
      </w:pPr>
      <w:r>
        <w:t xml:space="preserve">Mohlman, M. K., Tanzman, B., Finison, K., Pinette, M., &amp; Jones, C. (2016). Impact of Medication-Assisted Treatment for Opioid Addiction on Medicaid Expenditures and Health Services Utilization Rates in Vermont. </w:t>
      </w:r>
      <w:r>
        <w:rPr>
          <w:i/>
        </w:rPr>
        <w:t>J Subst Abuse Treat, 67</w:t>
      </w:r>
      <w:r>
        <w:t>, 9-14. doi:10.1016/j.jsat.2016.05.002</w:t>
      </w:r>
    </w:p>
    <w:p w14:paraId="1A88801B" w14:textId="4A4E69EF" w:rsidR="00851904" w:rsidRDefault="00851904" w:rsidP="00EE05FC">
      <w:pPr>
        <w:pStyle w:val="EndNoteBibliography"/>
        <w:numPr>
          <w:ilvl w:val="0"/>
          <w:numId w:val="10"/>
        </w:numPr>
      </w:pPr>
      <w:r w:rsidRPr="00851904">
        <w:t>National Institute of Drug Abuse (NIDA). (2018, June 8). Medications to Treat Opioid Use Disorder. Retrieved from https://www.drugabuse.gov/publications/research-reports/medications-to-treat-opioid-use-disorder on 2020, May 11</w:t>
      </w:r>
      <w:r>
        <w:t>.</w:t>
      </w:r>
    </w:p>
    <w:p w14:paraId="08040416" w14:textId="04826C7C" w:rsidR="00DF39F9" w:rsidRDefault="00DF39F9" w:rsidP="00EE05FC">
      <w:pPr>
        <w:pStyle w:val="EndNoteBibliography"/>
        <w:numPr>
          <w:ilvl w:val="0"/>
          <w:numId w:val="10"/>
        </w:numPr>
      </w:pPr>
      <w:r w:rsidRPr="00DF39F9">
        <w:t xml:space="preserve">Nielsen, S., Larance, B., Degenhardt, L., Gowing, L., Kehler, C., &amp; Lintzeris, N. (2016). Opioid agonist treatment for pharmaceutical opioid dependent people. </w:t>
      </w:r>
      <w:r w:rsidRPr="00283117">
        <w:rPr>
          <w:i/>
          <w:iCs/>
        </w:rPr>
        <w:t>Cochrane Database of Systematic Reviews</w:t>
      </w:r>
      <w:r w:rsidRPr="00DF39F9">
        <w:t>. https://doi.org/10.1002/14651858.CD011117.pub2</w:t>
      </w:r>
    </w:p>
    <w:p w14:paraId="5CFE0294" w14:textId="4ECC2068" w:rsidR="0036254C" w:rsidRDefault="0036254C" w:rsidP="00EE05FC">
      <w:pPr>
        <w:pStyle w:val="EndNoteBibliography"/>
        <w:numPr>
          <w:ilvl w:val="0"/>
          <w:numId w:val="10"/>
        </w:numPr>
      </w:pPr>
      <w:r>
        <w:t xml:space="preserve">O'Connor, P. G., &amp; Fiellin, D. A. (2000). Pharmacologic treatment of heroin-dependent patients. </w:t>
      </w:r>
      <w:r>
        <w:rPr>
          <w:i/>
        </w:rPr>
        <w:t>Ann Intern Med, 133</w:t>
      </w:r>
      <w:r>
        <w:t xml:space="preserve">(1), 40-54. </w:t>
      </w:r>
    </w:p>
    <w:p w14:paraId="17B5C222" w14:textId="77777777" w:rsidR="0036254C" w:rsidRDefault="0036254C" w:rsidP="00EE05FC">
      <w:pPr>
        <w:pStyle w:val="EndNoteBibliography"/>
        <w:numPr>
          <w:ilvl w:val="0"/>
          <w:numId w:val="10"/>
        </w:numPr>
      </w:pPr>
      <w:bookmarkStart w:id="18" w:name="_Hlk52455602"/>
      <w:r w:rsidRPr="0036254C">
        <w:rPr>
          <w:lang w:val="es-PR"/>
        </w:rPr>
        <w:t xml:space="preserve">Parran, T. V., Adelman, C. A., Merkin, B., Pagano, M. E., Defranco, R., Ionescu, R. A., &amp; Mace, A. G. (2010). </w:t>
      </w:r>
      <w:r>
        <w:t xml:space="preserve">Long-term outcomes of office-based buprenorphine/naloxone maintenance therapy. </w:t>
      </w:r>
      <w:r>
        <w:rPr>
          <w:i/>
        </w:rPr>
        <w:t>Drug Alcohol Depend, 106</w:t>
      </w:r>
      <w:r>
        <w:t>(1), 56-60. doi:10.1016/j.drugalcdep.2009.07.01</w:t>
      </w:r>
      <w:bookmarkEnd w:id="18"/>
      <w:r>
        <w:t>3</w:t>
      </w:r>
    </w:p>
    <w:p w14:paraId="32E54814" w14:textId="77777777" w:rsidR="0036254C" w:rsidRDefault="0036254C" w:rsidP="00EE05FC">
      <w:pPr>
        <w:pStyle w:val="EndNoteBibliography"/>
        <w:numPr>
          <w:ilvl w:val="0"/>
          <w:numId w:val="10"/>
        </w:numPr>
      </w:pPr>
      <w:r>
        <w:t xml:space="preserve">Petitjean, S., Stohler, R., Deglon, J. J., Livoti, S., Waldvogel, D., Uehlinger, C., &amp; Ladewig, D. (2001). Double-blind randomized trial of buprenorphine and methadone in opiate dependence. </w:t>
      </w:r>
      <w:r>
        <w:rPr>
          <w:i/>
        </w:rPr>
        <w:t>Drug Alcohol Depend, 62</w:t>
      </w:r>
      <w:r>
        <w:t xml:space="preserve">(1), 97-104. </w:t>
      </w:r>
    </w:p>
    <w:p w14:paraId="210AE3CF" w14:textId="77777777" w:rsidR="0036254C" w:rsidRDefault="0036254C" w:rsidP="00EE05FC">
      <w:pPr>
        <w:pStyle w:val="EndNoteBibliography"/>
        <w:numPr>
          <w:ilvl w:val="0"/>
          <w:numId w:val="10"/>
        </w:numPr>
      </w:pPr>
      <w:bookmarkStart w:id="19" w:name="_Hlk52455656"/>
      <w:r>
        <w:lastRenderedPageBreak/>
        <w:t xml:space="preserve">Pierce, M., Bird, S. M., Hickman, M., Marsden, J., Dunn, G., Jones, A., &amp; Millar, T. (2016). Impact of treatment for opioid dependence on fatal drug-related poisoning: a national cohort study in England. </w:t>
      </w:r>
      <w:r>
        <w:rPr>
          <w:i/>
        </w:rPr>
        <w:t>Addiction, 111</w:t>
      </w:r>
      <w:r>
        <w:t>(2), 298-308. doi:10.1111/add.13193</w:t>
      </w:r>
    </w:p>
    <w:bookmarkEnd w:id="19"/>
    <w:p w14:paraId="39D24D0C" w14:textId="2030A835" w:rsidR="0036254C" w:rsidRDefault="0036254C" w:rsidP="00EE05FC">
      <w:pPr>
        <w:pStyle w:val="EndNoteBibliography"/>
        <w:numPr>
          <w:ilvl w:val="0"/>
          <w:numId w:val="10"/>
        </w:numPr>
      </w:pPr>
      <w:r>
        <w:t xml:space="preserve">Preston, K. L., Silverman, K., Umbricht, A., DeJesus, A., Montoya, I. D., &amp; Schuster, C. R. (1999). Improvement in naltrexone treatment compliance with contingency management. </w:t>
      </w:r>
      <w:r>
        <w:rPr>
          <w:i/>
        </w:rPr>
        <w:t>Drug Alcohol Depend, 54</w:t>
      </w:r>
      <w:r>
        <w:t xml:space="preserve">(2), 127-135. </w:t>
      </w:r>
    </w:p>
    <w:p w14:paraId="0686CDF4" w14:textId="77777777" w:rsidR="0042211B" w:rsidRDefault="00DF39F9" w:rsidP="00EE05FC">
      <w:pPr>
        <w:pStyle w:val="EndNoteBibliography"/>
        <w:numPr>
          <w:ilvl w:val="0"/>
          <w:numId w:val="10"/>
        </w:numPr>
      </w:pPr>
      <w:r w:rsidRPr="00DF39F9">
        <w:t xml:space="preserve">Ronquest, N., Willson, T., Montejano, L., Nadipelli, V., &amp; Wollschlaeger, B. (2018). Relationship between buprenorphine adherence and relapse, health care utilization and costs in privately and publicly insured patients with opioid use disorder. </w:t>
      </w:r>
      <w:r w:rsidRPr="00283117">
        <w:rPr>
          <w:i/>
          <w:iCs/>
        </w:rPr>
        <w:t>Substance Abuse and Rehabilitation, Volume 9</w:t>
      </w:r>
      <w:r w:rsidRPr="00DF39F9">
        <w:t>, 59–78. https://doi.org/10.2147/SAR.S150253</w:t>
      </w:r>
    </w:p>
    <w:p w14:paraId="53E29ED3" w14:textId="42B3CB30" w:rsidR="0036254C" w:rsidRDefault="0036254C" w:rsidP="00EE05FC">
      <w:pPr>
        <w:pStyle w:val="EndNoteBibliography"/>
        <w:numPr>
          <w:ilvl w:val="0"/>
          <w:numId w:val="10"/>
        </w:numPr>
      </w:pPr>
      <w:r>
        <w:t xml:space="preserve">Rothenberg, J. L., Sullivan, M. A., Church, S. H., Seracini, A., Collins, E., Kleber, H. D., &amp; Nunes, E. V. (2002). Behavioral naltrexone therapy: an integrated treatment for opiate dependence. </w:t>
      </w:r>
      <w:r>
        <w:rPr>
          <w:i/>
        </w:rPr>
        <w:t>J Subst Abuse Treat, 23</w:t>
      </w:r>
      <w:r>
        <w:t xml:space="preserve">(4), 351-360. </w:t>
      </w:r>
    </w:p>
    <w:p w14:paraId="6E64E17A" w14:textId="62003ACF" w:rsidR="00D83C1D" w:rsidRDefault="00D83C1D" w:rsidP="00584862">
      <w:pPr>
        <w:pStyle w:val="EndNoteBibliography"/>
        <w:numPr>
          <w:ilvl w:val="0"/>
          <w:numId w:val="10"/>
        </w:numPr>
      </w:pPr>
      <w:bookmarkStart w:id="20" w:name="_Hlk52456514"/>
      <w:r>
        <w:t>Substance Abuse and Mental Health Services Administration, Center for Behavioral Health Statistics and Quality. Treatment Episode Data Set (TEDS): 2005-2015. National Admissions to Substance Abuse Treatment Services. BHSIS Series S-91, HHS Publication No. (SMA) 17-5037. Rockville, MD: Substance Abuse and Mental Health Services Administration; 2017.</w:t>
      </w:r>
    </w:p>
    <w:bookmarkEnd w:id="20"/>
    <w:p w14:paraId="37F3D9D9" w14:textId="73F9A595" w:rsidR="0036254C" w:rsidRDefault="0036254C" w:rsidP="00EE05FC">
      <w:pPr>
        <w:pStyle w:val="EndNoteBibliography"/>
        <w:numPr>
          <w:ilvl w:val="0"/>
          <w:numId w:val="10"/>
        </w:numPr>
      </w:pPr>
      <w:r>
        <w:t xml:space="preserve">Schottenfeld, R. S., Pakes, J. R., Oliveto, A., Ziedonis, D., &amp; Kosten, T. R. (1997). Buprenorphine vs methadone maintenance treatment for concurrent opioid dependence and cocaine abuse. </w:t>
      </w:r>
      <w:r>
        <w:rPr>
          <w:i/>
        </w:rPr>
        <w:t>Arch Gen Psychiatry, 54</w:t>
      </w:r>
      <w:r>
        <w:t xml:space="preserve">(8), 713-720. </w:t>
      </w:r>
    </w:p>
    <w:p w14:paraId="00F9E183" w14:textId="70A08815" w:rsidR="00DF39F9" w:rsidRDefault="00DF39F9" w:rsidP="00EE05FC">
      <w:pPr>
        <w:pStyle w:val="EndNoteBibliography"/>
        <w:numPr>
          <w:ilvl w:val="0"/>
          <w:numId w:val="10"/>
        </w:numPr>
      </w:pPr>
      <w:r w:rsidRPr="00DF39F9">
        <w:t xml:space="preserve">Schwarz, R., Zelenev, A., Bruce, R. D., &amp; Altice, F. L. (2012). Retention on buprenorphine treatment reduces emergency department utilization, but not hospitalization, among treatment-seeking patients with opioid dependence. </w:t>
      </w:r>
      <w:r w:rsidRPr="00283117">
        <w:rPr>
          <w:i/>
          <w:iCs/>
        </w:rPr>
        <w:t>Journal of Substance Abuse Treatment</w:t>
      </w:r>
      <w:r w:rsidRPr="00DF39F9">
        <w:t>, 43(4), 451–457. https://doi.org/10.1016/j.jsat.2012.03.008</w:t>
      </w:r>
    </w:p>
    <w:p w14:paraId="508EE399" w14:textId="3FF414EB" w:rsidR="00DF39F9" w:rsidRDefault="00DF39F9" w:rsidP="00EE05FC">
      <w:pPr>
        <w:pStyle w:val="EndNoteBibliography"/>
        <w:numPr>
          <w:ilvl w:val="0"/>
          <w:numId w:val="10"/>
        </w:numPr>
      </w:pPr>
      <w:r w:rsidRPr="00DF39F9">
        <w:t>Sordo, L., Barrio, G., Bravo, M. J., Indave, B. I., Degenhardt, L., Wiessing, L., Ferri, M., &amp; Pastor-Barriuso, R. (2017). Mortality risk during and after opioid substitution treatment: Systematic review and meta-analysis of cohort studies. BMJ, j1550. https://doi.org/10.1136/bmj.j1550</w:t>
      </w:r>
    </w:p>
    <w:p w14:paraId="7BDBB08A" w14:textId="2CF45B8B" w:rsidR="000A3424" w:rsidRDefault="0036254C" w:rsidP="00EE05FC">
      <w:pPr>
        <w:pStyle w:val="EndNoteBibliography"/>
        <w:numPr>
          <w:ilvl w:val="0"/>
          <w:numId w:val="10"/>
        </w:numPr>
      </w:pPr>
      <w:r>
        <w:t xml:space="preserve">Substance Abuse and Mental Health Services Administration. (2015). </w:t>
      </w:r>
      <w:r>
        <w:rPr>
          <w:i/>
        </w:rPr>
        <w:t>Drug Addiction Treatment Act of 2000 (DATA 2000).</w:t>
      </w:r>
      <w:r>
        <w:t xml:space="preserve"> Retrieved from </w:t>
      </w:r>
      <w:hyperlink r:id="rId36" w:anchor="DATA-2000" w:history="1">
        <w:r>
          <w:rPr>
            <w:rStyle w:val="Hyperlink"/>
          </w:rPr>
          <w:t>https://www.samhsa.gov/medication-assisted-treatment/legislation-regulations-guidelines#DATA-2000</w:t>
        </w:r>
      </w:hyperlink>
      <w:r>
        <w:t xml:space="preserve">  </w:t>
      </w:r>
      <w:r w:rsidR="000A3424">
        <w:t xml:space="preserve">Substance Abuse and Mental Health Services Administration. </w:t>
      </w:r>
      <w:r w:rsidR="000A3424" w:rsidRPr="00283117">
        <w:rPr>
          <w:i/>
          <w:iCs/>
        </w:rPr>
        <w:t>Medications for Opioid Use Disorder</w:t>
      </w:r>
      <w:r w:rsidR="000A3424">
        <w:t>. Treatment Improvement Protocol (TIP) Series 63. Publication No. PEP20-02-01-006. Rockville, MD: Substance Abuse and Mental Health Services Administration, 2020.</w:t>
      </w:r>
    </w:p>
    <w:p w14:paraId="3F5C9AFA" w14:textId="122C2338" w:rsidR="00DF39F9" w:rsidRDefault="00DF39F9" w:rsidP="00EE05FC">
      <w:pPr>
        <w:pStyle w:val="EndNoteBibliography"/>
        <w:numPr>
          <w:ilvl w:val="0"/>
          <w:numId w:val="10"/>
        </w:numPr>
      </w:pPr>
      <w:bookmarkStart w:id="21" w:name="_Hlk52455886"/>
      <w:r w:rsidRPr="00DF39F9">
        <w:t xml:space="preserve">Syed, Y. Y., &amp; Keating, G. M. (2013). Extended-Release Intramuscular Naltrexone (VIVITROL®): A Review of Its Use in the Prevention of Relapse to Opioid Dependence in Detoxified Patients. </w:t>
      </w:r>
      <w:r w:rsidRPr="00283117">
        <w:rPr>
          <w:i/>
          <w:iCs/>
        </w:rPr>
        <w:t>CNS Drugs</w:t>
      </w:r>
      <w:r w:rsidRPr="00DF39F9">
        <w:t>, 27(10), 851–861. https://doi.org/10.1007/s40263-013-0110-x</w:t>
      </w:r>
    </w:p>
    <w:p w14:paraId="7121977D" w14:textId="5211388C" w:rsidR="0036254C" w:rsidRDefault="0036254C" w:rsidP="00EE05FC">
      <w:pPr>
        <w:pStyle w:val="EndNoteBibliography"/>
        <w:numPr>
          <w:ilvl w:val="0"/>
          <w:numId w:val="10"/>
        </w:numPr>
      </w:pPr>
      <w:bookmarkStart w:id="22" w:name="_Hlk52455949"/>
      <w:bookmarkEnd w:id="21"/>
      <w:r>
        <w:t xml:space="preserve">Thomas, C. P., Fullerton, C. A., Kim, M., Montejano, L., Lyman, D. R., Dougherty, R. H., . . . Delphin-Rittmon, M. E. (2014). Medication-assisted treatment with buprenorphine: assessing the evidence. </w:t>
      </w:r>
      <w:r>
        <w:rPr>
          <w:i/>
        </w:rPr>
        <w:t>Psychiatr Serv, 65</w:t>
      </w:r>
      <w:r>
        <w:t>(2), 158-170. doi:10.1176/appi.ps.201300256</w:t>
      </w:r>
    </w:p>
    <w:bookmarkEnd w:id="22"/>
    <w:p w14:paraId="79B3274D" w14:textId="39F22792" w:rsidR="00CB3E05" w:rsidRDefault="00CB3E05" w:rsidP="00EE05FC">
      <w:pPr>
        <w:pStyle w:val="EndNoteBibliography"/>
        <w:numPr>
          <w:ilvl w:val="0"/>
          <w:numId w:val="10"/>
        </w:numPr>
      </w:pPr>
      <w:r w:rsidRPr="00CB3E05">
        <w:t xml:space="preserve">Timko C, Schultz NR, Cucciare MA, Vittorio L, Garrison-Diehn C. Retention in medication-assisted treatment for opiate dependence: A systematic review. J Addict Dis. 2016;35(1):22-35. </w:t>
      </w:r>
    </w:p>
    <w:p w14:paraId="12AED5B9" w14:textId="5E1BCB4D" w:rsidR="00AC5DEC" w:rsidRDefault="00AC5DEC" w:rsidP="00EE05FC">
      <w:pPr>
        <w:pStyle w:val="EndNoteBibliography"/>
        <w:numPr>
          <w:ilvl w:val="0"/>
          <w:numId w:val="10"/>
        </w:numPr>
      </w:pPr>
      <w:r w:rsidRPr="00AC5DEC">
        <w:t>Volkow ND, Jones EB, Einstein EB, Wargo EM. Prevention and Treatment of Opioid Misuse and Addiction: A Review. JAMA Psychiatry. 2019;76(2):208-216. doi:10.1001/jamapsychiatry.2018.3126</w:t>
      </w:r>
    </w:p>
    <w:p w14:paraId="034CDEF1" w14:textId="25C4EABA" w:rsidR="00DF39F9" w:rsidRDefault="00DF39F9" w:rsidP="00EE05FC">
      <w:pPr>
        <w:pStyle w:val="EndNoteBibliography"/>
        <w:numPr>
          <w:ilvl w:val="0"/>
          <w:numId w:val="10"/>
        </w:numPr>
      </w:pPr>
      <w:bookmarkStart w:id="23" w:name="_Hlk52456001"/>
      <w:r w:rsidRPr="00DF39F9">
        <w:t xml:space="preserve">Williams, A. R., Samples, H., Crystal, S., &amp; Olfson, M. (2020). Acute Care, Prescription Opioid Use, and Overdose Following Discontinuation of Long-Term Buprenorphine Treatment for Opioid Use Disorder. </w:t>
      </w:r>
      <w:r w:rsidRPr="00283117">
        <w:rPr>
          <w:i/>
          <w:iCs/>
        </w:rPr>
        <w:t>American Journal of Psychiatry</w:t>
      </w:r>
      <w:r w:rsidRPr="00DF39F9">
        <w:t>, 177(2), 117–124. https://doi.org/10.1176/appi.ajp.2019.19060612</w:t>
      </w:r>
    </w:p>
    <w:p w14:paraId="42F050EB" w14:textId="701999F2" w:rsidR="0036254C" w:rsidRDefault="00851904" w:rsidP="00F452C5">
      <w:pPr>
        <w:pStyle w:val="EndNoteBibliography"/>
        <w:numPr>
          <w:ilvl w:val="0"/>
          <w:numId w:val="10"/>
        </w:numPr>
      </w:pPr>
      <w:r w:rsidRPr="00851904">
        <w:t xml:space="preserve">Woody, G. E., Bruce, D., Korthuis, P. T., Chhatre, S., Poole, S., Hillhouse, M., Jacobs, P., Sorensen, J., Saxon, A. J., Metzger, D., &amp; Ling, W. (2014). HIV risk reduction with buprenorphine-naloxone or </w:t>
      </w:r>
      <w:r w:rsidRPr="00851904">
        <w:lastRenderedPageBreak/>
        <w:t xml:space="preserve">methadone: findings from a randomized trial. </w:t>
      </w:r>
      <w:r w:rsidRPr="00932929">
        <w:rPr>
          <w:i/>
          <w:iCs/>
        </w:rPr>
        <w:t>Journal of Acquired Immune Deficiency Syndromes</w:t>
      </w:r>
      <w:r w:rsidRPr="00851904">
        <w:t xml:space="preserve"> (1999), 66(3), 288–293. https://doi.org/10.1097/QAI.0000000000000165</w:t>
      </w:r>
      <w:r w:rsidR="001605DD">
        <w:t xml:space="preserve"> </w:t>
      </w:r>
      <w:bookmarkEnd w:id="23"/>
      <w:r w:rsidR="0036254C">
        <w:fldChar w:fldCharType="end"/>
      </w:r>
      <w:bookmarkEnd w:id="0"/>
    </w:p>
    <w:sectPr w:rsidR="0036254C">
      <w:pgSz w:w="12240" w:h="15840"/>
      <w:pgMar w:top="1483" w:right="1129" w:bottom="1460" w:left="1085" w:header="720"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D9E5A7" w14:textId="77777777" w:rsidR="00FA502A" w:rsidRDefault="00FA502A">
      <w:pPr>
        <w:spacing w:after="0" w:line="240" w:lineRule="auto"/>
      </w:pPr>
      <w:r>
        <w:separator/>
      </w:r>
    </w:p>
  </w:endnote>
  <w:endnote w:type="continuationSeparator" w:id="0">
    <w:p w14:paraId="63A82F2E" w14:textId="77777777" w:rsidR="00FA502A" w:rsidRDefault="00FA50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C0F99" w14:textId="77777777" w:rsidR="00FA502A" w:rsidRDefault="00FA502A">
    <w:pPr>
      <w:tabs>
        <w:tab w:val="center" w:pos="1218"/>
        <w:tab w:val="center" w:pos="5035"/>
        <w:tab w:val="center" w:pos="9661"/>
      </w:tabs>
      <w:spacing w:after="0"/>
    </w:pPr>
    <w:r>
      <w:tab/>
      <w:t xml:space="preserve">Version 7.1  9/6/17 </w:t>
    </w:r>
    <w:r>
      <w:tab/>
      <w:t xml:space="preserve"> </w:t>
    </w:r>
    <w:r>
      <w:tab/>
    </w:r>
    <w:r>
      <w:fldChar w:fldCharType="begin"/>
    </w:r>
    <w:r>
      <w:instrText xml:space="preserve"> PAGE   \* MERGEFORMAT </w:instrText>
    </w:r>
    <w:r>
      <w:fldChar w:fldCharType="separate"/>
    </w:r>
    <w:r>
      <w:t>1</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BF4E6" w14:textId="565FB9C8" w:rsidR="00FA502A" w:rsidRDefault="00FA502A">
    <w:pPr>
      <w:tabs>
        <w:tab w:val="center" w:pos="1218"/>
        <w:tab w:val="center" w:pos="5035"/>
        <w:tab w:val="center" w:pos="9661"/>
      </w:tabs>
      <w:spacing w:after="0"/>
    </w:pPr>
    <w:r>
      <w:tab/>
    </w:r>
    <w:r w:rsidRPr="00AA2B89">
      <w:t>Version 7.1  9/6/17</w:t>
    </w:r>
    <w:r w:rsidRPr="00AA2B89">
      <w:tab/>
    </w:r>
    <w:r w:rsidRPr="00AA2B89">
      <w:tab/>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02E92" w14:textId="77777777" w:rsidR="00FA502A" w:rsidRDefault="00FA502A">
    <w:pPr>
      <w:tabs>
        <w:tab w:val="center" w:pos="1218"/>
        <w:tab w:val="center" w:pos="5035"/>
        <w:tab w:val="center" w:pos="9661"/>
      </w:tabs>
      <w:spacing w:after="0"/>
    </w:pPr>
    <w:r>
      <w:tab/>
      <w:t xml:space="preserve">Version 7.1  9/6/17 </w:t>
    </w:r>
    <w:r>
      <w:tab/>
      <w:t xml:space="preserve"> </w:t>
    </w:r>
    <w:r>
      <w:tab/>
    </w:r>
    <w:r>
      <w:fldChar w:fldCharType="begin"/>
    </w:r>
    <w:r>
      <w:instrText xml:space="preserve"> PAGE   \* MERGEFORMAT </w:instrText>
    </w:r>
    <w:r>
      <w:fldChar w:fldCharType="separate"/>
    </w:r>
    <w:r>
      <w:t>1</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3E2035" w14:textId="77777777" w:rsidR="00FA502A" w:rsidRDefault="00FA502A">
      <w:pPr>
        <w:spacing w:after="0" w:line="240" w:lineRule="auto"/>
      </w:pPr>
      <w:r>
        <w:separator/>
      </w:r>
    </w:p>
  </w:footnote>
  <w:footnote w:type="continuationSeparator" w:id="0">
    <w:p w14:paraId="59A3665C" w14:textId="77777777" w:rsidR="00FA502A" w:rsidRDefault="00FA50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69D54AE"/>
    <w:multiLevelType w:val="hybridMultilevel"/>
    <w:tmpl w:val="E1029560"/>
    <w:lvl w:ilvl="0" w:tplc="0AD61B5C">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0D81988">
      <w:start w:val="1"/>
      <w:numFmt w:val="bullet"/>
      <w:lvlText w:val="o"/>
      <w:lvlJc w:val="left"/>
      <w:pPr>
        <w:ind w:left="79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B8541970">
      <w:start w:val="1"/>
      <w:numFmt w:val="bullet"/>
      <w:lvlText w:val="▪"/>
      <w:lvlJc w:val="left"/>
      <w:pPr>
        <w:ind w:left="16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64A472EA">
      <w:start w:val="1"/>
      <w:numFmt w:val="bullet"/>
      <w:lvlText w:val="•"/>
      <w:lvlJc w:val="left"/>
      <w:pPr>
        <w:ind w:left="23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E0A84DEE">
      <w:start w:val="1"/>
      <w:numFmt w:val="bullet"/>
      <w:lvlText w:val="o"/>
      <w:lvlJc w:val="left"/>
      <w:pPr>
        <w:ind w:left="30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2CA62C3A">
      <w:start w:val="1"/>
      <w:numFmt w:val="bullet"/>
      <w:lvlText w:val="▪"/>
      <w:lvlJc w:val="left"/>
      <w:pPr>
        <w:ind w:left="37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0F0A428C">
      <w:start w:val="1"/>
      <w:numFmt w:val="bullet"/>
      <w:lvlText w:val="•"/>
      <w:lvlJc w:val="left"/>
      <w:pPr>
        <w:ind w:left="45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69BE3E86">
      <w:start w:val="1"/>
      <w:numFmt w:val="bullet"/>
      <w:lvlText w:val="o"/>
      <w:lvlJc w:val="left"/>
      <w:pPr>
        <w:ind w:left="52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26C6FAAE">
      <w:start w:val="1"/>
      <w:numFmt w:val="bullet"/>
      <w:lvlText w:val="▪"/>
      <w:lvlJc w:val="left"/>
      <w:pPr>
        <w:ind w:left="59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412D1471"/>
    <w:multiLevelType w:val="hybridMultilevel"/>
    <w:tmpl w:val="6AB4F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1029CE"/>
    <w:multiLevelType w:val="hybridMultilevel"/>
    <w:tmpl w:val="EBD02EE0"/>
    <w:lvl w:ilvl="0" w:tplc="A164F77A">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6B22B5E">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A128E9E">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7480F16">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AE0EE90">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A6C9A96">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504C94A">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247DA">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AE84F4C">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547F53A4"/>
    <w:multiLevelType w:val="hybridMultilevel"/>
    <w:tmpl w:val="03F4FDA4"/>
    <w:lvl w:ilvl="0" w:tplc="1FA6703E">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78EBBC">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F46DBB6">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3C2D2BA">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73C24C4">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00E8E18">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4700242">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ACC89B0">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3D6DB50">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56956385"/>
    <w:multiLevelType w:val="hybridMultilevel"/>
    <w:tmpl w:val="4EEE6908"/>
    <w:lvl w:ilvl="0" w:tplc="ED28BA62">
      <w:start w:val="3"/>
      <w:numFmt w:val="decimal"/>
      <w:lvlText w:val="%1."/>
      <w:lvlJc w:val="left"/>
      <w:pPr>
        <w:ind w:left="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D916B29A">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68DC1E7E">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2D7AFEA2">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5BB6C720">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B6847FDA">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6746801E">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8DD46A5C">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CA76C484">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5BAF17A3"/>
    <w:multiLevelType w:val="hybridMultilevel"/>
    <w:tmpl w:val="B09E5498"/>
    <w:lvl w:ilvl="0" w:tplc="444463F8">
      <w:start w:val="1"/>
      <w:numFmt w:val="bullet"/>
      <w:pStyle w:val="EndNoteBibliograph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05861F6"/>
    <w:multiLevelType w:val="hybridMultilevel"/>
    <w:tmpl w:val="DFC08D6E"/>
    <w:lvl w:ilvl="0" w:tplc="5EF0BA3A">
      <w:start w:val="1"/>
      <w:numFmt w:val="bullet"/>
      <w:lvlText w:val="•"/>
      <w:lvlJc w:val="left"/>
      <w:pPr>
        <w:ind w:left="2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2BC9C18">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112F6F4">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482C704">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BEE8B44">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148EF7E">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46CA026">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2A4EC74">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D62B96A">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655710F8"/>
    <w:multiLevelType w:val="hybridMultilevel"/>
    <w:tmpl w:val="63924C6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
  </w:num>
  <w:num w:numId="4">
    <w:abstractNumId w:val="3"/>
  </w:num>
  <w:num w:numId="5">
    <w:abstractNumId w:val="4"/>
  </w:num>
  <w:num w:numId="6">
    <w:abstractNumId w:val="6"/>
  </w:num>
  <w:num w:numId="7">
    <w:abstractNumId w:val="9"/>
  </w:num>
  <w:num w:numId="8">
    <w:abstractNumId w:val="0"/>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74C2"/>
    <w:rsid w:val="000025AD"/>
    <w:rsid w:val="00012305"/>
    <w:rsid w:val="00082514"/>
    <w:rsid w:val="00095688"/>
    <w:rsid w:val="000A3424"/>
    <w:rsid w:val="00110CF9"/>
    <w:rsid w:val="00113553"/>
    <w:rsid w:val="001301FA"/>
    <w:rsid w:val="0014400C"/>
    <w:rsid w:val="00145AD0"/>
    <w:rsid w:val="00152958"/>
    <w:rsid w:val="001605DD"/>
    <w:rsid w:val="00173697"/>
    <w:rsid w:val="00184A5C"/>
    <w:rsid w:val="001876DD"/>
    <w:rsid w:val="0019141E"/>
    <w:rsid w:val="001C16E5"/>
    <w:rsid w:val="001D4E16"/>
    <w:rsid w:val="001D55A8"/>
    <w:rsid w:val="001E3B6E"/>
    <w:rsid w:val="001F1DA9"/>
    <w:rsid w:val="002247BB"/>
    <w:rsid w:val="002429E2"/>
    <w:rsid w:val="00274ABE"/>
    <w:rsid w:val="00283117"/>
    <w:rsid w:val="00294C50"/>
    <w:rsid w:val="002D3B4A"/>
    <w:rsid w:val="002E7226"/>
    <w:rsid w:val="00333A87"/>
    <w:rsid w:val="0036254C"/>
    <w:rsid w:val="003722BD"/>
    <w:rsid w:val="00380455"/>
    <w:rsid w:val="0038062A"/>
    <w:rsid w:val="0039783E"/>
    <w:rsid w:val="003C63B7"/>
    <w:rsid w:val="003D1A54"/>
    <w:rsid w:val="0042211B"/>
    <w:rsid w:val="00431BB4"/>
    <w:rsid w:val="004413CA"/>
    <w:rsid w:val="004877FD"/>
    <w:rsid w:val="004C004E"/>
    <w:rsid w:val="004E789E"/>
    <w:rsid w:val="004F0C3C"/>
    <w:rsid w:val="005331EE"/>
    <w:rsid w:val="00543352"/>
    <w:rsid w:val="00546092"/>
    <w:rsid w:val="00560C67"/>
    <w:rsid w:val="00584862"/>
    <w:rsid w:val="005D3D78"/>
    <w:rsid w:val="005D755E"/>
    <w:rsid w:val="005E5E2F"/>
    <w:rsid w:val="00604D7F"/>
    <w:rsid w:val="00614748"/>
    <w:rsid w:val="006442DA"/>
    <w:rsid w:val="0066019D"/>
    <w:rsid w:val="0069449E"/>
    <w:rsid w:val="006A22CC"/>
    <w:rsid w:val="006A3EBF"/>
    <w:rsid w:val="006B1D27"/>
    <w:rsid w:val="006D04E6"/>
    <w:rsid w:val="006D5F46"/>
    <w:rsid w:val="006E1709"/>
    <w:rsid w:val="006F2B3B"/>
    <w:rsid w:val="006F54FA"/>
    <w:rsid w:val="00712A88"/>
    <w:rsid w:val="00722589"/>
    <w:rsid w:val="00727798"/>
    <w:rsid w:val="0075060A"/>
    <w:rsid w:val="0075132D"/>
    <w:rsid w:val="00767F09"/>
    <w:rsid w:val="007854F3"/>
    <w:rsid w:val="007916B7"/>
    <w:rsid w:val="0079793D"/>
    <w:rsid w:val="007A0B72"/>
    <w:rsid w:val="007A2EB9"/>
    <w:rsid w:val="007A74C2"/>
    <w:rsid w:val="007B1C50"/>
    <w:rsid w:val="007D72E7"/>
    <w:rsid w:val="00831D59"/>
    <w:rsid w:val="00851904"/>
    <w:rsid w:val="00874A6B"/>
    <w:rsid w:val="008A7611"/>
    <w:rsid w:val="008B01CF"/>
    <w:rsid w:val="008D130F"/>
    <w:rsid w:val="008D5675"/>
    <w:rsid w:val="008F668A"/>
    <w:rsid w:val="00912217"/>
    <w:rsid w:val="00932929"/>
    <w:rsid w:val="00951637"/>
    <w:rsid w:val="00971ABE"/>
    <w:rsid w:val="00975C46"/>
    <w:rsid w:val="00987EAE"/>
    <w:rsid w:val="009B5019"/>
    <w:rsid w:val="009B7702"/>
    <w:rsid w:val="009D14A8"/>
    <w:rsid w:val="00A20D76"/>
    <w:rsid w:val="00A228E6"/>
    <w:rsid w:val="00A27FE2"/>
    <w:rsid w:val="00A327AD"/>
    <w:rsid w:val="00A3329F"/>
    <w:rsid w:val="00A4171B"/>
    <w:rsid w:val="00A420B3"/>
    <w:rsid w:val="00A433D9"/>
    <w:rsid w:val="00A861BC"/>
    <w:rsid w:val="00A90B7F"/>
    <w:rsid w:val="00AA2B89"/>
    <w:rsid w:val="00AA3DCB"/>
    <w:rsid w:val="00AC43F4"/>
    <w:rsid w:val="00AC5DEC"/>
    <w:rsid w:val="00AE1BE9"/>
    <w:rsid w:val="00AE2917"/>
    <w:rsid w:val="00AE3A50"/>
    <w:rsid w:val="00B12174"/>
    <w:rsid w:val="00B869FE"/>
    <w:rsid w:val="00B87BC4"/>
    <w:rsid w:val="00B95777"/>
    <w:rsid w:val="00BA7B06"/>
    <w:rsid w:val="00BB4642"/>
    <w:rsid w:val="00BD366D"/>
    <w:rsid w:val="00BF4B1E"/>
    <w:rsid w:val="00BF7756"/>
    <w:rsid w:val="00C00A90"/>
    <w:rsid w:val="00C41A7C"/>
    <w:rsid w:val="00C44F97"/>
    <w:rsid w:val="00C463CA"/>
    <w:rsid w:val="00C54429"/>
    <w:rsid w:val="00C72DB5"/>
    <w:rsid w:val="00C7705D"/>
    <w:rsid w:val="00C82FAE"/>
    <w:rsid w:val="00CB3E05"/>
    <w:rsid w:val="00CC59CE"/>
    <w:rsid w:val="00CF418C"/>
    <w:rsid w:val="00CF4779"/>
    <w:rsid w:val="00D108DF"/>
    <w:rsid w:val="00D14B9D"/>
    <w:rsid w:val="00D579F1"/>
    <w:rsid w:val="00D62C43"/>
    <w:rsid w:val="00D666BC"/>
    <w:rsid w:val="00D83C1D"/>
    <w:rsid w:val="00D9427E"/>
    <w:rsid w:val="00DF39F9"/>
    <w:rsid w:val="00E0214C"/>
    <w:rsid w:val="00E03618"/>
    <w:rsid w:val="00E04D70"/>
    <w:rsid w:val="00E067E4"/>
    <w:rsid w:val="00E40A66"/>
    <w:rsid w:val="00E54F30"/>
    <w:rsid w:val="00E63BC7"/>
    <w:rsid w:val="00E6518B"/>
    <w:rsid w:val="00E655F5"/>
    <w:rsid w:val="00E70109"/>
    <w:rsid w:val="00E910A9"/>
    <w:rsid w:val="00EA3E5C"/>
    <w:rsid w:val="00EB0E4E"/>
    <w:rsid w:val="00EC0D5B"/>
    <w:rsid w:val="00EE05FC"/>
    <w:rsid w:val="00F3215F"/>
    <w:rsid w:val="00F452C5"/>
    <w:rsid w:val="00F54D51"/>
    <w:rsid w:val="00F67F8C"/>
    <w:rsid w:val="00F75863"/>
    <w:rsid w:val="00F84F75"/>
    <w:rsid w:val="00FA502A"/>
    <w:rsid w:val="00FA55C2"/>
    <w:rsid w:val="00FB003A"/>
    <w:rsid w:val="00FC4406"/>
    <w:rsid w:val="00FF20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C35AFCF"/>
  <w15:docId w15:val="{BA5CAB8B-F325-4062-B933-82F25230F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3625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254C"/>
    <w:rPr>
      <w:rFonts w:ascii="Segoe UI" w:eastAsia="Calibri" w:hAnsi="Segoe UI" w:cs="Segoe UI"/>
      <w:color w:val="000000"/>
      <w:sz w:val="18"/>
      <w:szCs w:val="18"/>
    </w:rPr>
  </w:style>
  <w:style w:type="character" w:customStyle="1" w:styleId="Style2">
    <w:name w:val="Style2"/>
    <w:basedOn w:val="DefaultParagraphFont"/>
    <w:uiPriority w:val="1"/>
    <w:rsid w:val="0036254C"/>
    <w:rPr>
      <w:rFonts w:asciiTheme="minorHAnsi" w:hAnsiTheme="minorHAnsi" w:cs="Calibri" w:hint="default"/>
      <w:color w:val="0000FF"/>
      <w:sz w:val="22"/>
      <w:u w:val="single"/>
    </w:rPr>
  </w:style>
  <w:style w:type="character" w:customStyle="1" w:styleId="NormalSSChar">
    <w:name w:val="NormalSS Char"/>
    <w:basedOn w:val="DefaultParagraphFont"/>
    <w:link w:val="NormalSS"/>
    <w:locked/>
    <w:rsid w:val="0036254C"/>
    <w:rPr>
      <w:rFonts w:ascii="Calibri" w:eastAsia="Times New Roman" w:hAnsi="Calibri" w:cs="Times New Roman"/>
      <w:sz w:val="24"/>
      <w:szCs w:val="20"/>
    </w:rPr>
  </w:style>
  <w:style w:type="paragraph" w:customStyle="1" w:styleId="NormalSS">
    <w:name w:val="NormalSS"/>
    <w:basedOn w:val="Normal"/>
    <w:link w:val="NormalSSChar"/>
    <w:qFormat/>
    <w:rsid w:val="0036254C"/>
    <w:pPr>
      <w:spacing w:after="240" w:line="240" w:lineRule="auto"/>
      <w:ind w:left="446"/>
    </w:pPr>
    <w:rPr>
      <w:rFonts w:eastAsia="Times New Roman" w:cs="Times New Roman"/>
      <w:color w:val="auto"/>
      <w:sz w:val="24"/>
      <w:szCs w:val="20"/>
    </w:rPr>
  </w:style>
  <w:style w:type="character" w:styleId="CommentReference">
    <w:name w:val="annotation reference"/>
    <w:basedOn w:val="DefaultParagraphFont"/>
    <w:uiPriority w:val="99"/>
    <w:semiHidden/>
    <w:unhideWhenUsed/>
    <w:rsid w:val="0036254C"/>
    <w:rPr>
      <w:sz w:val="16"/>
      <w:szCs w:val="16"/>
    </w:rPr>
  </w:style>
  <w:style w:type="paragraph" w:styleId="CommentText">
    <w:name w:val="annotation text"/>
    <w:basedOn w:val="Normal"/>
    <w:link w:val="CommentTextChar"/>
    <w:uiPriority w:val="99"/>
    <w:unhideWhenUsed/>
    <w:rsid w:val="0036254C"/>
    <w:pPr>
      <w:spacing w:line="240" w:lineRule="auto"/>
    </w:pPr>
    <w:rPr>
      <w:sz w:val="20"/>
      <w:szCs w:val="20"/>
    </w:rPr>
  </w:style>
  <w:style w:type="character" w:customStyle="1" w:styleId="CommentTextChar">
    <w:name w:val="Comment Text Char"/>
    <w:basedOn w:val="DefaultParagraphFont"/>
    <w:link w:val="CommentText"/>
    <w:uiPriority w:val="99"/>
    <w:rsid w:val="0036254C"/>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36254C"/>
    <w:rPr>
      <w:b/>
      <w:bCs/>
    </w:rPr>
  </w:style>
  <w:style w:type="character" w:customStyle="1" w:styleId="CommentSubjectChar">
    <w:name w:val="Comment Subject Char"/>
    <w:basedOn w:val="CommentTextChar"/>
    <w:link w:val="CommentSubject"/>
    <w:uiPriority w:val="99"/>
    <w:semiHidden/>
    <w:rsid w:val="0036254C"/>
    <w:rPr>
      <w:rFonts w:ascii="Calibri" w:eastAsia="Calibri" w:hAnsi="Calibri" w:cs="Calibri"/>
      <w:b/>
      <w:bCs/>
      <w:color w:val="000000"/>
      <w:sz w:val="20"/>
      <w:szCs w:val="20"/>
    </w:rPr>
  </w:style>
  <w:style w:type="character" w:styleId="Hyperlink">
    <w:name w:val="Hyperlink"/>
    <w:basedOn w:val="DefaultParagraphFont"/>
    <w:uiPriority w:val="99"/>
    <w:unhideWhenUsed/>
    <w:rsid w:val="0036254C"/>
    <w:rPr>
      <w:color w:val="0563C1" w:themeColor="hyperlink"/>
      <w:u w:val="single"/>
    </w:rPr>
  </w:style>
  <w:style w:type="paragraph" w:styleId="NoSpacing">
    <w:name w:val="No Spacing"/>
    <w:uiPriority w:val="1"/>
    <w:qFormat/>
    <w:rsid w:val="0036254C"/>
    <w:pPr>
      <w:spacing w:after="0" w:line="240" w:lineRule="auto"/>
    </w:pPr>
    <w:rPr>
      <w:rFonts w:eastAsiaTheme="minorHAnsi"/>
    </w:rPr>
  </w:style>
  <w:style w:type="character" w:customStyle="1" w:styleId="EndNoteBibliographyChar">
    <w:name w:val="EndNote Bibliography Char"/>
    <w:basedOn w:val="DefaultParagraphFont"/>
    <w:link w:val="EndNoteBibliography"/>
    <w:locked/>
    <w:rsid w:val="0036254C"/>
    <w:rPr>
      <w:rFonts w:ascii="Calibri" w:hAnsi="Calibri" w:cs="Calibri"/>
      <w:noProof/>
    </w:rPr>
  </w:style>
  <w:style w:type="paragraph" w:customStyle="1" w:styleId="EndNoteBibliography">
    <w:name w:val="EndNote Bibliography"/>
    <w:basedOn w:val="Normal"/>
    <w:link w:val="EndNoteBibliographyChar"/>
    <w:rsid w:val="0036254C"/>
    <w:pPr>
      <w:numPr>
        <w:numId w:val="6"/>
      </w:numPr>
      <w:spacing w:after="0" w:line="240" w:lineRule="auto"/>
    </w:pPr>
    <w:rPr>
      <w:rFonts w:eastAsiaTheme="minorEastAsia"/>
      <w:noProof/>
      <w:color w:val="auto"/>
    </w:rPr>
  </w:style>
  <w:style w:type="table" w:styleId="TableGrid0">
    <w:name w:val="Table Grid"/>
    <w:basedOn w:val="TableNormal"/>
    <w:uiPriority w:val="59"/>
    <w:rsid w:val="0036254C"/>
    <w:pPr>
      <w:spacing w:after="0" w:line="240" w:lineRule="auto"/>
    </w:pPr>
    <w:rPr>
      <w:rFonts w:eastAsia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dNoteBibliographyTitleChar">
    <w:name w:val="EndNote Bibliography Title Char"/>
    <w:basedOn w:val="DefaultParagraphFont"/>
    <w:link w:val="EndNoteBibliographyTitle"/>
    <w:locked/>
    <w:rsid w:val="0036254C"/>
    <w:rPr>
      <w:rFonts w:ascii="Calibri" w:hAnsi="Calibri" w:cs="Calibri"/>
      <w:noProof/>
    </w:rPr>
  </w:style>
  <w:style w:type="paragraph" w:customStyle="1" w:styleId="EndNoteBibliographyTitle">
    <w:name w:val="EndNote Bibliography Title"/>
    <w:basedOn w:val="Normal"/>
    <w:link w:val="EndNoteBibliographyTitleChar"/>
    <w:rsid w:val="0036254C"/>
    <w:pPr>
      <w:spacing w:after="0" w:line="240" w:lineRule="auto"/>
      <w:jc w:val="center"/>
    </w:pPr>
    <w:rPr>
      <w:rFonts w:eastAsiaTheme="minorEastAsia"/>
      <w:noProof/>
      <w:color w:val="auto"/>
    </w:rPr>
  </w:style>
  <w:style w:type="character" w:styleId="UnresolvedMention">
    <w:name w:val="Unresolved Mention"/>
    <w:basedOn w:val="DefaultParagraphFont"/>
    <w:uiPriority w:val="99"/>
    <w:semiHidden/>
    <w:unhideWhenUsed/>
    <w:rsid w:val="006A22CC"/>
    <w:rPr>
      <w:color w:val="605E5C"/>
      <w:shd w:val="clear" w:color="auto" w:fill="E1DFDD"/>
    </w:rPr>
  </w:style>
  <w:style w:type="character" w:styleId="FollowedHyperlink">
    <w:name w:val="FollowedHyperlink"/>
    <w:basedOn w:val="DefaultParagraphFont"/>
    <w:uiPriority w:val="99"/>
    <w:semiHidden/>
    <w:unhideWhenUsed/>
    <w:rsid w:val="00E03618"/>
    <w:rPr>
      <w:color w:val="954F72" w:themeColor="followedHyperlink"/>
      <w:u w:val="single"/>
    </w:rPr>
  </w:style>
  <w:style w:type="paragraph" w:styleId="ListParagraph">
    <w:name w:val="List Paragraph"/>
    <w:basedOn w:val="Normal"/>
    <w:uiPriority w:val="34"/>
    <w:qFormat/>
    <w:rsid w:val="00E0214C"/>
    <w:pPr>
      <w:ind w:left="720"/>
      <w:contextualSpacing/>
    </w:pPr>
  </w:style>
  <w:style w:type="paragraph" w:styleId="Header">
    <w:name w:val="header"/>
    <w:basedOn w:val="Normal"/>
    <w:link w:val="HeaderChar"/>
    <w:uiPriority w:val="99"/>
    <w:unhideWhenUsed/>
    <w:rsid w:val="00AA3D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3DCB"/>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586381">
      <w:bodyDiv w:val="1"/>
      <w:marLeft w:val="0"/>
      <w:marRight w:val="0"/>
      <w:marTop w:val="0"/>
      <w:marBottom w:val="0"/>
      <w:divBdr>
        <w:top w:val="none" w:sz="0" w:space="0" w:color="auto"/>
        <w:left w:val="none" w:sz="0" w:space="0" w:color="auto"/>
        <w:bottom w:val="none" w:sz="0" w:space="0" w:color="auto"/>
        <w:right w:val="none" w:sz="0" w:space="0" w:color="auto"/>
      </w:divBdr>
    </w:div>
    <w:div w:id="412091628">
      <w:bodyDiv w:val="1"/>
      <w:marLeft w:val="0"/>
      <w:marRight w:val="0"/>
      <w:marTop w:val="0"/>
      <w:marBottom w:val="0"/>
      <w:divBdr>
        <w:top w:val="none" w:sz="0" w:space="0" w:color="auto"/>
        <w:left w:val="none" w:sz="0" w:space="0" w:color="auto"/>
        <w:bottom w:val="none" w:sz="0" w:space="0" w:color="auto"/>
        <w:right w:val="none" w:sz="0" w:space="0" w:color="auto"/>
      </w:divBdr>
    </w:div>
    <w:div w:id="897058319">
      <w:bodyDiv w:val="1"/>
      <w:marLeft w:val="0"/>
      <w:marRight w:val="0"/>
      <w:marTop w:val="0"/>
      <w:marBottom w:val="0"/>
      <w:divBdr>
        <w:top w:val="none" w:sz="0" w:space="0" w:color="auto"/>
        <w:left w:val="none" w:sz="0" w:space="0" w:color="auto"/>
        <w:bottom w:val="none" w:sz="0" w:space="0" w:color="auto"/>
        <w:right w:val="none" w:sz="0" w:space="0" w:color="auto"/>
      </w:divBdr>
    </w:div>
    <w:div w:id="1294868239">
      <w:bodyDiv w:val="1"/>
      <w:marLeft w:val="0"/>
      <w:marRight w:val="0"/>
      <w:marTop w:val="0"/>
      <w:marBottom w:val="0"/>
      <w:divBdr>
        <w:top w:val="none" w:sz="0" w:space="0" w:color="auto"/>
        <w:left w:val="none" w:sz="0" w:space="0" w:color="auto"/>
        <w:bottom w:val="none" w:sz="0" w:space="0" w:color="auto"/>
        <w:right w:val="none" w:sz="0" w:space="0" w:color="auto"/>
      </w:divBdr>
    </w:div>
    <w:div w:id="1316834344">
      <w:bodyDiv w:val="1"/>
      <w:marLeft w:val="0"/>
      <w:marRight w:val="0"/>
      <w:marTop w:val="0"/>
      <w:marBottom w:val="0"/>
      <w:divBdr>
        <w:top w:val="none" w:sz="0" w:space="0" w:color="auto"/>
        <w:left w:val="none" w:sz="0" w:space="0" w:color="auto"/>
        <w:bottom w:val="none" w:sz="0" w:space="0" w:color="auto"/>
        <w:right w:val="none" w:sz="0" w:space="0" w:color="auto"/>
      </w:divBdr>
    </w:div>
    <w:div w:id="1604800836">
      <w:bodyDiv w:val="1"/>
      <w:marLeft w:val="0"/>
      <w:marRight w:val="0"/>
      <w:marTop w:val="0"/>
      <w:marBottom w:val="0"/>
      <w:divBdr>
        <w:top w:val="none" w:sz="0" w:space="0" w:color="auto"/>
        <w:left w:val="none" w:sz="0" w:space="0" w:color="auto"/>
        <w:bottom w:val="none" w:sz="0" w:space="0" w:color="auto"/>
        <w:right w:val="none" w:sz="0" w:space="0" w:color="auto"/>
      </w:divBdr>
    </w:div>
    <w:div w:id="2091002127">
      <w:bodyDiv w:val="1"/>
      <w:marLeft w:val="0"/>
      <w:marRight w:val="0"/>
      <w:marTop w:val="0"/>
      <w:marBottom w:val="0"/>
      <w:divBdr>
        <w:top w:val="none" w:sz="0" w:space="0" w:color="auto"/>
        <w:left w:val="none" w:sz="0" w:space="0" w:color="auto"/>
        <w:bottom w:val="none" w:sz="0" w:space="0" w:color="auto"/>
        <w:right w:val="none" w:sz="0" w:space="0" w:color="auto"/>
      </w:divBdr>
    </w:div>
    <w:div w:id="21454667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radeworkinggroup.org/" TargetMode="External"/><Relationship Id="rId18" Type="http://schemas.openxmlformats.org/officeDocument/2006/relationships/hyperlink" Target="http://www.qualityforum.org/Publications/2010/01/Measurement_Framework__Evaluating_Efficiency_Across_Patient-Focused_Episodes_of_Care.aspx" TargetMode="External"/><Relationship Id="rId26" Type="http://schemas.openxmlformats.org/officeDocument/2006/relationships/diagramLayout" Target="diagrams/layout1.xml"/><Relationship Id="rId3" Type="http://schemas.openxmlformats.org/officeDocument/2006/relationships/customXml" Target="../customXml/item3.xml"/><Relationship Id="rId21" Type="http://schemas.openxmlformats.org/officeDocument/2006/relationships/hyperlink" Target="http://www.aqaalliance.org/files/PrinciplesofEfficiencyMeasurementApril2006.doc" TargetMode="External"/><Relationship Id="rId34" Type="http://schemas.openxmlformats.org/officeDocument/2006/relationships/hyperlink" Target="http://www.asam.org/quality-practice/guidelines-and-consensus-documents/npg/jam-article" TargetMode="External"/><Relationship Id="rId7" Type="http://schemas.openxmlformats.org/officeDocument/2006/relationships/settings" Target="setting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www.qualityforum.org/Publications/2010/01/Measurement_Framework__Evaluating_Efficiency_Across_Patient-Focused_Episodes_of_Care.aspx" TargetMode="External"/><Relationship Id="rId25" Type="http://schemas.openxmlformats.org/officeDocument/2006/relationships/diagramData" Target="diagrams/data1.xml"/><Relationship Id="rId33" Type="http://schemas.openxmlformats.org/officeDocument/2006/relationships/hyperlink" Target="http://onlinelibrary.wiley.com/doi/-10.1002/14651858.CD002209.pub2/epdf"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qualityforum.org/Publications/2010/01/Measurement_Framework__Evaluating_Efficiency_Across_Patient-Focused_Episodes_of_Care.aspx" TargetMode="External"/><Relationship Id="rId20" Type="http://schemas.openxmlformats.org/officeDocument/2006/relationships/hyperlink" Target="http://www.aqaalliance.org/files/PrinciplesofEfficiencyMeasurementApril2006.doc" TargetMode="External"/><Relationship Id="rId29"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24" Type="http://schemas.openxmlformats.org/officeDocument/2006/relationships/footer" Target="footer3.xml"/><Relationship Id="rId32" Type="http://schemas.openxmlformats.org/officeDocument/2006/relationships/hyperlink" Target="http://onlinelibrary.wiley.com/doi/-10.1002/14651858.CD002207.pub4/epdf"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qualityforum.org/Publications/2010/01/Measurement_Framework__Evaluating_Efficiency_Across_Patient-Focused_Episodes_of_Care.aspx" TargetMode="External"/><Relationship Id="rId23" Type="http://schemas.openxmlformats.org/officeDocument/2006/relationships/footer" Target="footer2.xml"/><Relationship Id="rId28" Type="http://schemas.openxmlformats.org/officeDocument/2006/relationships/diagramColors" Target="diagrams/colors1.xml"/><Relationship Id="rId36" Type="http://schemas.openxmlformats.org/officeDocument/2006/relationships/hyperlink" Target="https://www.samhsa.gov/medication-assisted-treatment/legislation-regulations-guidelines" TargetMode="External"/><Relationship Id="rId10" Type="http://schemas.openxmlformats.org/officeDocument/2006/relationships/endnotes" Target="endnotes.xml"/><Relationship Id="rId19" Type="http://schemas.openxmlformats.org/officeDocument/2006/relationships/hyperlink" Target="http://www.aqaalliance.org/files/PrinciplesofEfficiencyMeasurementApril2006.doc" TargetMode="External"/><Relationship Id="rId31" Type="http://schemas.openxmlformats.org/officeDocument/2006/relationships/hyperlink" Target="https://www.asam.org/docs/default-source/quality-science/npg-jam-supplement.pdf?sfvrsn=a00a52c2_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radeworkinggroup.org/" TargetMode="External"/><Relationship Id="rId22" Type="http://schemas.openxmlformats.org/officeDocument/2006/relationships/footer" Target="footer1.xml"/><Relationship Id="rId27" Type="http://schemas.openxmlformats.org/officeDocument/2006/relationships/diagramQuickStyle" Target="diagrams/quickStyle1.xml"/><Relationship Id="rId30" Type="http://schemas.openxmlformats.org/officeDocument/2006/relationships/image" Target="media/image1.png"/><Relationship Id="rId35" Type="http://schemas.openxmlformats.org/officeDocument/2006/relationships/hyperlink" Target="https://www.ncbi.nlm.nih.gov/books/NBK64245/"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FC7B347-B85E-4901-9B7B-5EAA9A1DD06C}" type="doc">
      <dgm:prSet loTypeId="urn:microsoft.com/office/officeart/2005/8/layout/hList1" loCatId="list" qsTypeId="urn:microsoft.com/office/officeart/2005/8/quickstyle/simple1" qsCatId="simple" csTypeId="urn:microsoft.com/office/officeart/2005/8/colors/accent1_2" csCatId="accent1" phldr="1"/>
      <dgm:spPr/>
      <dgm:t>
        <a:bodyPr/>
        <a:lstStyle/>
        <a:p>
          <a:endParaRPr lang="en-US"/>
        </a:p>
      </dgm:t>
    </dgm:pt>
    <dgm:pt modelId="{31231DD1-DACD-4A81-9BDD-8D659BA33D1B}">
      <dgm:prSet phldrT="[Text]" custT="1"/>
      <dgm:spPr>
        <a:xfrm>
          <a:off x="1714" y="13350"/>
          <a:ext cx="1671637" cy="668654"/>
        </a:xfrm>
        <a:prstGeom prst="rect">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gm:spPr>
      <dgm:t>
        <a:bodyPr/>
        <a:lstStyle/>
        <a:p>
          <a:pPr>
            <a:buNone/>
          </a:pPr>
          <a:r>
            <a:rPr lang="en-US" sz="1100">
              <a:solidFill>
                <a:sysClr val="window" lastClr="FFFFFF"/>
              </a:solidFill>
              <a:latin typeface="Calibri" panose="020F0502020204030204"/>
              <a:ea typeface="+mn-ea"/>
              <a:cs typeface="+mn-cs"/>
            </a:rPr>
            <a:t>Structural Changes to Improve MOUD Usage</a:t>
          </a:r>
        </a:p>
      </dgm:t>
    </dgm:pt>
    <dgm:pt modelId="{8D03F6B0-9284-4AF7-971A-5DD085DC78C1}" type="parTrans" cxnId="{7104CB04-BE66-40EE-8FE3-5A4E20A29AFB}">
      <dgm:prSet/>
      <dgm:spPr/>
      <dgm:t>
        <a:bodyPr/>
        <a:lstStyle/>
        <a:p>
          <a:endParaRPr lang="en-US"/>
        </a:p>
      </dgm:t>
    </dgm:pt>
    <dgm:pt modelId="{4D24088C-ED7B-43DA-A338-B5E0B7729F24}" type="sibTrans" cxnId="{7104CB04-BE66-40EE-8FE3-5A4E20A29AFB}">
      <dgm:prSet/>
      <dgm:spPr/>
      <dgm:t>
        <a:bodyPr/>
        <a:lstStyle/>
        <a:p>
          <a:endParaRPr lang="en-US"/>
        </a:p>
      </dgm:t>
    </dgm:pt>
    <dgm:pt modelId="{D7AECCB8-D9C2-4414-8B7A-9930CDF68526}">
      <dgm:prSet phldrT="[Text]" custT="1"/>
      <dgm:spPr>
        <a:xfrm>
          <a:off x="1714" y="682004"/>
          <a:ext cx="1671637" cy="1581120"/>
        </a:xfrm>
        <a:prstGeom prst="rect">
          <a:avLst/>
        </a:prstGeom>
        <a:solidFill>
          <a:srgbClr val="4472C4">
            <a:alpha val="90000"/>
            <a:tint val="40000"/>
            <a:hueOff val="0"/>
            <a:satOff val="0"/>
            <a:lumOff val="0"/>
            <a:alphaOff val="0"/>
          </a:srgbClr>
        </a:solidFill>
        <a:ln w="12700" cap="flat" cmpd="sng" algn="ctr">
          <a:solidFill>
            <a:srgbClr val="4472C4">
              <a:alpha val="90000"/>
              <a:tint val="40000"/>
              <a:hueOff val="0"/>
              <a:satOff val="0"/>
              <a:lumOff val="0"/>
              <a:alphaOff val="0"/>
            </a:srgbClr>
          </a:solidFill>
          <a:prstDash val="solid"/>
          <a:miter lim="800000"/>
        </a:ln>
        <a:effectLst/>
      </dgm:spPr>
      <dgm:t>
        <a:bodyPr/>
        <a:lstStyle/>
        <a:p>
          <a:pPr>
            <a:buChar char="•"/>
          </a:pPr>
          <a:r>
            <a:rPr lang="en-US" sz="1100">
              <a:solidFill>
                <a:sysClr val="windowText" lastClr="000000">
                  <a:hueOff val="0"/>
                  <a:satOff val="0"/>
                  <a:lumOff val="0"/>
                  <a:alphaOff val="0"/>
                </a:sysClr>
              </a:solidFill>
              <a:latin typeface="Calibri" panose="020F0502020204030204"/>
              <a:ea typeface="+mn-ea"/>
              <a:cs typeface="+mn-cs"/>
            </a:rPr>
            <a:t>Hire prescribing professionals</a:t>
          </a:r>
        </a:p>
      </dgm:t>
    </dgm:pt>
    <dgm:pt modelId="{A6F36244-A9C6-4117-8691-23DDE7AB6A12}" type="parTrans" cxnId="{EE8CB7F2-6D22-4174-82EF-B6BEF45DB075}">
      <dgm:prSet/>
      <dgm:spPr/>
      <dgm:t>
        <a:bodyPr/>
        <a:lstStyle/>
        <a:p>
          <a:endParaRPr lang="en-US"/>
        </a:p>
      </dgm:t>
    </dgm:pt>
    <dgm:pt modelId="{C5A8A48A-6560-43F6-BCAB-F597673C86C4}" type="sibTrans" cxnId="{EE8CB7F2-6D22-4174-82EF-B6BEF45DB075}">
      <dgm:prSet/>
      <dgm:spPr/>
      <dgm:t>
        <a:bodyPr/>
        <a:lstStyle/>
        <a:p>
          <a:endParaRPr lang="en-US"/>
        </a:p>
      </dgm:t>
    </dgm:pt>
    <dgm:pt modelId="{85CDE0D5-E542-444B-A092-70763A643B4F}">
      <dgm:prSet phldrT="[Text]" custT="1"/>
      <dgm:spPr>
        <a:xfrm>
          <a:off x="1714" y="682004"/>
          <a:ext cx="1671637" cy="1581120"/>
        </a:xfrm>
        <a:prstGeom prst="rect">
          <a:avLst/>
        </a:prstGeom>
        <a:solidFill>
          <a:srgbClr val="4472C4">
            <a:alpha val="90000"/>
            <a:tint val="40000"/>
            <a:hueOff val="0"/>
            <a:satOff val="0"/>
            <a:lumOff val="0"/>
            <a:alphaOff val="0"/>
          </a:srgbClr>
        </a:solidFill>
        <a:ln w="12700" cap="flat" cmpd="sng" algn="ctr">
          <a:solidFill>
            <a:srgbClr val="4472C4">
              <a:alpha val="90000"/>
              <a:tint val="40000"/>
              <a:hueOff val="0"/>
              <a:satOff val="0"/>
              <a:lumOff val="0"/>
              <a:alphaOff val="0"/>
            </a:srgbClr>
          </a:solidFill>
          <a:prstDash val="solid"/>
          <a:miter lim="800000"/>
        </a:ln>
        <a:effectLst/>
      </dgm:spPr>
      <dgm:t>
        <a:bodyPr/>
        <a:lstStyle/>
        <a:p>
          <a:pPr>
            <a:buChar char="•"/>
          </a:pPr>
          <a:r>
            <a:rPr lang="en-US" sz="1100">
              <a:solidFill>
                <a:sysClr val="windowText" lastClr="000000">
                  <a:hueOff val="0"/>
                  <a:satOff val="0"/>
                  <a:lumOff val="0"/>
                  <a:alphaOff val="0"/>
                </a:sysClr>
              </a:solidFill>
              <a:latin typeface="Calibri" panose="020F0502020204030204"/>
              <a:ea typeface="+mn-ea"/>
              <a:cs typeface="+mn-cs"/>
            </a:rPr>
            <a:t>Create relationships with prescribing professionals</a:t>
          </a:r>
        </a:p>
      </dgm:t>
    </dgm:pt>
    <dgm:pt modelId="{E0349CBF-E93E-4229-894D-3539731FB417}" type="parTrans" cxnId="{7B01657A-FA3D-4560-B9C4-672B480D5556}">
      <dgm:prSet/>
      <dgm:spPr/>
      <dgm:t>
        <a:bodyPr/>
        <a:lstStyle/>
        <a:p>
          <a:endParaRPr lang="en-US"/>
        </a:p>
      </dgm:t>
    </dgm:pt>
    <dgm:pt modelId="{21F1B618-BF3B-4EEA-9833-8371F3EFA131}" type="sibTrans" cxnId="{7B01657A-FA3D-4560-B9C4-672B480D5556}">
      <dgm:prSet/>
      <dgm:spPr/>
      <dgm:t>
        <a:bodyPr/>
        <a:lstStyle/>
        <a:p>
          <a:endParaRPr lang="en-US"/>
        </a:p>
      </dgm:t>
    </dgm:pt>
    <dgm:pt modelId="{0D331A4F-7DCB-41BA-A721-D5B3CA5CDFF9}">
      <dgm:prSet phldrT="[Text]" custT="1"/>
      <dgm:spPr>
        <a:xfrm>
          <a:off x="1907381" y="13350"/>
          <a:ext cx="1671637" cy="668654"/>
        </a:xfrm>
        <a:prstGeom prst="rect">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gm:spPr>
      <dgm:t>
        <a:bodyPr/>
        <a:lstStyle/>
        <a:p>
          <a:pPr>
            <a:buNone/>
          </a:pPr>
          <a:r>
            <a:rPr lang="en-US" sz="1100">
              <a:solidFill>
                <a:sysClr val="window" lastClr="FFFFFF"/>
              </a:solidFill>
              <a:latin typeface="Calibri" panose="020F0502020204030204"/>
              <a:ea typeface="+mn-ea"/>
              <a:cs typeface="+mn-cs"/>
            </a:rPr>
            <a:t>Process Changes to Improve MOUD Usage</a:t>
          </a:r>
          <a:r>
            <a:rPr lang="en-US" sz="1300">
              <a:solidFill>
                <a:sysClr val="window" lastClr="FFFFFF"/>
              </a:solidFill>
              <a:latin typeface="Calibri" panose="020F0502020204030204"/>
              <a:ea typeface="+mn-ea"/>
              <a:cs typeface="+mn-cs"/>
            </a:rPr>
            <a:t>	</a:t>
          </a:r>
        </a:p>
      </dgm:t>
    </dgm:pt>
    <dgm:pt modelId="{DA97A9EC-D628-4906-B5F2-F97694BE2AE7}" type="parTrans" cxnId="{319D0A94-7C57-4D2C-B12C-CDA5B6BB611A}">
      <dgm:prSet/>
      <dgm:spPr/>
      <dgm:t>
        <a:bodyPr/>
        <a:lstStyle/>
        <a:p>
          <a:endParaRPr lang="en-US"/>
        </a:p>
      </dgm:t>
    </dgm:pt>
    <dgm:pt modelId="{50642A64-47AC-4B6A-9244-DF4B7CAC58CD}" type="sibTrans" cxnId="{319D0A94-7C57-4D2C-B12C-CDA5B6BB611A}">
      <dgm:prSet/>
      <dgm:spPr/>
      <dgm:t>
        <a:bodyPr/>
        <a:lstStyle/>
        <a:p>
          <a:endParaRPr lang="en-US"/>
        </a:p>
      </dgm:t>
    </dgm:pt>
    <dgm:pt modelId="{4EEE7C5F-8FE0-4ABE-AD84-EDA9F28573CF}">
      <dgm:prSet phldrT="[Text]" custT="1"/>
      <dgm:spPr>
        <a:xfrm>
          <a:off x="1907381" y="682004"/>
          <a:ext cx="1671637" cy="1581120"/>
        </a:xfrm>
        <a:prstGeom prst="rect">
          <a:avLst/>
        </a:prstGeom>
        <a:solidFill>
          <a:srgbClr val="4472C4">
            <a:alpha val="90000"/>
            <a:tint val="40000"/>
            <a:hueOff val="0"/>
            <a:satOff val="0"/>
            <a:lumOff val="0"/>
            <a:alphaOff val="0"/>
          </a:srgbClr>
        </a:solidFill>
        <a:ln w="12700" cap="flat" cmpd="sng" algn="ctr">
          <a:solidFill>
            <a:srgbClr val="4472C4">
              <a:alpha val="90000"/>
              <a:tint val="40000"/>
              <a:hueOff val="0"/>
              <a:satOff val="0"/>
              <a:lumOff val="0"/>
              <a:alphaOff val="0"/>
            </a:srgbClr>
          </a:solidFill>
          <a:prstDash val="solid"/>
          <a:miter lim="800000"/>
        </a:ln>
        <a:effectLst/>
      </dgm:spPr>
      <dgm:t>
        <a:bodyPr/>
        <a:lstStyle/>
        <a:p>
          <a:pPr>
            <a:buChar char="•"/>
          </a:pPr>
          <a:r>
            <a:rPr lang="en-US" sz="1100">
              <a:solidFill>
                <a:sysClr val="windowText" lastClr="000000">
                  <a:hueOff val="0"/>
                  <a:satOff val="0"/>
                  <a:lumOff val="0"/>
                  <a:alphaOff val="0"/>
                </a:sysClr>
              </a:solidFill>
              <a:latin typeface="Calibri" panose="020F0502020204030204"/>
              <a:ea typeface="+mn-ea"/>
              <a:cs typeface="+mn-cs"/>
            </a:rPr>
            <a:t>Prescribe more MOUD for OUD patients</a:t>
          </a:r>
        </a:p>
      </dgm:t>
    </dgm:pt>
    <dgm:pt modelId="{A355AD89-5CDD-485D-9C25-37C8071E9477}" type="parTrans" cxnId="{B8DFD853-82D9-49A8-9F22-78064BF90960}">
      <dgm:prSet/>
      <dgm:spPr/>
      <dgm:t>
        <a:bodyPr/>
        <a:lstStyle/>
        <a:p>
          <a:endParaRPr lang="en-US"/>
        </a:p>
      </dgm:t>
    </dgm:pt>
    <dgm:pt modelId="{C0AFD2C8-4ADC-4196-A2BD-2FC7F3E37619}" type="sibTrans" cxnId="{B8DFD853-82D9-49A8-9F22-78064BF90960}">
      <dgm:prSet/>
      <dgm:spPr/>
      <dgm:t>
        <a:bodyPr/>
        <a:lstStyle/>
        <a:p>
          <a:endParaRPr lang="en-US"/>
        </a:p>
      </dgm:t>
    </dgm:pt>
    <dgm:pt modelId="{877DE735-1582-49A5-BD62-783EEB0C2772}">
      <dgm:prSet phldrT="[Text]" custT="1"/>
      <dgm:spPr>
        <a:xfrm>
          <a:off x="1907381" y="682004"/>
          <a:ext cx="1671637" cy="1581120"/>
        </a:xfrm>
        <a:prstGeom prst="rect">
          <a:avLst/>
        </a:prstGeom>
        <a:solidFill>
          <a:srgbClr val="4472C4">
            <a:alpha val="90000"/>
            <a:tint val="40000"/>
            <a:hueOff val="0"/>
            <a:satOff val="0"/>
            <a:lumOff val="0"/>
            <a:alphaOff val="0"/>
          </a:srgbClr>
        </a:solidFill>
        <a:ln w="12700" cap="flat" cmpd="sng" algn="ctr">
          <a:solidFill>
            <a:srgbClr val="4472C4">
              <a:alpha val="90000"/>
              <a:tint val="40000"/>
              <a:hueOff val="0"/>
              <a:satOff val="0"/>
              <a:lumOff val="0"/>
              <a:alphaOff val="0"/>
            </a:srgbClr>
          </a:solidFill>
          <a:prstDash val="solid"/>
          <a:miter lim="800000"/>
        </a:ln>
        <a:effectLst/>
      </dgm:spPr>
      <dgm:t>
        <a:bodyPr/>
        <a:lstStyle/>
        <a:p>
          <a:pPr>
            <a:buChar char="•"/>
          </a:pPr>
          <a:r>
            <a:rPr lang="en-US" sz="1100">
              <a:solidFill>
                <a:sysClr val="windowText" lastClr="000000">
                  <a:hueOff val="0"/>
                  <a:satOff val="0"/>
                  <a:lumOff val="0"/>
                  <a:alphaOff val="0"/>
                </a:sysClr>
              </a:solidFill>
              <a:latin typeface="Calibri" panose="020F0502020204030204"/>
              <a:ea typeface="+mn-ea"/>
              <a:cs typeface="+mn-cs"/>
            </a:rPr>
            <a:t>Connect patients to other prescribers for MOUD</a:t>
          </a:r>
        </a:p>
      </dgm:t>
    </dgm:pt>
    <dgm:pt modelId="{A4CC2B56-7A5E-458C-A98D-D1CE70FEEAFE}" type="parTrans" cxnId="{48436C87-291B-4F48-BE7D-360FEB9BC4F2}">
      <dgm:prSet/>
      <dgm:spPr/>
      <dgm:t>
        <a:bodyPr/>
        <a:lstStyle/>
        <a:p>
          <a:endParaRPr lang="en-US"/>
        </a:p>
      </dgm:t>
    </dgm:pt>
    <dgm:pt modelId="{A7D555AF-8F43-4535-B289-FEF112B5AEC5}" type="sibTrans" cxnId="{48436C87-291B-4F48-BE7D-360FEB9BC4F2}">
      <dgm:prSet/>
      <dgm:spPr/>
      <dgm:t>
        <a:bodyPr/>
        <a:lstStyle/>
        <a:p>
          <a:endParaRPr lang="en-US"/>
        </a:p>
      </dgm:t>
    </dgm:pt>
    <dgm:pt modelId="{24D7C447-CE89-4D93-9C1D-88F177A1EF75}">
      <dgm:prSet phldrT="[Text]" custT="1"/>
      <dgm:spPr>
        <a:xfrm>
          <a:off x="3813048" y="13350"/>
          <a:ext cx="1671637" cy="668654"/>
        </a:xfrm>
        <a:prstGeom prst="rect">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gm:spPr>
      <dgm:t>
        <a:bodyPr/>
        <a:lstStyle/>
        <a:p>
          <a:pPr>
            <a:buNone/>
          </a:pPr>
          <a:r>
            <a:rPr lang="en-US" sz="1100">
              <a:solidFill>
                <a:sysClr val="window" lastClr="FFFFFF"/>
              </a:solidFill>
              <a:latin typeface="Calibri" panose="020F0502020204030204"/>
              <a:ea typeface="+mn-ea"/>
              <a:cs typeface="+mn-cs"/>
            </a:rPr>
            <a:t>Outcome Changes</a:t>
          </a:r>
        </a:p>
      </dgm:t>
    </dgm:pt>
    <dgm:pt modelId="{836FDF11-ED6F-4E79-83A0-C0D148F25775}" type="parTrans" cxnId="{3DE3DA27-D469-42C5-B9BA-6EFF418917D3}">
      <dgm:prSet/>
      <dgm:spPr/>
      <dgm:t>
        <a:bodyPr/>
        <a:lstStyle/>
        <a:p>
          <a:endParaRPr lang="en-US"/>
        </a:p>
      </dgm:t>
    </dgm:pt>
    <dgm:pt modelId="{CBDD60F4-7D95-4E0A-BAE0-58B47E6587AB}" type="sibTrans" cxnId="{3DE3DA27-D469-42C5-B9BA-6EFF418917D3}">
      <dgm:prSet/>
      <dgm:spPr/>
      <dgm:t>
        <a:bodyPr/>
        <a:lstStyle/>
        <a:p>
          <a:endParaRPr lang="en-US"/>
        </a:p>
      </dgm:t>
    </dgm:pt>
    <dgm:pt modelId="{49A62DBD-D96C-4B81-B2CD-E31CDD3B65F0}">
      <dgm:prSet phldrT="[Text]" custT="1"/>
      <dgm:spPr>
        <a:xfrm>
          <a:off x="3813048" y="682004"/>
          <a:ext cx="1671637" cy="1581120"/>
        </a:xfrm>
        <a:prstGeom prst="rect">
          <a:avLst/>
        </a:prstGeom>
        <a:solidFill>
          <a:srgbClr val="4472C4">
            <a:alpha val="90000"/>
            <a:tint val="40000"/>
            <a:hueOff val="0"/>
            <a:satOff val="0"/>
            <a:lumOff val="0"/>
            <a:alphaOff val="0"/>
          </a:srgbClr>
        </a:solidFill>
        <a:ln w="12700" cap="flat" cmpd="sng" algn="ctr">
          <a:solidFill>
            <a:srgbClr val="4472C4">
              <a:alpha val="90000"/>
              <a:tint val="40000"/>
              <a:hueOff val="0"/>
              <a:satOff val="0"/>
              <a:lumOff val="0"/>
              <a:alphaOff val="0"/>
            </a:srgbClr>
          </a:solidFill>
          <a:prstDash val="solid"/>
          <a:miter lim="800000"/>
        </a:ln>
        <a:effectLst/>
      </dgm:spPr>
      <dgm:t>
        <a:bodyPr/>
        <a:lstStyle/>
        <a:p>
          <a:pPr>
            <a:buChar char="•"/>
          </a:pPr>
          <a:r>
            <a:rPr lang="en-US" sz="1100">
              <a:solidFill>
                <a:sysClr val="windowText" lastClr="000000">
                  <a:hueOff val="0"/>
                  <a:satOff val="0"/>
                  <a:lumOff val="0"/>
                  <a:alphaOff val="0"/>
                </a:sysClr>
              </a:solidFill>
              <a:latin typeface="Calibri" panose="020F0502020204030204"/>
              <a:ea typeface="+mn-ea"/>
              <a:cs typeface="+mn-cs"/>
            </a:rPr>
            <a:t>Reduced OUD  mortality</a:t>
          </a:r>
        </a:p>
      </dgm:t>
    </dgm:pt>
    <dgm:pt modelId="{3017A114-6339-45BD-A2AF-6DC3F02B25AD}" type="parTrans" cxnId="{9E943089-A05D-4084-BD5A-AD673A25EFD2}">
      <dgm:prSet/>
      <dgm:spPr/>
      <dgm:t>
        <a:bodyPr/>
        <a:lstStyle/>
        <a:p>
          <a:endParaRPr lang="en-US"/>
        </a:p>
      </dgm:t>
    </dgm:pt>
    <dgm:pt modelId="{65C5B197-A6B3-47B7-80CF-83E7DFAC4069}" type="sibTrans" cxnId="{9E943089-A05D-4084-BD5A-AD673A25EFD2}">
      <dgm:prSet/>
      <dgm:spPr/>
      <dgm:t>
        <a:bodyPr/>
        <a:lstStyle/>
        <a:p>
          <a:endParaRPr lang="en-US"/>
        </a:p>
      </dgm:t>
    </dgm:pt>
    <dgm:pt modelId="{77BE8045-0B6D-4536-BE71-EF86E0AB2D25}">
      <dgm:prSet phldrT="[Text]" custT="1"/>
      <dgm:spPr>
        <a:xfrm>
          <a:off x="3813048" y="682004"/>
          <a:ext cx="1671637" cy="1581120"/>
        </a:xfrm>
        <a:prstGeom prst="rect">
          <a:avLst/>
        </a:prstGeom>
        <a:solidFill>
          <a:srgbClr val="4472C4">
            <a:alpha val="90000"/>
            <a:tint val="40000"/>
            <a:hueOff val="0"/>
            <a:satOff val="0"/>
            <a:lumOff val="0"/>
            <a:alphaOff val="0"/>
          </a:srgbClr>
        </a:solidFill>
        <a:ln w="12700" cap="flat" cmpd="sng" algn="ctr">
          <a:solidFill>
            <a:srgbClr val="4472C4">
              <a:alpha val="90000"/>
              <a:tint val="40000"/>
              <a:hueOff val="0"/>
              <a:satOff val="0"/>
              <a:lumOff val="0"/>
              <a:alphaOff val="0"/>
            </a:srgbClr>
          </a:solidFill>
          <a:prstDash val="solid"/>
          <a:miter lim="800000"/>
        </a:ln>
        <a:effectLst/>
      </dgm:spPr>
      <dgm:t>
        <a:bodyPr/>
        <a:lstStyle/>
        <a:p>
          <a:pPr>
            <a:buChar char="•"/>
          </a:pPr>
          <a:r>
            <a:rPr lang="en-US" sz="1100">
              <a:solidFill>
                <a:sysClr val="windowText" lastClr="000000">
                  <a:hueOff val="0"/>
                  <a:satOff val="0"/>
                  <a:lumOff val="0"/>
                  <a:alphaOff val="0"/>
                </a:sysClr>
              </a:solidFill>
              <a:latin typeface="Calibri" panose="020F0502020204030204"/>
              <a:ea typeface="+mn-ea"/>
              <a:cs typeface="+mn-cs"/>
            </a:rPr>
            <a:t>Reduced OUD  overdoses</a:t>
          </a:r>
        </a:p>
      </dgm:t>
    </dgm:pt>
    <dgm:pt modelId="{6323260B-517B-466C-A3CE-E0B9A5AAC3FC}" type="parTrans" cxnId="{74AE0DBF-FD80-4203-8D25-A9ED767747D7}">
      <dgm:prSet/>
      <dgm:spPr/>
      <dgm:t>
        <a:bodyPr/>
        <a:lstStyle/>
        <a:p>
          <a:endParaRPr lang="en-US"/>
        </a:p>
      </dgm:t>
    </dgm:pt>
    <dgm:pt modelId="{B22C6487-3C88-4D3F-9C69-79D318B18DC6}" type="sibTrans" cxnId="{74AE0DBF-FD80-4203-8D25-A9ED767747D7}">
      <dgm:prSet/>
      <dgm:spPr/>
      <dgm:t>
        <a:bodyPr/>
        <a:lstStyle/>
        <a:p>
          <a:endParaRPr lang="en-US"/>
        </a:p>
      </dgm:t>
    </dgm:pt>
    <dgm:pt modelId="{0DDE6598-DBDB-49D3-BA8B-C97271319FD4}">
      <dgm:prSet phldrT="[Text]" custT="1"/>
      <dgm:spPr>
        <a:xfrm>
          <a:off x="1714" y="682004"/>
          <a:ext cx="1671637" cy="1581120"/>
        </a:xfrm>
        <a:prstGeom prst="rect">
          <a:avLst/>
        </a:prstGeom>
        <a:solidFill>
          <a:srgbClr val="4472C4">
            <a:alpha val="90000"/>
            <a:tint val="40000"/>
            <a:hueOff val="0"/>
            <a:satOff val="0"/>
            <a:lumOff val="0"/>
            <a:alphaOff val="0"/>
          </a:srgbClr>
        </a:solidFill>
        <a:ln w="12700" cap="flat" cmpd="sng" algn="ctr">
          <a:solidFill>
            <a:srgbClr val="4472C4">
              <a:alpha val="90000"/>
              <a:tint val="40000"/>
              <a:hueOff val="0"/>
              <a:satOff val="0"/>
              <a:lumOff val="0"/>
              <a:alphaOff val="0"/>
            </a:srgbClr>
          </a:solidFill>
          <a:prstDash val="solid"/>
          <a:miter lim="800000"/>
        </a:ln>
        <a:effectLst/>
      </dgm:spPr>
      <dgm:t>
        <a:bodyPr/>
        <a:lstStyle/>
        <a:p>
          <a:pPr>
            <a:buChar char="•"/>
          </a:pPr>
          <a:r>
            <a:rPr lang="en-US" sz="1100">
              <a:solidFill>
                <a:sysClr val="windowText" lastClr="000000">
                  <a:hueOff val="0"/>
                  <a:satOff val="0"/>
                  <a:lumOff val="0"/>
                  <a:alphaOff val="0"/>
                </a:sysClr>
              </a:solidFill>
              <a:latin typeface="Calibri" panose="020F0502020204030204"/>
              <a:ea typeface="+mn-ea"/>
              <a:cs typeface="+mn-cs"/>
            </a:rPr>
            <a:t>Encourage buprenorphine waiver training</a:t>
          </a:r>
        </a:p>
      </dgm:t>
    </dgm:pt>
    <dgm:pt modelId="{94EFB105-0C52-454C-A714-7832B8F7FAC7}" type="parTrans" cxnId="{81B7904D-1B15-4BEF-B943-C47ECD159600}">
      <dgm:prSet/>
      <dgm:spPr/>
      <dgm:t>
        <a:bodyPr/>
        <a:lstStyle/>
        <a:p>
          <a:endParaRPr lang="en-US"/>
        </a:p>
      </dgm:t>
    </dgm:pt>
    <dgm:pt modelId="{AE7F2527-0FD2-4943-949E-54E8C421F04F}" type="sibTrans" cxnId="{81B7904D-1B15-4BEF-B943-C47ECD159600}">
      <dgm:prSet/>
      <dgm:spPr/>
      <dgm:t>
        <a:bodyPr/>
        <a:lstStyle/>
        <a:p>
          <a:endParaRPr lang="en-US"/>
        </a:p>
      </dgm:t>
    </dgm:pt>
    <dgm:pt modelId="{93CA7F40-A5A5-4806-9CB0-0755F6A09516}">
      <dgm:prSet phldrT="[Text]" custT="1"/>
      <dgm:spPr>
        <a:xfrm>
          <a:off x="1907381" y="682004"/>
          <a:ext cx="1671637" cy="1581120"/>
        </a:xfrm>
        <a:prstGeom prst="rect">
          <a:avLst/>
        </a:prstGeom>
        <a:solidFill>
          <a:srgbClr val="4472C4">
            <a:alpha val="90000"/>
            <a:tint val="40000"/>
            <a:hueOff val="0"/>
            <a:satOff val="0"/>
            <a:lumOff val="0"/>
            <a:alphaOff val="0"/>
          </a:srgbClr>
        </a:solidFill>
        <a:ln w="12700" cap="flat" cmpd="sng" algn="ctr">
          <a:solidFill>
            <a:srgbClr val="4472C4">
              <a:alpha val="90000"/>
              <a:tint val="40000"/>
              <a:hueOff val="0"/>
              <a:satOff val="0"/>
              <a:lumOff val="0"/>
              <a:alphaOff val="0"/>
            </a:srgbClr>
          </a:solidFill>
          <a:prstDash val="solid"/>
          <a:miter lim="800000"/>
        </a:ln>
        <a:effectLst/>
      </dgm:spPr>
      <dgm:t>
        <a:bodyPr/>
        <a:lstStyle/>
        <a:p>
          <a:pPr>
            <a:buChar char="•"/>
          </a:pPr>
          <a:r>
            <a:rPr lang="en-US" sz="1100">
              <a:solidFill>
                <a:sysClr val="windowText" lastClr="000000">
                  <a:hueOff val="0"/>
                  <a:satOff val="0"/>
                  <a:lumOff val="0"/>
                  <a:alphaOff val="0"/>
                </a:sysClr>
              </a:solidFill>
              <a:latin typeface="Calibri" panose="020F0502020204030204"/>
              <a:ea typeface="+mn-ea"/>
              <a:cs typeface="+mn-cs"/>
            </a:rPr>
            <a:t>Follow-up to make sure patient received MOUD</a:t>
          </a:r>
        </a:p>
      </dgm:t>
    </dgm:pt>
    <dgm:pt modelId="{F70F60B3-5064-44B6-83C7-67C49BD9E798}" type="parTrans" cxnId="{70734C27-0133-405D-AA87-0A1F351A2BD2}">
      <dgm:prSet/>
      <dgm:spPr/>
      <dgm:t>
        <a:bodyPr/>
        <a:lstStyle/>
        <a:p>
          <a:endParaRPr lang="en-US"/>
        </a:p>
      </dgm:t>
    </dgm:pt>
    <dgm:pt modelId="{FECBFBDA-4798-404A-9C4F-BB93FA7C19AD}" type="sibTrans" cxnId="{70734C27-0133-405D-AA87-0A1F351A2BD2}">
      <dgm:prSet/>
      <dgm:spPr/>
      <dgm:t>
        <a:bodyPr/>
        <a:lstStyle/>
        <a:p>
          <a:endParaRPr lang="en-US"/>
        </a:p>
      </dgm:t>
    </dgm:pt>
    <dgm:pt modelId="{1AC17C24-A245-47E4-9A14-A459365B1145}">
      <dgm:prSet phldrT="[Text]" custT="1"/>
      <dgm:spPr>
        <a:xfrm>
          <a:off x="3813048" y="682004"/>
          <a:ext cx="1671637" cy="1581120"/>
        </a:xfrm>
        <a:prstGeom prst="rect">
          <a:avLst/>
        </a:prstGeom>
        <a:solidFill>
          <a:srgbClr val="4472C4">
            <a:alpha val="90000"/>
            <a:tint val="40000"/>
            <a:hueOff val="0"/>
            <a:satOff val="0"/>
            <a:lumOff val="0"/>
            <a:alphaOff val="0"/>
          </a:srgbClr>
        </a:solidFill>
        <a:ln w="12700" cap="flat" cmpd="sng" algn="ctr">
          <a:solidFill>
            <a:srgbClr val="4472C4">
              <a:alpha val="90000"/>
              <a:tint val="40000"/>
              <a:hueOff val="0"/>
              <a:satOff val="0"/>
              <a:lumOff val="0"/>
              <a:alphaOff val="0"/>
            </a:srgbClr>
          </a:solidFill>
          <a:prstDash val="solid"/>
          <a:miter lim="800000"/>
        </a:ln>
        <a:effectLst/>
      </dgm:spPr>
      <dgm:t>
        <a:bodyPr/>
        <a:lstStyle/>
        <a:p>
          <a:pPr>
            <a:buChar char="•"/>
          </a:pPr>
          <a:r>
            <a:rPr lang="en-US" sz="1100">
              <a:solidFill>
                <a:sysClr val="windowText" lastClr="000000">
                  <a:hueOff val="0"/>
                  <a:satOff val="0"/>
                  <a:lumOff val="0"/>
                  <a:alphaOff val="0"/>
                </a:sysClr>
              </a:solidFill>
              <a:latin typeface="Calibri" panose="020F0502020204030204"/>
              <a:ea typeface="+mn-ea"/>
              <a:cs typeface="+mn-cs"/>
            </a:rPr>
            <a:t>Reduced OUD health complications</a:t>
          </a:r>
        </a:p>
      </dgm:t>
    </dgm:pt>
    <dgm:pt modelId="{814A1115-483B-465F-BCAA-2EABB9B1F8DA}" type="parTrans" cxnId="{2C4CE071-6836-4CC6-8193-B25A6DFE406E}">
      <dgm:prSet/>
      <dgm:spPr/>
      <dgm:t>
        <a:bodyPr/>
        <a:lstStyle/>
        <a:p>
          <a:endParaRPr lang="en-US"/>
        </a:p>
      </dgm:t>
    </dgm:pt>
    <dgm:pt modelId="{63687618-FABA-417F-B025-BD3924365A4B}" type="sibTrans" cxnId="{2C4CE071-6836-4CC6-8193-B25A6DFE406E}">
      <dgm:prSet/>
      <dgm:spPr/>
      <dgm:t>
        <a:bodyPr/>
        <a:lstStyle/>
        <a:p>
          <a:endParaRPr lang="en-US"/>
        </a:p>
      </dgm:t>
    </dgm:pt>
    <dgm:pt modelId="{5EE1BE79-DE4A-4C58-919B-ED5544446FA3}">
      <dgm:prSet phldrT="[Text]" custT="1"/>
      <dgm:spPr>
        <a:xfrm>
          <a:off x="3813048" y="682004"/>
          <a:ext cx="1671637" cy="1581120"/>
        </a:xfrm>
        <a:prstGeom prst="rect">
          <a:avLst/>
        </a:prstGeom>
        <a:solidFill>
          <a:srgbClr val="4472C4">
            <a:alpha val="90000"/>
            <a:tint val="40000"/>
            <a:hueOff val="0"/>
            <a:satOff val="0"/>
            <a:lumOff val="0"/>
            <a:alphaOff val="0"/>
          </a:srgbClr>
        </a:solidFill>
        <a:ln w="12700" cap="flat" cmpd="sng" algn="ctr">
          <a:solidFill>
            <a:srgbClr val="4472C4">
              <a:alpha val="90000"/>
              <a:tint val="40000"/>
              <a:hueOff val="0"/>
              <a:satOff val="0"/>
              <a:lumOff val="0"/>
              <a:alphaOff val="0"/>
            </a:srgbClr>
          </a:solidFill>
          <a:prstDash val="solid"/>
          <a:miter lim="800000"/>
        </a:ln>
        <a:effectLst/>
      </dgm:spPr>
      <dgm:t>
        <a:bodyPr/>
        <a:lstStyle/>
        <a:p>
          <a:pPr>
            <a:buChar char="•"/>
          </a:pPr>
          <a:r>
            <a:rPr lang="en-US" sz="1100">
              <a:solidFill>
                <a:sysClr val="windowText" lastClr="000000">
                  <a:hueOff val="0"/>
                  <a:satOff val="0"/>
                  <a:lumOff val="0"/>
                  <a:alphaOff val="0"/>
                </a:sysClr>
              </a:solidFill>
              <a:latin typeface="Calibri" panose="020F0502020204030204"/>
              <a:ea typeface="+mn-ea"/>
              <a:cs typeface="+mn-cs"/>
            </a:rPr>
            <a:t>Reduce ED and hospital usage</a:t>
          </a:r>
        </a:p>
      </dgm:t>
    </dgm:pt>
    <dgm:pt modelId="{0AB5B2DB-B1E5-4483-BF40-E0ED8A8C9114}" type="parTrans" cxnId="{9E9A23DF-5D64-4BF3-BE50-FBB4E490F6FE}">
      <dgm:prSet/>
      <dgm:spPr/>
      <dgm:t>
        <a:bodyPr/>
        <a:lstStyle/>
        <a:p>
          <a:endParaRPr lang="en-US"/>
        </a:p>
      </dgm:t>
    </dgm:pt>
    <dgm:pt modelId="{4A28090B-6F61-4215-A229-23A40429EFDB}" type="sibTrans" cxnId="{9E9A23DF-5D64-4BF3-BE50-FBB4E490F6FE}">
      <dgm:prSet/>
      <dgm:spPr/>
      <dgm:t>
        <a:bodyPr/>
        <a:lstStyle/>
        <a:p>
          <a:endParaRPr lang="en-US"/>
        </a:p>
      </dgm:t>
    </dgm:pt>
    <dgm:pt modelId="{36F03876-C2C0-4D34-B335-684C0AFAB92F}">
      <dgm:prSet phldrT="[Text]" custT="1"/>
      <dgm:spPr>
        <a:xfrm>
          <a:off x="3813048" y="682004"/>
          <a:ext cx="1671637" cy="1581120"/>
        </a:xfrm>
        <a:prstGeom prst="rect">
          <a:avLst/>
        </a:prstGeom>
        <a:solidFill>
          <a:srgbClr val="4472C4">
            <a:alpha val="90000"/>
            <a:tint val="40000"/>
            <a:hueOff val="0"/>
            <a:satOff val="0"/>
            <a:lumOff val="0"/>
            <a:alphaOff val="0"/>
          </a:srgbClr>
        </a:solidFill>
        <a:ln w="12700" cap="flat" cmpd="sng" algn="ctr">
          <a:solidFill>
            <a:srgbClr val="4472C4">
              <a:alpha val="90000"/>
              <a:tint val="40000"/>
              <a:hueOff val="0"/>
              <a:satOff val="0"/>
              <a:lumOff val="0"/>
              <a:alphaOff val="0"/>
            </a:srgbClr>
          </a:solidFill>
          <a:prstDash val="solid"/>
          <a:miter lim="800000"/>
        </a:ln>
        <a:effectLst/>
      </dgm:spPr>
      <dgm:t>
        <a:bodyPr/>
        <a:lstStyle/>
        <a:p>
          <a:pPr>
            <a:buChar char="•"/>
          </a:pPr>
          <a:r>
            <a:rPr lang="en-US" sz="1100">
              <a:solidFill>
                <a:sysClr val="windowText" lastClr="000000">
                  <a:hueOff val="0"/>
                  <a:satOff val="0"/>
                  <a:lumOff val="0"/>
                  <a:alphaOff val="0"/>
                </a:sysClr>
              </a:solidFill>
              <a:latin typeface="Calibri" panose="020F0502020204030204"/>
              <a:ea typeface="+mn-ea"/>
              <a:cs typeface="+mn-cs"/>
            </a:rPr>
            <a:t>Improved functioning</a:t>
          </a:r>
        </a:p>
      </dgm:t>
    </dgm:pt>
    <dgm:pt modelId="{BA279FFA-4203-4FEB-81C5-947742BB718B}" type="parTrans" cxnId="{7C324D6A-FBBD-47F2-A482-EEA9B508DC9E}">
      <dgm:prSet/>
      <dgm:spPr/>
      <dgm:t>
        <a:bodyPr/>
        <a:lstStyle/>
        <a:p>
          <a:endParaRPr lang="en-US"/>
        </a:p>
      </dgm:t>
    </dgm:pt>
    <dgm:pt modelId="{9D5B785D-BC55-4894-87AD-45BAA3CCFEF3}" type="sibTrans" cxnId="{7C324D6A-FBBD-47F2-A482-EEA9B508DC9E}">
      <dgm:prSet/>
      <dgm:spPr/>
      <dgm:t>
        <a:bodyPr/>
        <a:lstStyle/>
        <a:p>
          <a:endParaRPr lang="en-US"/>
        </a:p>
      </dgm:t>
    </dgm:pt>
    <dgm:pt modelId="{E0578F7B-D95E-4750-9BB5-60FD20AF6032}" type="pres">
      <dgm:prSet presAssocID="{CFC7B347-B85E-4901-9B7B-5EAA9A1DD06C}" presName="Name0" presStyleCnt="0">
        <dgm:presLayoutVars>
          <dgm:dir/>
          <dgm:animLvl val="lvl"/>
          <dgm:resizeHandles val="exact"/>
        </dgm:presLayoutVars>
      </dgm:prSet>
      <dgm:spPr/>
    </dgm:pt>
    <dgm:pt modelId="{E44008A3-81AF-46E7-BA9E-C083436C797B}" type="pres">
      <dgm:prSet presAssocID="{31231DD1-DACD-4A81-9BDD-8D659BA33D1B}" presName="composite" presStyleCnt="0"/>
      <dgm:spPr/>
    </dgm:pt>
    <dgm:pt modelId="{F6B422D1-0E7D-40CC-84FB-55B98458D37D}" type="pres">
      <dgm:prSet presAssocID="{31231DD1-DACD-4A81-9BDD-8D659BA33D1B}" presName="parTx" presStyleLbl="alignNode1" presStyleIdx="0" presStyleCnt="3">
        <dgm:presLayoutVars>
          <dgm:chMax val="0"/>
          <dgm:chPref val="0"/>
          <dgm:bulletEnabled val="1"/>
        </dgm:presLayoutVars>
      </dgm:prSet>
      <dgm:spPr/>
    </dgm:pt>
    <dgm:pt modelId="{BCCB88C2-9AF8-41D7-ABE0-1D4A15820325}" type="pres">
      <dgm:prSet presAssocID="{31231DD1-DACD-4A81-9BDD-8D659BA33D1B}" presName="desTx" presStyleLbl="alignAccFollowNode1" presStyleIdx="0" presStyleCnt="3">
        <dgm:presLayoutVars>
          <dgm:bulletEnabled val="1"/>
        </dgm:presLayoutVars>
      </dgm:prSet>
      <dgm:spPr/>
    </dgm:pt>
    <dgm:pt modelId="{72D54233-75FB-4773-A29E-9FD27F0BAE57}" type="pres">
      <dgm:prSet presAssocID="{4D24088C-ED7B-43DA-A338-B5E0B7729F24}" presName="space" presStyleCnt="0"/>
      <dgm:spPr/>
    </dgm:pt>
    <dgm:pt modelId="{87E7CDD7-4A12-4C6B-ACD7-219ABF7BBE0E}" type="pres">
      <dgm:prSet presAssocID="{0D331A4F-7DCB-41BA-A721-D5B3CA5CDFF9}" presName="composite" presStyleCnt="0"/>
      <dgm:spPr/>
    </dgm:pt>
    <dgm:pt modelId="{46D2B166-3FFD-4547-ACA1-FE9622AA3DBF}" type="pres">
      <dgm:prSet presAssocID="{0D331A4F-7DCB-41BA-A721-D5B3CA5CDFF9}" presName="parTx" presStyleLbl="alignNode1" presStyleIdx="1" presStyleCnt="3">
        <dgm:presLayoutVars>
          <dgm:chMax val="0"/>
          <dgm:chPref val="0"/>
          <dgm:bulletEnabled val="1"/>
        </dgm:presLayoutVars>
      </dgm:prSet>
      <dgm:spPr/>
    </dgm:pt>
    <dgm:pt modelId="{C08B3C46-3F23-455F-9ADC-4A9BBB8B7872}" type="pres">
      <dgm:prSet presAssocID="{0D331A4F-7DCB-41BA-A721-D5B3CA5CDFF9}" presName="desTx" presStyleLbl="alignAccFollowNode1" presStyleIdx="1" presStyleCnt="3">
        <dgm:presLayoutVars>
          <dgm:bulletEnabled val="1"/>
        </dgm:presLayoutVars>
      </dgm:prSet>
      <dgm:spPr/>
    </dgm:pt>
    <dgm:pt modelId="{84F52EFF-6C0D-4532-8D55-34FC9428DBEF}" type="pres">
      <dgm:prSet presAssocID="{50642A64-47AC-4B6A-9244-DF4B7CAC58CD}" presName="space" presStyleCnt="0"/>
      <dgm:spPr/>
    </dgm:pt>
    <dgm:pt modelId="{9A0B996B-B621-409E-BFF6-364EA11892F6}" type="pres">
      <dgm:prSet presAssocID="{24D7C447-CE89-4D93-9C1D-88F177A1EF75}" presName="composite" presStyleCnt="0"/>
      <dgm:spPr/>
    </dgm:pt>
    <dgm:pt modelId="{F59690B7-59A6-49B6-9F7E-EE76B5A3CF24}" type="pres">
      <dgm:prSet presAssocID="{24D7C447-CE89-4D93-9C1D-88F177A1EF75}" presName="parTx" presStyleLbl="alignNode1" presStyleIdx="2" presStyleCnt="3">
        <dgm:presLayoutVars>
          <dgm:chMax val="0"/>
          <dgm:chPref val="0"/>
          <dgm:bulletEnabled val="1"/>
        </dgm:presLayoutVars>
      </dgm:prSet>
      <dgm:spPr/>
    </dgm:pt>
    <dgm:pt modelId="{1958E6F3-BC7E-4AC4-BF4C-825F707F5A73}" type="pres">
      <dgm:prSet presAssocID="{24D7C447-CE89-4D93-9C1D-88F177A1EF75}" presName="desTx" presStyleLbl="alignAccFollowNode1" presStyleIdx="2" presStyleCnt="3">
        <dgm:presLayoutVars>
          <dgm:bulletEnabled val="1"/>
        </dgm:presLayoutVars>
      </dgm:prSet>
      <dgm:spPr/>
    </dgm:pt>
  </dgm:ptLst>
  <dgm:cxnLst>
    <dgm:cxn modelId="{0B61C000-DD14-4E46-8B97-DB351E26D9C1}" type="presOf" srcId="{85CDE0D5-E542-444B-A092-70763A643B4F}" destId="{BCCB88C2-9AF8-41D7-ABE0-1D4A15820325}" srcOrd="0" destOrd="1" presId="urn:microsoft.com/office/officeart/2005/8/layout/hList1"/>
    <dgm:cxn modelId="{7104CB04-BE66-40EE-8FE3-5A4E20A29AFB}" srcId="{CFC7B347-B85E-4901-9B7B-5EAA9A1DD06C}" destId="{31231DD1-DACD-4A81-9BDD-8D659BA33D1B}" srcOrd="0" destOrd="0" parTransId="{8D03F6B0-9284-4AF7-971A-5DD085DC78C1}" sibTransId="{4D24088C-ED7B-43DA-A338-B5E0B7729F24}"/>
    <dgm:cxn modelId="{78ACFC15-2D69-45D9-9682-720F7F8B74C3}" type="presOf" srcId="{36F03876-C2C0-4D34-B335-684C0AFAB92F}" destId="{1958E6F3-BC7E-4AC4-BF4C-825F707F5A73}" srcOrd="0" destOrd="4" presId="urn:microsoft.com/office/officeart/2005/8/layout/hList1"/>
    <dgm:cxn modelId="{C200381A-0682-4AEA-BEFE-6634CB13E82A}" type="presOf" srcId="{1AC17C24-A245-47E4-9A14-A459365B1145}" destId="{1958E6F3-BC7E-4AC4-BF4C-825F707F5A73}" srcOrd="0" destOrd="2" presId="urn:microsoft.com/office/officeart/2005/8/layout/hList1"/>
    <dgm:cxn modelId="{F06E031F-D4D6-4A91-A78A-8E84D59C5E97}" type="presOf" srcId="{CFC7B347-B85E-4901-9B7B-5EAA9A1DD06C}" destId="{E0578F7B-D95E-4750-9BB5-60FD20AF6032}" srcOrd="0" destOrd="0" presId="urn:microsoft.com/office/officeart/2005/8/layout/hList1"/>
    <dgm:cxn modelId="{8C9F7724-616A-4DE5-9248-451691963D79}" type="presOf" srcId="{877DE735-1582-49A5-BD62-783EEB0C2772}" destId="{C08B3C46-3F23-455F-9ADC-4A9BBB8B7872}" srcOrd="0" destOrd="1" presId="urn:microsoft.com/office/officeart/2005/8/layout/hList1"/>
    <dgm:cxn modelId="{70734C27-0133-405D-AA87-0A1F351A2BD2}" srcId="{0D331A4F-7DCB-41BA-A721-D5B3CA5CDFF9}" destId="{93CA7F40-A5A5-4806-9CB0-0755F6A09516}" srcOrd="2" destOrd="0" parTransId="{F70F60B3-5064-44B6-83C7-67C49BD9E798}" sibTransId="{FECBFBDA-4798-404A-9C4F-BB93FA7C19AD}"/>
    <dgm:cxn modelId="{3DE3DA27-D469-42C5-B9BA-6EFF418917D3}" srcId="{CFC7B347-B85E-4901-9B7B-5EAA9A1DD06C}" destId="{24D7C447-CE89-4D93-9C1D-88F177A1EF75}" srcOrd="2" destOrd="0" parTransId="{836FDF11-ED6F-4E79-83A0-C0D148F25775}" sibTransId="{CBDD60F4-7D95-4E0A-BAE0-58B47E6587AB}"/>
    <dgm:cxn modelId="{2737D33C-B4A0-4BE1-96D8-1A07CDB93E28}" type="presOf" srcId="{93CA7F40-A5A5-4806-9CB0-0755F6A09516}" destId="{C08B3C46-3F23-455F-9ADC-4A9BBB8B7872}" srcOrd="0" destOrd="2" presId="urn:microsoft.com/office/officeart/2005/8/layout/hList1"/>
    <dgm:cxn modelId="{D02CA55C-C83E-4E00-8D03-BB0F79B6C493}" type="presOf" srcId="{77BE8045-0B6D-4536-BE71-EF86E0AB2D25}" destId="{1958E6F3-BC7E-4AC4-BF4C-825F707F5A73}" srcOrd="0" destOrd="1" presId="urn:microsoft.com/office/officeart/2005/8/layout/hList1"/>
    <dgm:cxn modelId="{7C324D6A-FBBD-47F2-A482-EEA9B508DC9E}" srcId="{24D7C447-CE89-4D93-9C1D-88F177A1EF75}" destId="{36F03876-C2C0-4D34-B335-684C0AFAB92F}" srcOrd="4" destOrd="0" parTransId="{BA279FFA-4203-4FEB-81C5-947742BB718B}" sibTransId="{9D5B785D-BC55-4894-87AD-45BAA3CCFEF3}"/>
    <dgm:cxn modelId="{81B7904D-1B15-4BEF-B943-C47ECD159600}" srcId="{31231DD1-DACD-4A81-9BDD-8D659BA33D1B}" destId="{0DDE6598-DBDB-49D3-BA8B-C97271319FD4}" srcOrd="2" destOrd="0" parTransId="{94EFB105-0C52-454C-A714-7832B8F7FAC7}" sibTransId="{AE7F2527-0FD2-4943-949E-54E8C421F04F}"/>
    <dgm:cxn modelId="{2C4CE071-6836-4CC6-8193-B25A6DFE406E}" srcId="{24D7C447-CE89-4D93-9C1D-88F177A1EF75}" destId="{1AC17C24-A245-47E4-9A14-A459365B1145}" srcOrd="2" destOrd="0" parTransId="{814A1115-483B-465F-BCAA-2EABB9B1F8DA}" sibTransId="{63687618-FABA-417F-B025-BD3924365A4B}"/>
    <dgm:cxn modelId="{08ABC353-E68E-4B2C-A765-CE1885382F30}" type="presOf" srcId="{31231DD1-DACD-4A81-9BDD-8D659BA33D1B}" destId="{F6B422D1-0E7D-40CC-84FB-55B98458D37D}" srcOrd="0" destOrd="0" presId="urn:microsoft.com/office/officeart/2005/8/layout/hList1"/>
    <dgm:cxn modelId="{B8DFD853-82D9-49A8-9F22-78064BF90960}" srcId="{0D331A4F-7DCB-41BA-A721-D5B3CA5CDFF9}" destId="{4EEE7C5F-8FE0-4ABE-AD84-EDA9F28573CF}" srcOrd="0" destOrd="0" parTransId="{A355AD89-5CDD-485D-9C25-37C8071E9477}" sibTransId="{C0AFD2C8-4ADC-4196-A2BD-2FC7F3E37619}"/>
    <dgm:cxn modelId="{6937AB78-B0D4-45BC-80FD-B875C3823BAA}" type="presOf" srcId="{4EEE7C5F-8FE0-4ABE-AD84-EDA9F28573CF}" destId="{C08B3C46-3F23-455F-9ADC-4A9BBB8B7872}" srcOrd="0" destOrd="0" presId="urn:microsoft.com/office/officeart/2005/8/layout/hList1"/>
    <dgm:cxn modelId="{4531AF59-38FC-4B81-AFEF-BE0BC552CF19}" type="presOf" srcId="{49A62DBD-D96C-4B81-B2CD-E31CDD3B65F0}" destId="{1958E6F3-BC7E-4AC4-BF4C-825F707F5A73}" srcOrd="0" destOrd="0" presId="urn:microsoft.com/office/officeart/2005/8/layout/hList1"/>
    <dgm:cxn modelId="{7B01657A-FA3D-4560-B9C4-672B480D5556}" srcId="{31231DD1-DACD-4A81-9BDD-8D659BA33D1B}" destId="{85CDE0D5-E542-444B-A092-70763A643B4F}" srcOrd="1" destOrd="0" parTransId="{E0349CBF-E93E-4229-894D-3539731FB417}" sibTransId="{21F1B618-BF3B-4EEA-9833-8371F3EFA131}"/>
    <dgm:cxn modelId="{782FDF85-13F3-4FBC-B49A-377208085586}" type="presOf" srcId="{0D331A4F-7DCB-41BA-A721-D5B3CA5CDFF9}" destId="{46D2B166-3FFD-4547-ACA1-FE9622AA3DBF}" srcOrd="0" destOrd="0" presId="urn:microsoft.com/office/officeart/2005/8/layout/hList1"/>
    <dgm:cxn modelId="{2249E185-0405-492A-935C-B02B8FE385DE}" type="presOf" srcId="{24D7C447-CE89-4D93-9C1D-88F177A1EF75}" destId="{F59690B7-59A6-49B6-9F7E-EE76B5A3CF24}" srcOrd="0" destOrd="0" presId="urn:microsoft.com/office/officeart/2005/8/layout/hList1"/>
    <dgm:cxn modelId="{48436C87-291B-4F48-BE7D-360FEB9BC4F2}" srcId="{0D331A4F-7DCB-41BA-A721-D5B3CA5CDFF9}" destId="{877DE735-1582-49A5-BD62-783EEB0C2772}" srcOrd="1" destOrd="0" parTransId="{A4CC2B56-7A5E-458C-A98D-D1CE70FEEAFE}" sibTransId="{A7D555AF-8F43-4535-B289-FEF112B5AEC5}"/>
    <dgm:cxn modelId="{9E943089-A05D-4084-BD5A-AD673A25EFD2}" srcId="{24D7C447-CE89-4D93-9C1D-88F177A1EF75}" destId="{49A62DBD-D96C-4B81-B2CD-E31CDD3B65F0}" srcOrd="0" destOrd="0" parTransId="{3017A114-6339-45BD-A2AF-6DC3F02B25AD}" sibTransId="{65C5B197-A6B3-47B7-80CF-83E7DFAC4069}"/>
    <dgm:cxn modelId="{647A8C90-1A7D-4E09-86B4-8FFC2383CE0D}" type="presOf" srcId="{D7AECCB8-D9C2-4414-8B7A-9930CDF68526}" destId="{BCCB88C2-9AF8-41D7-ABE0-1D4A15820325}" srcOrd="0" destOrd="0" presId="urn:microsoft.com/office/officeart/2005/8/layout/hList1"/>
    <dgm:cxn modelId="{319D0A94-7C57-4D2C-B12C-CDA5B6BB611A}" srcId="{CFC7B347-B85E-4901-9B7B-5EAA9A1DD06C}" destId="{0D331A4F-7DCB-41BA-A721-D5B3CA5CDFF9}" srcOrd="1" destOrd="0" parTransId="{DA97A9EC-D628-4906-B5F2-F97694BE2AE7}" sibTransId="{50642A64-47AC-4B6A-9244-DF4B7CAC58CD}"/>
    <dgm:cxn modelId="{74AE0DBF-FD80-4203-8D25-A9ED767747D7}" srcId="{24D7C447-CE89-4D93-9C1D-88F177A1EF75}" destId="{77BE8045-0B6D-4536-BE71-EF86E0AB2D25}" srcOrd="1" destOrd="0" parTransId="{6323260B-517B-466C-A3CE-E0B9A5AAC3FC}" sibTransId="{B22C6487-3C88-4D3F-9C69-79D318B18DC6}"/>
    <dgm:cxn modelId="{EAAF32D0-4124-4327-BC1F-25BD6DB5C5A3}" type="presOf" srcId="{5EE1BE79-DE4A-4C58-919B-ED5544446FA3}" destId="{1958E6F3-BC7E-4AC4-BF4C-825F707F5A73}" srcOrd="0" destOrd="3" presId="urn:microsoft.com/office/officeart/2005/8/layout/hList1"/>
    <dgm:cxn modelId="{9E9A23DF-5D64-4BF3-BE50-FBB4E490F6FE}" srcId="{24D7C447-CE89-4D93-9C1D-88F177A1EF75}" destId="{5EE1BE79-DE4A-4C58-919B-ED5544446FA3}" srcOrd="3" destOrd="0" parTransId="{0AB5B2DB-B1E5-4483-BF40-E0ED8A8C9114}" sibTransId="{4A28090B-6F61-4215-A229-23A40429EFDB}"/>
    <dgm:cxn modelId="{EE8CB7F2-6D22-4174-82EF-B6BEF45DB075}" srcId="{31231DD1-DACD-4A81-9BDD-8D659BA33D1B}" destId="{D7AECCB8-D9C2-4414-8B7A-9930CDF68526}" srcOrd="0" destOrd="0" parTransId="{A6F36244-A9C6-4117-8691-23DDE7AB6A12}" sibTransId="{C5A8A48A-6560-43F6-BCAB-F597673C86C4}"/>
    <dgm:cxn modelId="{281795FE-D1A0-4EEF-A259-CFF559C9EADB}" type="presOf" srcId="{0DDE6598-DBDB-49D3-BA8B-C97271319FD4}" destId="{BCCB88C2-9AF8-41D7-ABE0-1D4A15820325}" srcOrd="0" destOrd="2" presId="urn:microsoft.com/office/officeart/2005/8/layout/hList1"/>
    <dgm:cxn modelId="{51FC3C22-BB58-4826-A222-C1622334C015}" type="presParOf" srcId="{E0578F7B-D95E-4750-9BB5-60FD20AF6032}" destId="{E44008A3-81AF-46E7-BA9E-C083436C797B}" srcOrd="0" destOrd="0" presId="urn:microsoft.com/office/officeart/2005/8/layout/hList1"/>
    <dgm:cxn modelId="{BA04F9DE-FFAA-463E-A576-3785D13D7D9A}" type="presParOf" srcId="{E44008A3-81AF-46E7-BA9E-C083436C797B}" destId="{F6B422D1-0E7D-40CC-84FB-55B98458D37D}" srcOrd="0" destOrd="0" presId="urn:microsoft.com/office/officeart/2005/8/layout/hList1"/>
    <dgm:cxn modelId="{BB35C95D-E9DC-4A54-9FFE-9DA0493C201C}" type="presParOf" srcId="{E44008A3-81AF-46E7-BA9E-C083436C797B}" destId="{BCCB88C2-9AF8-41D7-ABE0-1D4A15820325}" srcOrd="1" destOrd="0" presId="urn:microsoft.com/office/officeart/2005/8/layout/hList1"/>
    <dgm:cxn modelId="{4F832D65-0FC2-4F01-B7F8-6E9CD0DD47DE}" type="presParOf" srcId="{E0578F7B-D95E-4750-9BB5-60FD20AF6032}" destId="{72D54233-75FB-4773-A29E-9FD27F0BAE57}" srcOrd="1" destOrd="0" presId="urn:microsoft.com/office/officeart/2005/8/layout/hList1"/>
    <dgm:cxn modelId="{419B0F35-7F0A-4101-AC41-6875D1833674}" type="presParOf" srcId="{E0578F7B-D95E-4750-9BB5-60FD20AF6032}" destId="{87E7CDD7-4A12-4C6B-ACD7-219ABF7BBE0E}" srcOrd="2" destOrd="0" presId="urn:microsoft.com/office/officeart/2005/8/layout/hList1"/>
    <dgm:cxn modelId="{4CAD38AF-7EB0-4EB2-AE47-70510088383B}" type="presParOf" srcId="{87E7CDD7-4A12-4C6B-ACD7-219ABF7BBE0E}" destId="{46D2B166-3FFD-4547-ACA1-FE9622AA3DBF}" srcOrd="0" destOrd="0" presId="urn:microsoft.com/office/officeart/2005/8/layout/hList1"/>
    <dgm:cxn modelId="{50338520-5767-4751-BF43-922F6E062C72}" type="presParOf" srcId="{87E7CDD7-4A12-4C6B-ACD7-219ABF7BBE0E}" destId="{C08B3C46-3F23-455F-9ADC-4A9BBB8B7872}" srcOrd="1" destOrd="0" presId="urn:microsoft.com/office/officeart/2005/8/layout/hList1"/>
    <dgm:cxn modelId="{F8FB2A9B-C724-4DDB-9A8C-D0634CCF328F}" type="presParOf" srcId="{E0578F7B-D95E-4750-9BB5-60FD20AF6032}" destId="{84F52EFF-6C0D-4532-8D55-34FC9428DBEF}" srcOrd="3" destOrd="0" presId="urn:microsoft.com/office/officeart/2005/8/layout/hList1"/>
    <dgm:cxn modelId="{4BC7AE8E-0885-4475-A8B5-9B8CE91E4BC8}" type="presParOf" srcId="{E0578F7B-D95E-4750-9BB5-60FD20AF6032}" destId="{9A0B996B-B621-409E-BFF6-364EA11892F6}" srcOrd="4" destOrd="0" presId="urn:microsoft.com/office/officeart/2005/8/layout/hList1"/>
    <dgm:cxn modelId="{30A9346E-25DC-4200-AE33-F019BADC733C}" type="presParOf" srcId="{9A0B996B-B621-409E-BFF6-364EA11892F6}" destId="{F59690B7-59A6-49B6-9F7E-EE76B5A3CF24}" srcOrd="0" destOrd="0" presId="urn:microsoft.com/office/officeart/2005/8/layout/hList1"/>
    <dgm:cxn modelId="{176D63CE-75F3-4DA6-9ACA-1F24783C42F2}" type="presParOf" srcId="{9A0B996B-B621-409E-BFF6-364EA11892F6}" destId="{1958E6F3-BC7E-4AC4-BF4C-825F707F5A73}" srcOrd="1" destOrd="0" presId="urn:microsoft.com/office/officeart/2005/8/layout/hList1"/>
  </dgm:cxnLst>
  <dgm:bg/>
  <dgm:whole/>
  <dgm:extLst>
    <a:ext uri="http://schemas.microsoft.com/office/drawing/2008/diagram">
      <dsp:dataModelExt xmlns:dsp="http://schemas.microsoft.com/office/drawing/2008/diagram" relId="rId2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6B422D1-0E7D-40CC-84FB-55B98458D37D}">
      <dsp:nvSpPr>
        <dsp:cNvPr id="0" name=""/>
        <dsp:cNvSpPr/>
      </dsp:nvSpPr>
      <dsp:spPr>
        <a:xfrm>
          <a:off x="1714" y="13350"/>
          <a:ext cx="1671637" cy="668654"/>
        </a:xfrm>
        <a:prstGeom prst="rect">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44704" rIns="78232" bIns="44704" numCol="1" spcCol="1270" anchor="ctr" anchorCtr="0">
          <a:noAutofit/>
        </a:bodyPr>
        <a:lstStyle/>
        <a:p>
          <a:pPr marL="0" lvl="0" indent="0" algn="ctr" defTabSz="488950">
            <a:lnSpc>
              <a:spcPct val="90000"/>
            </a:lnSpc>
            <a:spcBef>
              <a:spcPct val="0"/>
            </a:spcBef>
            <a:spcAft>
              <a:spcPct val="35000"/>
            </a:spcAft>
            <a:buNone/>
          </a:pPr>
          <a:r>
            <a:rPr lang="en-US" sz="1100" kern="1200">
              <a:solidFill>
                <a:sysClr val="window" lastClr="FFFFFF"/>
              </a:solidFill>
              <a:latin typeface="Calibri" panose="020F0502020204030204"/>
              <a:ea typeface="+mn-ea"/>
              <a:cs typeface="+mn-cs"/>
            </a:rPr>
            <a:t>Structural Changes to Improve MOUD Usage</a:t>
          </a:r>
        </a:p>
      </dsp:txBody>
      <dsp:txXfrm>
        <a:off x="1714" y="13350"/>
        <a:ext cx="1671637" cy="668654"/>
      </dsp:txXfrm>
    </dsp:sp>
    <dsp:sp modelId="{BCCB88C2-9AF8-41D7-ABE0-1D4A15820325}">
      <dsp:nvSpPr>
        <dsp:cNvPr id="0" name=""/>
        <dsp:cNvSpPr/>
      </dsp:nvSpPr>
      <dsp:spPr>
        <a:xfrm>
          <a:off x="1714" y="682004"/>
          <a:ext cx="1671637" cy="1581120"/>
        </a:xfrm>
        <a:prstGeom prst="rect">
          <a:avLst/>
        </a:prstGeom>
        <a:solidFill>
          <a:srgbClr val="4472C4">
            <a:alpha val="90000"/>
            <a:tint val="40000"/>
            <a:hueOff val="0"/>
            <a:satOff val="0"/>
            <a:lumOff val="0"/>
            <a:alphaOff val="0"/>
          </a:srgbClr>
        </a:solidFill>
        <a:ln w="12700" cap="flat" cmpd="sng" algn="ctr">
          <a:solidFill>
            <a:srgbClr val="4472C4">
              <a:alpha val="90000"/>
              <a:tint val="40000"/>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r>
            <a:rPr lang="en-US" sz="1100" kern="1200">
              <a:solidFill>
                <a:sysClr val="windowText" lastClr="000000">
                  <a:hueOff val="0"/>
                  <a:satOff val="0"/>
                  <a:lumOff val="0"/>
                  <a:alphaOff val="0"/>
                </a:sysClr>
              </a:solidFill>
              <a:latin typeface="Calibri" panose="020F0502020204030204"/>
              <a:ea typeface="+mn-ea"/>
              <a:cs typeface="+mn-cs"/>
            </a:rPr>
            <a:t>Hire prescribing professionals</a:t>
          </a:r>
        </a:p>
        <a:p>
          <a:pPr marL="57150" lvl="1" indent="-57150" algn="l" defTabSz="488950">
            <a:lnSpc>
              <a:spcPct val="90000"/>
            </a:lnSpc>
            <a:spcBef>
              <a:spcPct val="0"/>
            </a:spcBef>
            <a:spcAft>
              <a:spcPct val="15000"/>
            </a:spcAft>
            <a:buChar char="•"/>
          </a:pPr>
          <a:r>
            <a:rPr lang="en-US" sz="1100" kern="1200">
              <a:solidFill>
                <a:sysClr val="windowText" lastClr="000000">
                  <a:hueOff val="0"/>
                  <a:satOff val="0"/>
                  <a:lumOff val="0"/>
                  <a:alphaOff val="0"/>
                </a:sysClr>
              </a:solidFill>
              <a:latin typeface="Calibri" panose="020F0502020204030204"/>
              <a:ea typeface="+mn-ea"/>
              <a:cs typeface="+mn-cs"/>
            </a:rPr>
            <a:t>Create relationships with prescribing professionals</a:t>
          </a:r>
        </a:p>
        <a:p>
          <a:pPr marL="57150" lvl="1" indent="-57150" algn="l" defTabSz="488950">
            <a:lnSpc>
              <a:spcPct val="90000"/>
            </a:lnSpc>
            <a:spcBef>
              <a:spcPct val="0"/>
            </a:spcBef>
            <a:spcAft>
              <a:spcPct val="15000"/>
            </a:spcAft>
            <a:buChar char="•"/>
          </a:pPr>
          <a:r>
            <a:rPr lang="en-US" sz="1100" kern="1200">
              <a:solidFill>
                <a:sysClr val="windowText" lastClr="000000">
                  <a:hueOff val="0"/>
                  <a:satOff val="0"/>
                  <a:lumOff val="0"/>
                  <a:alphaOff val="0"/>
                </a:sysClr>
              </a:solidFill>
              <a:latin typeface="Calibri" panose="020F0502020204030204"/>
              <a:ea typeface="+mn-ea"/>
              <a:cs typeface="+mn-cs"/>
            </a:rPr>
            <a:t>Encourage buprenorphine waiver training</a:t>
          </a:r>
        </a:p>
      </dsp:txBody>
      <dsp:txXfrm>
        <a:off x="1714" y="682004"/>
        <a:ext cx="1671637" cy="1581120"/>
      </dsp:txXfrm>
    </dsp:sp>
    <dsp:sp modelId="{46D2B166-3FFD-4547-ACA1-FE9622AA3DBF}">
      <dsp:nvSpPr>
        <dsp:cNvPr id="0" name=""/>
        <dsp:cNvSpPr/>
      </dsp:nvSpPr>
      <dsp:spPr>
        <a:xfrm>
          <a:off x="1907381" y="13350"/>
          <a:ext cx="1671637" cy="668654"/>
        </a:xfrm>
        <a:prstGeom prst="rect">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44704" rIns="78232" bIns="44704" numCol="1" spcCol="1270" anchor="ctr" anchorCtr="0">
          <a:noAutofit/>
        </a:bodyPr>
        <a:lstStyle/>
        <a:p>
          <a:pPr marL="0" lvl="0" indent="0" algn="ctr" defTabSz="488950">
            <a:lnSpc>
              <a:spcPct val="90000"/>
            </a:lnSpc>
            <a:spcBef>
              <a:spcPct val="0"/>
            </a:spcBef>
            <a:spcAft>
              <a:spcPct val="35000"/>
            </a:spcAft>
            <a:buNone/>
          </a:pPr>
          <a:r>
            <a:rPr lang="en-US" sz="1100" kern="1200">
              <a:solidFill>
                <a:sysClr val="window" lastClr="FFFFFF"/>
              </a:solidFill>
              <a:latin typeface="Calibri" panose="020F0502020204030204"/>
              <a:ea typeface="+mn-ea"/>
              <a:cs typeface="+mn-cs"/>
            </a:rPr>
            <a:t>Process Changes to Improve MOUD Usage</a:t>
          </a:r>
          <a:r>
            <a:rPr lang="en-US" sz="1300" kern="1200">
              <a:solidFill>
                <a:sysClr val="window" lastClr="FFFFFF"/>
              </a:solidFill>
              <a:latin typeface="Calibri" panose="020F0502020204030204"/>
              <a:ea typeface="+mn-ea"/>
              <a:cs typeface="+mn-cs"/>
            </a:rPr>
            <a:t>	</a:t>
          </a:r>
        </a:p>
      </dsp:txBody>
      <dsp:txXfrm>
        <a:off x="1907381" y="13350"/>
        <a:ext cx="1671637" cy="668654"/>
      </dsp:txXfrm>
    </dsp:sp>
    <dsp:sp modelId="{C08B3C46-3F23-455F-9ADC-4A9BBB8B7872}">
      <dsp:nvSpPr>
        <dsp:cNvPr id="0" name=""/>
        <dsp:cNvSpPr/>
      </dsp:nvSpPr>
      <dsp:spPr>
        <a:xfrm>
          <a:off x="1907381" y="682004"/>
          <a:ext cx="1671637" cy="1581120"/>
        </a:xfrm>
        <a:prstGeom prst="rect">
          <a:avLst/>
        </a:prstGeom>
        <a:solidFill>
          <a:srgbClr val="4472C4">
            <a:alpha val="90000"/>
            <a:tint val="40000"/>
            <a:hueOff val="0"/>
            <a:satOff val="0"/>
            <a:lumOff val="0"/>
            <a:alphaOff val="0"/>
          </a:srgbClr>
        </a:solidFill>
        <a:ln w="12700" cap="flat" cmpd="sng" algn="ctr">
          <a:solidFill>
            <a:srgbClr val="4472C4">
              <a:alpha val="90000"/>
              <a:tint val="40000"/>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r>
            <a:rPr lang="en-US" sz="1100" kern="1200">
              <a:solidFill>
                <a:sysClr val="windowText" lastClr="000000">
                  <a:hueOff val="0"/>
                  <a:satOff val="0"/>
                  <a:lumOff val="0"/>
                  <a:alphaOff val="0"/>
                </a:sysClr>
              </a:solidFill>
              <a:latin typeface="Calibri" panose="020F0502020204030204"/>
              <a:ea typeface="+mn-ea"/>
              <a:cs typeface="+mn-cs"/>
            </a:rPr>
            <a:t>Prescribe more MOUD for OUD patients</a:t>
          </a:r>
        </a:p>
        <a:p>
          <a:pPr marL="57150" lvl="1" indent="-57150" algn="l" defTabSz="488950">
            <a:lnSpc>
              <a:spcPct val="90000"/>
            </a:lnSpc>
            <a:spcBef>
              <a:spcPct val="0"/>
            </a:spcBef>
            <a:spcAft>
              <a:spcPct val="15000"/>
            </a:spcAft>
            <a:buChar char="•"/>
          </a:pPr>
          <a:r>
            <a:rPr lang="en-US" sz="1100" kern="1200">
              <a:solidFill>
                <a:sysClr val="windowText" lastClr="000000">
                  <a:hueOff val="0"/>
                  <a:satOff val="0"/>
                  <a:lumOff val="0"/>
                  <a:alphaOff val="0"/>
                </a:sysClr>
              </a:solidFill>
              <a:latin typeface="Calibri" panose="020F0502020204030204"/>
              <a:ea typeface="+mn-ea"/>
              <a:cs typeface="+mn-cs"/>
            </a:rPr>
            <a:t>Connect patients to other prescribers for MOUD</a:t>
          </a:r>
        </a:p>
        <a:p>
          <a:pPr marL="57150" lvl="1" indent="-57150" algn="l" defTabSz="488950">
            <a:lnSpc>
              <a:spcPct val="90000"/>
            </a:lnSpc>
            <a:spcBef>
              <a:spcPct val="0"/>
            </a:spcBef>
            <a:spcAft>
              <a:spcPct val="15000"/>
            </a:spcAft>
            <a:buChar char="•"/>
          </a:pPr>
          <a:r>
            <a:rPr lang="en-US" sz="1100" kern="1200">
              <a:solidFill>
                <a:sysClr val="windowText" lastClr="000000">
                  <a:hueOff val="0"/>
                  <a:satOff val="0"/>
                  <a:lumOff val="0"/>
                  <a:alphaOff val="0"/>
                </a:sysClr>
              </a:solidFill>
              <a:latin typeface="Calibri" panose="020F0502020204030204"/>
              <a:ea typeface="+mn-ea"/>
              <a:cs typeface="+mn-cs"/>
            </a:rPr>
            <a:t>Follow-up to make sure patient received MOUD</a:t>
          </a:r>
        </a:p>
      </dsp:txBody>
      <dsp:txXfrm>
        <a:off x="1907381" y="682004"/>
        <a:ext cx="1671637" cy="1581120"/>
      </dsp:txXfrm>
    </dsp:sp>
    <dsp:sp modelId="{F59690B7-59A6-49B6-9F7E-EE76B5A3CF24}">
      <dsp:nvSpPr>
        <dsp:cNvPr id="0" name=""/>
        <dsp:cNvSpPr/>
      </dsp:nvSpPr>
      <dsp:spPr>
        <a:xfrm>
          <a:off x="3813048" y="13350"/>
          <a:ext cx="1671637" cy="668654"/>
        </a:xfrm>
        <a:prstGeom prst="rect">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44704" rIns="78232" bIns="44704" numCol="1" spcCol="1270" anchor="ctr" anchorCtr="0">
          <a:noAutofit/>
        </a:bodyPr>
        <a:lstStyle/>
        <a:p>
          <a:pPr marL="0" lvl="0" indent="0" algn="ctr" defTabSz="488950">
            <a:lnSpc>
              <a:spcPct val="90000"/>
            </a:lnSpc>
            <a:spcBef>
              <a:spcPct val="0"/>
            </a:spcBef>
            <a:spcAft>
              <a:spcPct val="35000"/>
            </a:spcAft>
            <a:buNone/>
          </a:pPr>
          <a:r>
            <a:rPr lang="en-US" sz="1100" kern="1200">
              <a:solidFill>
                <a:sysClr val="window" lastClr="FFFFFF"/>
              </a:solidFill>
              <a:latin typeface="Calibri" panose="020F0502020204030204"/>
              <a:ea typeface="+mn-ea"/>
              <a:cs typeface="+mn-cs"/>
            </a:rPr>
            <a:t>Outcome Changes</a:t>
          </a:r>
        </a:p>
      </dsp:txBody>
      <dsp:txXfrm>
        <a:off x="3813048" y="13350"/>
        <a:ext cx="1671637" cy="668654"/>
      </dsp:txXfrm>
    </dsp:sp>
    <dsp:sp modelId="{1958E6F3-BC7E-4AC4-BF4C-825F707F5A73}">
      <dsp:nvSpPr>
        <dsp:cNvPr id="0" name=""/>
        <dsp:cNvSpPr/>
      </dsp:nvSpPr>
      <dsp:spPr>
        <a:xfrm>
          <a:off x="3813048" y="682004"/>
          <a:ext cx="1671637" cy="1581120"/>
        </a:xfrm>
        <a:prstGeom prst="rect">
          <a:avLst/>
        </a:prstGeom>
        <a:solidFill>
          <a:srgbClr val="4472C4">
            <a:alpha val="90000"/>
            <a:tint val="40000"/>
            <a:hueOff val="0"/>
            <a:satOff val="0"/>
            <a:lumOff val="0"/>
            <a:alphaOff val="0"/>
          </a:srgbClr>
        </a:solidFill>
        <a:ln w="12700" cap="flat" cmpd="sng" algn="ctr">
          <a:solidFill>
            <a:srgbClr val="4472C4">
              <a:alpha val="90000"/>
              <a:tint val="40000"/>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r>
            <a:rPr lang="en-US" sz="1100" kern="1200">
              <a:solidFill>
                <a:sysClr val="windowText" lastClr="000000">
                  <a:hueOff val="0"/>
                  <a:satOff val="0"/>
                  <a:lumOff val="0"/>
                  <a:alphaOff val="0"/>
                </a:sysClr>
              </a:solidFill>
              <a:latin typeface="Calibri" panose="020F0502020204030204"/>
              <a:ea typeface="+mn-ea"/>
              <a:cs typeface="+mn-cs"/>
            </a:rPr>
            <a:t>Reduced OUD  mortality</a:t>
          </a:r>
        </a:p>
        <a:p>
          <a:pPr marL="57150" lvl="1" indent="-57150" algn="l" defTabSz="488950">
            <a:lnSpc>
              <a:spcPct val="90000"/>
            </a:lnSpc>
            <a:spcBef>
              <a:spcPct val="0"/>
            </a:spcBef>
            <a:spcAft>
              <a:spcPct val="15000"/>
            </a:spcAft>
            <a:buChar char="•"/>
          </a:pPr>
          <a:r>
            <a:rPr lang="en-US" sz="1100" kern="1200">
              <a:solidFill>
                <a:sysClr val="windowText" lastClr="000000">
                  <a:hueOff val="0"/>
                  <a:satOff val="0"/>
                  <a:lumOff val="0"/>
                  <a:alphaOff val="0"/>
                </a:sysClr>
              </a:solidFill>
              <a:latin typeface="Calibri" panose="020F0502020204030204"/>
              <a:ea typeface="+mn-ea"/>
              <a:cs typeface="+mn-cs"/>
            </a:rPr>
            <a:t>Reduced OUD  overdoses</a:t>
          </a:r>
        </a:p>
        <a:p>
          <a:pPr marL="57150" lvl="1" indent="-57150" algn="l" defTabSz="488950">
            <a:lnSpc>
              <a:spcPct val="90000"/>
            </a:lnSpc>
            <a:spcBef>
              <a:spcPct val="0"/>
            </a:spcBef>
            <a:spcAft>
              <a:spcPct val="15000"/>
            </a:spcAft>
            <a:buChar char="•"/>
          </a:pPr>
          <a:r>
            <a:rPr lang="en-US" sz="1100" kern="1200">
              <a:solidFill>
                <a:sysClr val="windowText" lastClr="000000">
                  <a:hueOff val="0"/>
                  <a:satOff val="0"/>
                  <a:lumOff val="0"/>
                  <a:alphaOff val="0"/>
                </a:sysClr>
              </a:solidFill>
              <a:latin typeface="Calibri" panose="020F0502020204030204"/>
              <a:ea typeface="+mn-ea"/>
              <a:cs typeface="+mn-cs"/>
            </a:rPr>
            <a:t>Reduced OUD health complications</a:t>
          </a:r>
        </a:p>
        <a:p>
          <a:pPr marL="57150" lvl="1" indent="-57150" algn="l" defTabSz="488950">
            <a:lnSpc>
              <a:spcPct val="90000"/>
            </a:lnSpc>
            <a:spcBef>
              <a:spcPct val="0"/>
            </a:spcBef>
            <a:spcAft>
              <a:spcPct val="15000"/>
            </a:spcAft>
            <a:buChar char="•"/>
          </a:pPr>
          <a:r>
            <a:rPr lang="en-US" sz="1100" kern="1200">
              <a:solidFill>
                <a:sysClr val="windowText" lastClr="000000">
                  <a:hueOff val="0"/>
                  <a:satOff val="0"/>
                  <a:lumOff val="0"/>
                  <a:alphaOff val="0"/>
                </a:sysClr>
              </a:solidFill>
              <a:latin typeface="Calibri" panose="020F0502020204030204"/>
              <a:ea typeface="+mn-ea"/>
              <a:cs typeface="+mn-cs"/>
            </a:rPr>
            <a:t>Reduce ED and hospital usage</a:t>
          </a:r>
        </a:p>
        <a:p>
          <a:pPr marL="57150" lvl="1" indent="-57150" algn="l" defTabSz="488950">
            <a:lnSpc>
              <a:spcPct val="90000"/>
            </a:lnSpc>
            <a:spcBef>
              <a:spcPct val="0"/>
            </a:spcBef>
            <a:spcAft>
              <a:spcPct val="15000"/>
            </a:spcAft>
            <a:buChar char="•"/>
          </a:pPr>
          <a:r>
            <a:rPr lang="en-US" sz="1100" kern="1200">
              <a:solidFill>
                <a:sysClr val="windowText" lastClr="000000">
                  <a:hueOff val="0"/>
                  <a:satOff val="0"/>
                  <a:lumOff val="0"/>
                  <a:alphaOff val="0"/>
                </a:sysClr>
              </a:solidFill>
              <a:latin typeface="Calibri" panose="020F0502020204030204"/>
              <a:ea typeface="+mn-ea"/>
              <a:cs typeface="+mn-cs"/>
            </a:rPr>
            <a:t>Improved functioning</a:t>
          </a:r>
        </a:p>
      </dsp:txBody>
      <dsp:txXfrm>
        <a:off x="3813048" y="682004"/>
        <a:ext cx="1671637" cy="1581120"/>
      </dsp:txXfrm>
    </dsp:sp>
  </dsp:spTree>
</dsp:drawing>
</file>

<file path=word/diagrams/layout1.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2918CAD6515FF449131A810215C0FDE" ma:contentTypeVersion="4" ma:contentTypeDescription="Create a new document." ma:contentTypeScope="" ma:versionID="0d9eca2c8f3df6de396dc1ddc16d7ec8">
  <xsd:schema xmlns:xsd="http://www.w3.org/2001/XMLSchema" xmlns:xs="http://www.w3.org/2001/XMLSchema" xmlns:p="http://schemas.microsoft.com/office/2006/metadata/properties" xmlns:ns3="9aa46ce8-df16-494d-8e34-d9ea89a2f738" targetNamespace="http://schemas.microsoft.com/office/2006/metadata/properties" ma:root="true" ma:fieldsID="3e02aaf8bd1ec208bb69ec74bca91d0c" ns3:_="">
    <xsd:import namespace="9aa46ce8-df16-494d-8e34-d9ea89a2f73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46ce8-df16-494d-8e34-d9ea89a2f7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5380E-B646-4DDC-93A4-975186AED5C6}">
  <ds:schemaRefs>
    <ds:schemaRef ds:uri="http://schemas.microsoft.com/sharepoint/v3/contenttype/forms"/>
  </ds:schemaRefs>
</ds:datastoreItem>
</file>

<file path=customXml/itemProps2.xml><?xml version="1.0" encoding="utf-8"?>
<ds:datastoreItem xmlns:ds="http://schemas.openxmlformats.org/officeDocument/2006/customXml" ds:itemID="{D2D22720-2766-4013-A7F8-34A561B71312}">
  <ds:schemaRefs>
    <ds:schemaRef ds:uri="http://schemas.microsoft.com/office/infopath/2007/PartnerControls"/>
    <ds:schemaRef ds:uri="http://purl.org/dc/elements/1.1/"/>
    <ds:schemaRef ds:uri="http://schemas.microsoft.com/office/2006/metadata/properties"/>
    <ds:schemaRef ds:uri="9aa46ce8-df16-494d-8e34-d9ea89a2f738"/>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743E0012-1CF7-4D47-9EBC-19FB99739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a46ce8-df16-494d-8e34-d9ea89a2f7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AA2EE2-E7C6-48AF-B421-29C24339C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14822</Words>
  <Characters>84489</Characters>
  <Application>Microsoft Office Word</Application>
  <DocSecurity>0</DocSecurity>
  <Lines>704</Lines>
  <Paragraphs>198</Paragraphs>
  <ScaleCrop>false</ScaleCrop>
  <HeadingPairs>
    <vt:vector size="2" baseType="variant">
      <vt:variant>
        <vt:lpstr>Title</vt:lpstr>
      </vt:variant>
      <vt:variant>
        <vt:i4>1</vt:i4>
      </vt:variant>
    </vt:vector>
  </HeadingPairs>
  <TitlesOfParts>
    <vt:vector size="1" baseType="lpstr">
      <vt:lpstr>Evidence Attachement (subcriterion 1a)</vt:lpstr>
    </vt:vector>
  </TitlesOfParts>
  <Company/>
  <LinksUpToDate>false</LinksUpToDate>
  <CharactersWithSpaces>99113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Evidence Attachement (subcriterion 1a)</dc:title>
  <dc:subject>evidence form</dc:subject>
  <dc:creator>National Quality Forum</dc:creator>
  <cp:keywords>evidence</cp:keywords>
  <cp:lastModifiedBy>RTI_jhs</cp:lastModifiedBy>
  <cp:revision>2</cp:revision>
  <cp:lastPrinted>2020-07-27T16:24:00Z</cp:lastPrinted>
  <dcterms:created xsi:type="dcterms:W3CDTF">2020-11-19T16:29:00Z</dcterms:created>
  <dcterms:modified xsi:type="dcterms:W3CDTF">2020-11-19T16:29:00Z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0x01010022918CAD6515FF449131A810215C0FDE</vt:lpwstr>
  </property>
</Properties>
</file>