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05427" w14:textId="1188C783" w:rsidR="00885A2C" w:rsidRDefault="00885A2C">
      <w:pPr>
        <w:rPr>
          <w:b/>
          <w:bCs/>
        </w:rPr>
      </w:pPr>
      <w:r>
        <w:rPr>
          <w:b/>
          <w:bCs/>
        </w:rPr>
        <w:t xml:space="preserve">Attribution Methodology for </w:t>
      </w:r>
      <w:r w:rsidR="00A45E79">
        <w:rPr>
          <w:b/>
          <w:bCs/>
        </w:rPr>
        <w:t>P</w:t>
      </w:r>
      <w:r w:rsidR="0075446A" w:rsidRPr="0075446A">
        <w:rPr>
          <w:b/>
          <w:bCs/>
        </w:rPr>
        <w:t>rescription or administration of pharmacotherapy for opioid use disorder (OUD)</w:t>
      </w:r>
    </w:p>
    <w:p w14:paraId="1F1E77CB" w14:textId="07A8F1FB" w:rsidR="00A65514" w:rsidRDefault="00D667BB">
      <w:r w:rsidRPr="00D667BB">
        <w:rPr>
          <w:b/>
          <w:bCs/>
        </w:rPr>
        <w:t>Context</w:t>
      </w:r>
      <w:r>
        <w:t xml:space="preserve">. </w:t>
      </w:r>
      <w:r w:rsidR="00FC5AAC">
        <w:t>As noted by NQF, “a</w:t>
      </w:r>
      <w:r w:rsidR="00FC5AAC" w:rsidRPr="00FC5AAC">
        <w:t>ttribution models must be evaluated in the specific program context for which they are intended and take into account the context and goal of the program, the accountability mechanism used, and the intended behavior change</w:t>
      </w:r>
      <w:r w:rsidR="00FC5AAC">
        <w:t xml:space="preserve">” </w:t>
      </w:r>
      <w:r w:rsidR="00532C8E">
        <w:t>(page 3, NQF).</w:t>
      </w:r>
      <w:r w:rsidR="00532C8E">
        <w:rPr>
          <w:rStyle w:val="FootnoteReference"/>
        </w:rPr>
        <w:footnoteReference w:id="1"/>
      </w:r>
      <w:r w:rsidR="00532C8E">
        <w:t xml:space="preserve"> </w:t>
      </w:r>
      <w:r w:rsidR="00A65514" w:rsidRPr="00A65514">
        <w:t xml:space="preserve">NQF endorsed </w:t>
      </w:r>
      <w:r w:rsidR="00A65514" w:rsidRPr="00A65514">
        <w:rPr>
          <w:i/>
          <w:iCs/>
        </w:rPr>
        <w:t>Use of Pharmacotherapy</w:t>
      </w:r>
      <w:r w:rsidR="00A65514" w:rsidRPr="00A65514">
        <w:t xml:space="preserve"> (NQF #3400)</w:t>
      </w:r>
      <w:r w:rsidR="00A65514">
        <w:t>, defined as</w:t>
      </w:r>
      <w:r w:rsidR="00A65514" w:rsidRPr="00A65514">
        <w:t xml:space="preserve"> the percentage of Medicaid beneficiaries ages 18 to 64 with an OUD who filled a prescription for or were administered or ordered an FDA-approved medication for the disorder</w:t>
      </w:r>
      <w:r w:rsidR="00A65514">
        <w:t>, for use by states and Medicaid plans</w:t>
      </w:r>
      <w:r w:rsidR="00A65514" w:rsidRPr="00A65514">
        <w:t xml:space="preserve">.  </w:t>
      </w:r>
      <w:r w:rsidR="00A65514">
        <w:t xml:space="preserve"> </w:t>
      </w:r>
    </w:p>
    <w:p w14:paraId="3BC3E621" w14:textId="17B125AB" w:rsidR="00FC5AAC" w:rsidRDefault="00A65514">
      <w:r>
        <w:t xml:space="preserve">This proposed measure - </w:t>
      </w:r>
      <w:r w:rsidRPr="00A65514">
        <w:rPr>
          <w:i/>
          <w:iCs/>
        </w:rPr>
        <w:t>Prescription or administration of pharmacotherapy for opioid use disorder (OUD)</w:t>
      </w:r>
      <w:r w:rsidRPr="00A65514">
        <w:t xml:space="preserve">  </w:t>
      </w:r>
      <w:r>
        <w:t xml:space="preserve">- is intended to be used by individual clinicians or provider organizations to </w:t>
      </w:r>
      <w:r w:rsidRPr="00A65514">
        <w:t>monitor their practices relative to their peers</w:t>
      </w:r>
      <w:r>
        <w:t xml:space="preserve"> and</w:t>
      </w:r>
      <w:r w:rsidRPr="00A65514">
        <w:t xml:space="preserve"> as part of quality improvement efforts</w:t>
      </w:r>
      <w:r>
        <w:t xml:space="preserve">.  </w:t>
      </w:r>
      <w:r w:rsidRPr="00A65514">
        <w:t>A</w:t>
      </w:r>
      <w:r w:rsidR="0066416E">
        <w:t xml:space="preserve">n </w:t>
      </w:r>
      <w:r w:rsidRPr="00A65514">
        <w:t>American Society of Addiction Medicine expert panel recommended that th</w:t>
      </w:r>
      <w:r>
        <w:t xml:space="preserve">is measure be created </w:t>
      </w:r>
      <w:r w:rsidR="0066416E">
        <w:t>t</w:t>
      </w:r>
      <w:r w:rsidRPr="00A65514">
        <w:t>o measure performance at the addiction physician clinician level</w:t>
      </w:r>
      <w:r>
        <w:t xml:space="preserve"> (ASAM, 2014).</w:t>
      </w:r>
      <w:r w:rsidR="0066416E">
        <w:rPr>
          <w:rStyle w:val="FootnoteReference"/>
        </w:rPr>
        <w:footnoteReference w:id="2"/>
      </w:r>
      <w:r>
        <w:t xml:space="preserve">   </w:t>
      </w:r>
      <w:r w:rsidR="00A731FB">
        <w:t xml:space="preserve">The </w:t>
      </w:r>
      <w:r w:rsidR="00A731FB" w:rsidRPr="00A731FB">
        <w:rPr>
          <w:i/>
          <w:iCs/>
        </w:rPr>
        <w:t>Prescription or administration of pharmacotherapy for opioid use disorder (OUD)</w:t>
      </w:r>
      <w:r w:rsidR="00A731FB" w:rsidRPr="00A731FB">
        <w:t xml:space="preserve"> </w:t>
      </w:r>
      <w:r w:rsidR="00A731FB">
        <w:t>is being used at the provide</w:t>
      </w:r>
      <w:r w:rsidR="00B71E12">
        <w:t>r</w:t>
      </w:r>
      <w:r w:rsidR="00A731FB">
        <w:t xml:space="preserve"> level as part of the Medicaid Health Home program.</w:t>
      </w:r>
      <w:r w:rsidR="00A731FB">
        <w:rPr>
          <w:rStyle w:val="FootnoteReference"/>
        </w:rPr>
        <w:footnoteReference w:id="3"/>
      </w:r>
      <w:r w:rsidR="00A731FB">
        <w:t xml:space="preserve"> </w:t>
      </w:r>
      <w:r>
        <w:t>This measure can hep clinicians and providers identif</w:t>
      </w:r>
      <w:r w:rsidR="0009457B">
        <w:t>y</w:t>
      </w:r>
      <w:r>
        <w:t xml:space="preserve"> whether they may be facing barriers to</w:t>
      </w:r>
      <w:r w:rsidR="0009457B">
        <w:t xml:space="preserve"> appropriate</w:t>
      </w:r>
      <w:r>
        <w:t xml:space="preserve"> prescribing </w:t>
      </w:r>
      <w:r w:rsidR="0009457B">
        <w:t xml:space="preserve">of OUD medications such as </w:t>
      </w:r>
      <w:r w:rsidR="00BD03CC">
        <w:t xml:space="preserve">lack of </w:t>
      </w:r>
      <w:r w:rsidR="0009457B">
        <w:t xml:space="preserve">access to </w:t>
      </w:r>
      <w:r w:rsidR="00532C8E">
        <w:t xml:space="preserve">buprenorphine waived </w:t>
      </w:r>
      <w:r w:rsidR="0009457B">
        <w:t xml:space="preserve">prescribing </w:t>
      </w:r>
      <w:r w:rsidR="00532C8E">
        <w:t>professionals</w:t>
      </w:r>
      <w:r w:rsidR="00BD03CC">
        <w:t xml:space="preserve">, regulatory </w:t>
      </w:r>
      <w:r w:rsidR="0009457B">
        <w:t>obstacles</w:t>
      </w:r>
      <w:r w:rsidR="00BD03CC">
        <w:t>, financial barriers</w:t>
      </w:r>
      <w:r w:rsidR="0009457B">
        <w:t>, or patient attitudes toward medications</w:t>
      </w:r>
      <w:r w:rsidR="00BD03CC">
        <w:t xml:space="preserve">.  Providers can </w:t>
      </w:r>
      <w:r w:rsidR="0009457B">
        <w:t xml:space="preserve">compare their situation to those of their peers to help pinpoint whether there are missed opportunities to treat their patients with OUD with OUD </w:t>
      </w:r>
      <w:r w:rsidR="0066416E">
        <w:t>medications and if so, best practices for addressing them.</w:t>
      </w:r>
    </w:p>
    <w:p w14:paraId="61717A54" w14:textId="37BB50D3" w:rsidR="00D667BB" w:rsidRDefault="00D667BB">
      <w:r w:rsidRPr="00D667BB">
        <w:rPr>
          <w:b/>
          <w:bCs/>
        </w:rPr>
        <w:t>Inclusion/Exclusion and Sample Size</w:t>
      </w:r>
      <w:r>
        <w:t>.</w:t>
      </w:r>
      <w:r w:rsidRPr="00D667BB">
        <w:t xml:space="preserve"> Members are attributed to SUD providers </w:t>
      </w:r>
      <w:r w:rsidR="001221E4">
        <w:t>if they had an</w:t>
      </w:r>
      <w:r w:rsidRPr="00D667BB">
        <w:t xml:space="preserve"> opioid use disorder (OUD) diagnosis in any position (i.e., primary diagnosis, secondary diagnosis, etc</w:t>
      </w:r>
      <w:r w:rsidR="008A5F7C">
        <w:t>.</w:t>
      </w:r>
      <w:r w:rsidRPr="00D667BB">
        <w:t>)</w:t>
      </w:r>
      <w:r w:rsidR="001221E4">
        <w:t xml:space="preserve"> on their claim for the encounter. Only providers </w:t>
      </w:r>
      <w:r w:rsidR="0066416E">
        <w:t xml:space="preserve">who treated </w:t>
      </w:r>
      <w:r w:rsidR="001221E4">
        <w:t xml:space="preserve">10 </w:t>
      </w:r>
      <w:r w:rsidR="0066416E">
        <w:t>or more patients with an OUD diagnosis</w:t>
      </w:r>
      <w:r w:rsidR="001221E4">
        <w:t xml:space="preserve"> </w:t>
      </w:r>
      <w:r w:rsidR="00651A4D">
        <w:t>are</w:t>
      </w:r>
      <w:r w:rsidR="001221E4">
        <w:t xml:space="preserve"> included in the measure</w:t>
      </w:r>
      <w:r w:rsidR="00F37A8F">
        <w:t xml:space="preserve">. </w:t>
      </w:r>
    </w:p>
    <w:p w14:paraId="6ADCB2E4" w14:textId="098F1F66" w:rsidR="00D667BB" w:rsidRDefault="00D667BB">
      <w:r w:rsidRPr="00C12D5B">
        <w:rPr>
          <w:rFonts w:cs="Gotham Book"/>
          <w:b/>
          <w:bCs/>
          <w:color w:val="000000"/>
          <w:sz w:val="23"/>
          <w:szCs w:val="23"/>
        </w:rPr>
        <w:t>Units Held Accountable</w:t>
      </w:r>
      <w:r>
        <w:rPr>
          <w:rFonts w:cs="Gotham Book"/>
          <w:b/>
          <w:bCs/>
          <w:color w:val="000000"/>
          <w:sz w:val="23"/>
          <w:szCs w:val="23"/>
        </w:rPr>
        <w:t xml:space="preserve">. </w:t>
      </w:r>
      <w:r>
        <w:rPr>
          <w:rFonts w:cs="Gotham Book"/>
          <w:color w:val="000000"/>
          <w:sz w:val="23"/>
          <w:szCs w:val="23"/>
        </w:rPr>
        <w:t xml:space="preserve"> </w:t>
      </w:r>
      <w:r w:rsidR="00C12D5B">
        <w:rPr>
          <w:rFonts w:cs="Gotham Book"/>
          <w:color w:val="000000"/>
          <w:sz w:val="23"/>
          <w:szCs w:val="23"/>
        </w:rPr>
        <w:t xml:space="preserve">The attribution model used for this measure assumes that </w:t>
      </w:r>
      <w:r w:rsidR="00CD0FCE">
        <w:rPr>
          <w:rFonts w:cs="Gotham Book"/>
          <w:color w:val="000000"/>
          <w:sz w:val="23"/>
          <w:szCs w:val="23"/>
        </w:rPr>
        <w:t>a</w:t>
      </w:r>
      <w:r w:rsidR="00C12D5B">
        <w:rPr>
          <w:rFonts w:cs="Gotham Book"/>
          <w:color w:val="000000"/>
          <w:sz w:val="23"/>
          <w:szCs w:val="23"/>
        </w:rPr>
        <w:t xml:space="preserve"> provider who treated </w:t>
      </w:r>
      <w:r w:rsidR="00CD0FCE">
        <w:rPr>
          <w:rFonts w:cs="Gotham Book"/>
          <w:color w:val="000000"/>
          <w:sz w:val="23"/>
          <w:szCs w:val="23"/>
        </w:rPr>
        <w:t>a</w:t>
      </w:r>
      <w:r w:rsidR="00C12D5B">
        <w:rPr>
          <w:rFonts w:cs="Gotham Book"/>
          <w:color w:val="000000"/>
          <w:sz w:val="23"/>
          <w:szCs w:val="23"/>
        </w:rPr>
        <w:t xml:space="preserve"> patient</w:t>
      </w:r>
      <w:r w:rsidR="00CD0FCE">
        <w:rPr>
          <w:rFonts w:cs="Gotham Book"/>
          <w:color w:val="000000"/>
          <w:sz w:val="23"/>
          <w:szCs w:val="23"/>
        </w:rPr>
        <w:t xml:space="preserve"> with </w:t>
      </w:r>
      <w:r w:rsidR="00C12D5B">
        <w:rPr>
          <w:rFonts w:cs="Gotham Book"/>
          <w:color w:val="000000"/>
          <w:sz w:val="23"/>
          <w:szCs w:val="23"/>
        </w:rPr>
        <w:t>OUD should be held accountable for ensuring that they are receiving appropriate medication to treat OUD.</w:t>
      </w:r>
      <w:r w:rsidR="0066416E">
        <w:rPr>
          <w:rFonts w:cs="Gotham Book"/>
          <w:color w:val="000000"/>
          <w:sz w:val="23"/>
          <w:szCs w:val="23"/>
        </w:rPr>
        <w:t xml:space="preserve"> The model does not assume that the same provider must prescribe or administer the OUD medication.  The </w:t>
      </w:r>
      <w:r w:rsidR="00651A4D">
        <w:rPr>
          <w:rFonts w:cs="Gotham Book"/>
          <w:color w:val="000000"/>
          <w:sz w:val="23"/>
          <w:szCs w:val="23"/>
        </w:rPr>
        <w:t>provider</w:t>
      </w:r>
      <w:r w:rsidR="0066416E">
        <w:rPr>
          <w:rFonts w:cs="Gotham Book"/>
          <w:color w:val="000000"/>
          <w:sz w:val="23"/>
          <w:szCs w:val="23"/>
        </w:rPr>
        <w:t xml:space="preserve"> could facilitate access to OUD medications through referrals, for example.</w:t>
      </w:r>
    </w:p>
    <w:p w14:paraId="3100637A" w14:textId="4A939E08" w:rsidR="00A45E79" w:rsidRDefault="00C94A9F">
      <w:r w:rsidRPr="00C94A9F">
        <w:rPr>
          <w:b/>
          <w:bCs/>
        </w:rPr>
        <w:t xml:space="preserve">Attribution </w:t>
      </w:r>
      <w:r w:rsidR="005F297D">
        <w:rPr>
          <w:b/>
          <w:bCs/>
        </w:rPr>
        <w:t>Criteria</w:t>
      </w:r>
      <w:r>
        <w:t xml:space="preserve">. </w:t>
      </w:r>
      <w:r w:rsidR="00CC0FDF">
        <w:t>For outpatient providers, attribution date is defined as the date of the encounter between member and the provider that includes OUD diagnosis; for inpatient/residential providers, attribution date is defined as the discharge date from the provider that includes OUD diagnosis</w:t>
      </w:r>
      <w:r w:rsidR="00CD0FCE">
        <w:t>. The OUD diagnosis can be in any position on the claim (i.e., it can be a primary or secondary diagnosis)</w:t>
      </w:r>
      <w:r w:rsidR="00CC0FDF">
        <w:t xml:space="preserve">. </w:t>
      </w:r>
      <w:r w:rsidR="00A45E79" w:rsidRPr="00A45E79">
        <w:t xml:space="preserve">We identify a provider based on the National Provider Identifier (NPI) listed on the medical claims. A </w:t>
      </w:r>
      <w:r w:rsidR="00A45E79" w:rsidRPr="00A45E79">
        <w:lastRenderedPageBreak/>
        <w:t xml:space="preserve">provider can be a </w:t>
      </w:r>
      <w:r w:rsidR="00B71E12">
        <w:t>clinician</w:t>
      </w:r>
      <w:r w:rsidR="00A45E79" w:rsidRPr="00A45E79">
        <w:t xml:space="preserve"> or </w:t>
      </w:r>
      <w:r w:rsidR="00B71E12">
        <w:t xml:space="preserve">provider </w:t>
      </w:r>
      <w:r w:rsidR="00A45E79" w:rsidRPr="00A45E79">
        <w:t>organization</w:t>
      </w:r>
      <w:r w:rsidR="00B71E12">
        <w:t>. The measure was tested separately for clinicians and provider organizations.</w:t>
      </w:r>
    </w:p>
    <w:p w14:paraId="7CE6DC15" w14:textId="0B5E055C" w:rsidR="00CC0FDF" w:rsidRDefault="00CC0FDF">
      <w:r>
        <w:t>The following are qualifying OUD diagnoses:</w:t>
      </w:r>
    </w:p>
    <w:tbl>
      <w:tblPr>
        <w:tblW w:w="8700" w:type="dxa"/>
        <w:tblLook w:val="04A0" w:firstRow="1" w:lastRow="0" w:firstColumn="1" w:lastColumn="0" w:noHBand="0" w:noVBand="1"/>
      </w:tblPr>
      <w:tblGrid>
        <w:gridCol w:w="1680"/>
        <w:gridCol w:w="7020"/>
      </w:tblGrid>
      <w:tr w:rsidR="00CC0FDF" w:rsidRPr="00CC0FDF" w14:paraId="34DFADAD" w14:textId="77777777" w:rsidTr="00CC0FDF">
        <w:trPr>
          <w:trHeight w:val="300"/>
        </w:trPr>
        <w:tc>
          <w:tcPr>
            <w:tcW w:w="1680" w:type="dxa"/>
            <w:tcBorders>
              <w:top w:val="single" w:sz="8" w:space="0" w:color="4472C4"/>
              <w:left w:val="single" w:sz="8" w:space="0" w:color="4472C4"/>
              <w:bottom w:val="single" w:sz="8" w:space="0" w:color="4472C4"/>
              <w:right w:val="nil"/>
            </w:tcBorders>
            <w:shd w:val="clear" w:color="000000" w:fill="4472C4"/>
            <w:noWrap/>
            <w:vAlign w:val="center"/>
            <w:hideMark/>
          </w:tcPr>
          <w:p w14:paraId="64B4EEFB" w14:textId="77777777" w:rsidR="00CC0FDF" w:rsidRPr="00CC0FDF" w:rsidRDefault="00CC0FDF" w:rsidP="00CC0FDF">
            <w:pPr>
              <w:spacing w:after="0" w:line="240" w:lineRule="auto"/>
              <w:rPr>
                <w:rFonts w:ascii="Arial" w:eastAsia="Times New Roman" w:hAnsi="Arial" w:cs="Arial"/>
                <w:b/>
                <w:bCs/>
                <w:color w:val="FFFFFF"/>
                <w:sz w:val="20"/>
                <w:szCs w:val="20"/>
              </w:rPr>
            </w:pPr>
            <w:r w:rsidRPr="00CC0FDF">
              <w:rPr>
                <w:rFonts w:ascii="Arial" w:eastAsia="Times New Roman" w:hAnsi="Arial" w:cs="Arial"/>
                <w:b/>
                <w:bCs/>
                <w:color w:val="FFFFFF"/>
                <w:sz w:val="20"/>
                <w:szCs w:val="20"/>
              </w:rPr>
              <w:t>ICD-10 Code</w:t>
            </w:r>
          </w:p>
        </w:tc>
        <w:tc>
          <w:tcPr>
            <w:tcW w:w="7020" w:type="dxa"/>
            <w:tcBorders>
              <w:top w:val="single" w:sz="8" w:space="0" w:color="4472C4"/>
              <w:left w:val="nil"/>
              <w:bottom w:val="single" w:sz="8" w:space="0" w:color="4472C4"/>
              <w:right w:val="single" w:sz="8" w:space="0" w:color="4472C4"/>
            </w:tcBorders>
            <w:shd w:val="clear" w:color="000000" w:fill="4472C4"/>
            <w:noWrap/>
            <w:vAlign w:val="center"/>
            <w:hideMark/>
          </w:tcPr>
          <w:p w14:paraId="0C410168" w14:textId="77777777" w:rsidR="00CC0FDF" w:rsidRPr="00CC0FDF" w:rsidRDefault="00CC0FDF" w:rsidP="00CC0FDF">
            <w:pPr>
              <w:spacing w:after="0" w:line="240" w:lineRule="auto"/>
              <w:rPr>
                <w:rFonts w:ascii="Arial" w:eastAsia="Times New Roman" w:hAnsi="Arial" w:cs="Arial"/>
                <w:b/>
                <w:bCs/>
                <w:color w:val="FFFFFF"/>
                <w:sz w:val="20"/>
                <w:szCs w:val="20"/>
              </w:rPr>
            </w:pPr>
            <w:r w:rsidRPr="00CC0FDF">
              <w:rPr>
                <w:rFonts w:ascii="Arial" w:eastAsia="Times New Roman" w:hAnsi="Arial" w:cs="Arial"/>
                <w:b/>
                <w:bCs/>
                <w:color w:val="FFFFFF"/>
                <w:sz w:val="20"/>
                <w:szCs w:val="20"/>
              </w:rPr>
              <w:t>Description</w:t>
            </w:r>
          </w:p>
        </w:tc>
      </w:tr>
      <w:tr w:rsidR="00CC0FDF" w:rsidRPr="00CC0FDF" w14:paraId="7F580EF6"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041696D9" w14:textId="77777777" w:rsidR="00CC0FDF" w:rsidRPr="00CC0FDF" w:rsidRDefault="00CC0FDF" w:rsidP="00CC0FDF">
            <w:pPr>
              <w:spacing w:after="0" w:line="240" w:lineRule="auto"/>
              <w:rPr>
                <w:rFonts w:ascii="Arial" w:eastAsia="Times New Roman" w:hAnsi="Arial" w:cs="Arial"/>
                <w:b/>
                <w:bCs/>
                <w:color w:val="000000"/>
                <w:sz w:val="20"/>
                <w:szCs w:val="20"/>
              </w:rPr>
            </w:pPr>
            <w:r w:rsidRPr="00CC0FDF">
              <w:rPr>
                <w:rFonts w:ascii="Arial" w:eastAsia="Times New Roman" w:hAnsi="Arial" w:cs="Arial"/>
                <w:b/>
                <w:bCs/>
                <w:color w:val="000000"/>
                <w:sz w:val="20"/>
                <w:szCs w:val="20"/>
              </w:rPr>
              <w:t> F11.1X</w:t>
            </w:r>
          </w:p>
        </w:tc>
        <w:tc>
          <w:tcPr>
            <w:tcW w:w="7020" w:type="dxa"/>
            <w:tcBorders>
              <w:top w:val="nil"/>
              <w:left w:val="nil"/>
              <w:bottom w:val="single" w:sz="8" w:space="0" w:color="8EAADB"/>
              <w:right w:val="single" w:sz="8" w:space="0" w:color="8EAADB"/>
            </w:tcBorders>
            <w:shd w:val="clear" w:color="000000" w:fill="D9E2F3"/>
            <w:noWrap/>
            <w:vAlign w:val="center"/>
            <w:hideMark/>
          </w:tcPr>
          <w:p w14:paraId="71A5C3DE" w14:textId="77777777" w:rsidR="00CC0FDF" w:rsidRPr="00CC0FDF" w:rsidRDefault="00CC0FDF" w:rsidP="00CC0FDF">
            <w:pPr>
              <w:spacing w:after="0" w:line="240" w:lineRule="auto"/>
              <w:rPr>
                <w:rFonts w:ascii="Arial" w:eastAsia="Times New Roman" w:hAnsi="Arial" w:cs="Arial"/>
                <w:color w:val="000000"/>
                <w:sz w:val="20"/>
                <w:szCs w:val="20"/>
              </w:rPr>
            </w:pPr>
            <w:r w:rsidRPr="00CC0FDF">
              <w:rPr>
                <w:rFonts w:ascii="Arial" w:eastAsia="Times New Roman" w:hAnsi="Arial" w:cs="Arial"/>
                <w:color w:val="000000"/>
                <w:sz w:val="20"/>
                <w:szCs w:val="20"/>
              </w:rPr>
              <w:t>Opioid abuse</w:t>
            </w:r>
          </w:p>
        </w:tc>
      </w:tr>
      <w:tr w:rsidR="00CC0FDF" w:rsidRPr="00CC0FDF" w14:paraId="0C597DD2"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7042E22F" w14:textId="77777777" w:rsidR="00CC0FDF" w:rsidRPr="00CC0FDF" w:rsidRDefault="00CC0FDF" w:rsidP="00CC0FDF">
            <w:pPr>
              <w:spacing w:after="0" w:line="240" w:lineRule="auto"/>
              <w:rPr>
                <w:rFonts w:ascii="Arial" w:eastAsia="Times New Roman" w:hAnsi="Arial" w:cs="Arial"/>
                <w:b/>
                <w:bCs/>
                <w:color w:val="000000"/>
                <w:sz w:val="20"/>
                <w:szCs w:val="20"/>
              </w:rPr>
            </w:pPr>
            <w:r w:rsidRPr="00CC0FDF">
              <w:rPr>
                <w:rFonts w:ascii="Arial" w:eastAsia="Times New Roman" w:hAnsi="Arial" w:cs="Arial"/>
                <w:b/>
                <w:bCs/>
                <w:color w:val="000000"/>
                <w:sz w:val="20"/>
                <w:szCs w:val="20"/>
              </w:rPr>
              <w:t> F11.2X</w:t>
            </w:r>
          </w:p>
        </w:tc>
        <w:tc>
          <w:tcPr>
            <w:tcW w:w="7020" w:type="dxa"/>
            <w:tcBorders>
              <w:top w:val="nil"/>
              <w:left w:val="nil"/>
              <w:bottom w:val="single" w:sz="8" w:space="0" w:color="8EAADB"/>
              <w:right w:val="single" w:sz="8" w:space="0" w:color="8EAADB"/>
            </w:tcBorders>
            <w:shd w:val="clear" w:color="auto" w:fill="auto"/>
            <w:noWrap/>
            <w:vAlign w:val="center"/>
            <w:hideMark/>
          </w:tcPr>
          <w:p w14:paraId="50EC17CA" w14:textId="77777777" w:rsidR="00CC0FDF" w:rsidRPr="00CC0FDF" w:rsidRDefault="00CC0FDF" w:rsidP="00CC0FDF">
            <w:pPr>
              <w:spacing w:after="0" w:line="240" w:lineRule="auto"/>
              <w:rPr>
                <w:rFonts w:ascii="Arial" w:eastAsia="Times New Roman" w:hAnsi="Arial" w:cs="Arial"/>
                <w:color w:val="000000"/>
                <w:sz w:val="20"/>
                <w:szCs w:val="20"/>
              </w:rPr>
            </w:pPr>
            <w:r w:rsidRPr="00CC0FDF">
              <w:rPr>
                <w:rFonts w:ascii="Arial" w:eastAsia="Times New Roman" w:hAnsi="Arial" w:cs="Arial"/>
                <w:color w:val="000000"/>
                <w:sz w:val="20"/>
                <w:szCs w:val="20"/>
              </w:rPr>
              <w:t>Opioid dependence</w:t>
            </w:r>
            <w:r w:rsidRPr="00CC0FDF">
              <w:rPr>
                <w:rFonts w:ascii="Arial" w:eastAsia="Times New Roman" w:hAnsi="Arial" w:cs="Arial"/>
                <w:color w:val="000000"/>
                <w:sz w:val="20"/>
                <w:szCs w:val="20"/>
                <w:vertAlign w:val="superscript"/>
              </w:rPr>
              <w:t>1</w:t>
            </w:r>
          </w:p>
        </w:tc>
      </w:tr>
      <w:tr w:rsidR="00CC0FDF" w:rsidRPr="00CC0FDF" w14:paraId="02B33073" w14:textId="77777777" w:rsidTr="00CC0FDF">
        <w:trPr>
          <w:trHeight w:val="300"/>
        </w:trPr>
        <w:tc>
          <w:tcPr>
            <w:tcW w:w="1680" w:type="dxa"/>
            <w:tcBorders>
              <w:top w:val="nil"/>
              <w:left w:val="single" w:sz="8" w:space="0" w:color="8EAADB"/>
              <w:bottom w:val="single" w:sz="8" w:space="0" w:color="8EAADB"/>
              <w:right w:val="nil"/>
            </w:tcBorders>
            <w:shd w:val="clear" w:color="000000" w:fill="8EAADB"/>
            <w:noWrap/>
            <w:vAlign w:val="center"/>
            <w:hideMark/>
          </w:tcPr>
          <w:p w14:paraId="603CA82B" w14:textId="77777777" w:rsidR="00CC0FDF" w:rsidRPr="00CC0FDF" w:rsidRDefault="00CC0FDF" w:rsidP="00CC0FDF">
            <w:pPr>
              <w:spacing w:after="0" w:line="240" w:lineRule="auto"/>
              <w:rPr>
                <w:rFonts w:ascii="Arial" w:eastAsia="Times New Roman" w:hAnsi="Arial" w:cs="Arial"/>
                <w:b/>
                <w:bCs/>
                <w:color w:val="FFFFFF"/>
                <w:sz w:val="20"/>
                <w:szCs w:val="20"/>
              </w:rPr>
            </w:pPr>
            <w:r w:rsidRPr="00CC0FDF">
              <w:rPr>
                <w:rFonts w:ascii="Arial" w:eastAsia="Times New Roman" w:hAnsi="Arial" w:cs="Arial"/>
                <w:b/>
                <w:bCs/>
                <w:color w:val="FFFFFF"/>
                <w:sz w:val="20"/>
                <w:szCs w:val="20"/>
              </w:rPr>
              <w:t xml:space="preserve">ICD-9 </w:t>
            </w:r>
          </w:p>
        </w:tc>
        <w:tc>
          <w:tcPr>
            <w:tcW w:w="7020" w:type="dxa"/>
            <w:tcBorders>
              <w:top w:val="nil"/>
              <w:left w:val="nil"/>
              <w:bottom w:val="single" w:sz="8" w:space="0" w:color="8EAADB"/>
              <w:right w:val="single" w:sz="8" w:space="0" w:color="8EAADB"/>
            </w:tcBorders>
            <w:shd w:val="clear" w:color="000000" w:fill="8EAADB"/>
            <w:noWrap/>
            <w:vAlign w:val="center"/>
            <w:hideMark/>
          </w:tcPr>
          <w:p w14:paraId="120C7362" w14:textId="77777777" w:rsidR="00CC0FDF" w:rsidRPr="00CC0FDF" w:rsidRDefault="00CC0FDF" w:rsidP="00CC0FDF">
            <w:pPr>
              <w:spacing w:after="0" w:line="240" w:lineRule="auto"/>
              <w:rPr>
                <w:rFonts w:ascii="Arial" w:eastAsia="Times New Roman" w:hAnsi="Arial" w:cs="Arial"/>
                <w:color w:val="000000"/>
                <w:sz w:val="20"/>
                <w:szCs w:val="20"/>
              </w:rPr>
            </w:pPr>
            <w:r w:rsidRPr="00CC0FDF">
              <w:rPr>
                <w:rFonts w:ascii="Arial" w:eastAsia="Times New Roman" w:hAnsi="Arial" w:cs="Arial"/>
                <w:color w:val="000000"/>
                <w:sz w:val="20"/>
                <w:szCs w:val="20"/>
              </w:rPr>
              <w:t> </w:t>
            </w:r>
          </w:p>
        </w:tc>
      </w:tr>
      <w:tr w:rsidR="00A45E79" w:rsidRPr="00CC0FDF" w14:paraId="135F663B"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2F5667F2" w14:textId="2FC74349"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w:t>
            </w:r>
          </w:p>
        </w:tc>
        <w:tc>
          <w:tcPr>
            <w:tcW w:w="7020" w:type="dxa"/>
            <w:tcBorders>
              <w:top w:val="nil"/>
              <w:left w:val="nil"/>
              <w:bottom w:val="single" w:sz="8" w:space="0" w:color="8EAADB"/>
              <w:right w:val="single" w:sz="8" w:space="0" w:color="8EAADB"/>
            </w:tcBorders>
            <w:shd w:val="clear" w:color="auto" w:fill="auto"/>
            <w:noWrap/>
            <w:vAlign w:val="center"/>
            <w:hideMark/>
          </w:tcPr>
          <w:p w14:paraId="20DE834A"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type dependence</w:t>
            </w:r>
          </w:p>
        </w:tc>
      </w:tr>
      <w:tr w:rsidR="00A45E79" w:rsidRPr="00CC0FDF" w14:paraId="204E5F94"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4DE1AFB0" w14:textId="1310CCDD"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304.00</w:t>
            </w:r>
          </w:p>
        </w:tc>
        <w:tc>
          <w:tcPr>
            <w:tcW w:w="7020" w:type="dxa"/>
            <w:tcBorders>
              <w:top w:val="nil"/>
              <w:left w:val="nil"/>
              <w:bottom w:val="single" w:sz="8" w:space="0" w:color="8EAADB"/>
              <w:right w:val="single" w:sz="8" w:space="0" w:color="8EAADB"/>
            </w:tcBorders>
            <w:shd w:val="clear" w:color="000000" w:fill="D9E2F3"/>
            <w:noWrap/>
            <w:vAlign w:val="center"/>
            <w:hideMark/>
          </w:tcPr>
          <w:p w14:paraId="661DCD00"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type dependence, unspecified</w:t>
            </w:r>
          </w:p>
        </w:tc>
      </w:tr>
      <w:tr w:rsidR="00A45E79" w:rsidRPr="00CC0FDF" w14:paraId="344F1458"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79B57DCA" w14:textId="5992EFAB"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304.01</w:t>
            </w:r>
          </w:p>
        </w:tc>
        <w:tc>
          <w:tcPr>
            <w:tcW w:w="7020" w:type="dxa"/>
            <w:tcBorders>
              <w:top w:val="nil"/>
              <w:left w:val="nil"/>
              <w:bottom w:val="single" w:sz="8" w:space="0" w:color="8EAADB"/>
              <w:right w:val="single" w:sz="8" w:space="0" w:color="8EAADB"/>
            </w:tcBorders>
            <w:shd w:val="clear" w:color="auto" w:fill="auto"/>
            <w:noWrap/>
            <w:vAlign w:val="center"/>
            <w:hideMark/>
          </w:tcPr>
          <w:p w14:paraId="42A7A418"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type dependence, continuous</w:t>
            </w:r>
          </w:p>
        </w:tc>
      </w:tr>
      <w:tr w:rsidR="00A45E79" w:rsidRPr="00CC0FDF" w14:paraId="138EB9B5"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58CC55D3" w14:textId="4E70C559"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304.02</w:t>
            </w:r>
          </w:p>
        </w:tc>
        <w:tc>
          <w:tcPr>
            <w:tcW w:w="7020" w:type="dxa"/>
            <w:tcBorders>
              <w:top w:val="nil"/>
              <w:left w:val="nil"/>
              <w:bottom w:val="single" w:sz="8" w:space="0" w:color="8EAADB"/>
              <w:right w:val="single" w:sz="8" w:space="0" w:color="8EAADB"/>
            </w:tcBorders>
            <w:shd w:val="clear" w:color="000000" w:fill="D9E2F3"/>
            <w:noWrap/>
            <w:vAlign w:val="center"/>
            <w:hideMark/>
          </w:tcPr>
          <w:p w14:paraId="32056209"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type dependence, episodic</w:t>
            </w:r>
          </w:p>
        </w:tc>
      </w:tr>
      <w:tr w:rsidR="00A45E79" w:rsidRPr="00CC0FDF" w14:paraId="5013F8A1"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6576FE56" w14:textId="2B397512"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305.5</w:t>
            </w:r>
          </w:p>
        </w:tc>
        <w:tc>
          <w:tcPr>
            <w:tcW w:w="7020" w:type="dxa"/>
            <w:tcBorders>
              <w:top w:val="nil"/>
              <w:left w:val="nil"/>
              <w:bottom w:val="single" w:sz="8" w:space="0" w:color="8EAADB"/>
              <w:right w:val="single" w:sz="8" w:space="0" w:color="8EAADB"/>
            </w:tcBorders>
            <w:shd w:val="clear" w:color="auto" w:fill="auto"/>
            <w:noWrap/>
            <w:vAlign w:val="center"/>
            <w:hideMark/>
          </w:tcPr>
          <w:p w14:paraId="2108222E"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abuse</w:t>
            </w:r>
          </w:p>
        </w:tc>
      </w:tr>
      <w:tr w:rsidR="00A45E79" w:rsidRPr="00CC0FDF" w14:paraId="74F967F9"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293621FD" w14:textId="6174FD09"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305.50</w:t>
            </w:r>
          </w:p>
        </w:tc>
        <w:tc>
          <w:tcPr>
            <w:tcW w:w="7020" w:type="dxa"/>
            <w:tcBorders>
              <w:top w:val="nil"/>
              <w:left w:val="nil"/>
              <w:bottom w:val="single" w:sz="8" w:space="0" w:color="8EAADB"/>
              <w:right w:val="single" w:sz="8" w:space="0" w:color="8EAADB"/>
            </w:tcBorders>
            <w:shd w:val="clear" w:color="000000" w:fill="D9E2F3"/>
            <w:noWrap/>
            <w:vAlign w:val="center"/>
            <w:hideMark/>
          </w:tcPr>
          <w:p w14:paraId="1CC2B729"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abuse</w:t>
            </w:r>
          </w:p>
        </w:tc>
      </w:tr>
      <w:tr w:rsidR="00A45E79" w:rsidRPr="00CC0FDF" w14:paraId="1E781C17"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1F16B19F" w14:textId="3249A604"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305.51</w:t>
            </w:r>
          </w:p>
        </w:tc>
        <w:tc>
          <w:tcPr>
            <w:tcW w:w="7020" w:type="dxa"/>
            <w:tcBorders>
              <w:top w:val="nil"/>
              <w:left w:val="nil"/>
              <w:bottom w:val="single" w:sz="8" w:space="0" w:color="8EAADB"/>
              <w:right w:val="single" w:sz="8" w:space="0" w:color="8EAADB"/>
            </w:tcBorders>
            <w:shd w:val="clear" w:color="auto" w:fill="auto"/>
            <w:noWrap/>
            <w:vAlign w:val="center"/>
            <w:hideMark/>
          </w:tcPr>
          <w:p w14:paraId="44A8E579"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abuse, continuous</w:t>
            </w:r>
          </w:p>
        </w:tc>
      </w:tr>
      <w:tr w:rsidR="00A45E79" w:rsidRPr="00CC0FDF" w14:paraId="6E2F9E5E"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00DA5CA0" w14:textId="226B778F"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305.52</w:t>
            </w:r>
          </w:p>
        </w:tc>
        <w:tc>
          <w:tcPr>
            <w:tcW w:w="7020" w:type="dxa"/>
            <w:tcBorders>
              <w:top w:val="nil"/>
              <w:left w:val="nil"/>
              <w:bottom w:val="single" w:sz="8" w:space="0" w:color="8EAADB"/>
              <w:right w:val="single" w:sz="8" w:space="0" w:color="8EAADB"/>
            </w:tcBorders>
            <w:shd w:val="clear" w:color="000000" w:fill="D9E2F3"/>
            <w:noWrap/>
            <w:vAlign w:val="center"/>
            <w:hideMark/>
          </w:tcPr>
          <w:p w14:paraId="5420176D"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abuse, episodic</w:t>
            </w:r>
          </w:p>
        </w:tc>
      </w:tr>
      <w:tr w:rsidR="00A45E79" w:rsidRPr="00CC0FDF" w14:paraId="50F5EEDD"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33DB656C" w14:textId="316A67D1"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304.03</w:t>
            </w:r>
          </w:p>
        </w:tc>
        <w:tc>
          <w:tcPr>
            <w:tcW w:w="7020" w:type="dxa"/>
            <w:tcBorders>
              <w:top w:val="nil"/>
              <w:left w:val="nil"/>
              <w:bottom w:val="single" w:sz="8" w:space="0" w:color="8EAADB"/>
              <w:right w:val="single" w:sz="8" w:space="0" w:color="8EAADB"/>
            </w:tcBorders>
            <w:shd w:val="clear" w:color="auto" w:fill="auto"/>
            <w:noWrap/>
            <w:vAlign w:val="center"/>
            <w:hideMark/>
          </w:tcPr>
          <w:p w14:paraId="02CEC205"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Opioid dependence in remission</w:t>
            </w:r>
          </w:p>
        </w:tc>
      </w:tr>
      <w:tr w:rsidR="00A45E79" w:rsidRPr="00CC0FDF" w14:paraId="6DE3829E"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05D98535" w14:textId="3B9275DC"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sz w:val="18"/>
                <w:szCs w:val="18"/>
              </w:rPr>
              <w:t>304.53</w:t>
            </w:r>
          </w:p>
        </w:tc>
        <w:tc>
          <w:tcPr>
            <w:tcW w:w="7020" w:type="dxa"/>
            <w:tcBorders>
              <w:top w:val="nil"/>
              <w:left w:val="nil"/>
              <w:bottom w:val="single" w:sz="8" w:space="0" w:color="8EAADB"/>
              <w:right w:val="single" w:sz="8" w:space="0" w:color="8EAADB"/>
            </w:tcBorders>
            <w:shd w:val="clear" w:color="000000" w:fill="D9E2F3"/>
            <w:noWrap/>
            <w:vAlign w:val="center"/>
            <w:hideMark/>
          </w:tcPr>
          <w:p w14:paraId="04D80279"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Non-dependent opioid abuse in remission</w:t>
            </w:r>
          </w:p>
        </w:tc>
      </w:tr>
      <w:tr w:rsidR="00A45E79" w:rsidRPr="00CC0FDF" w14:paraId="7C340DF6"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4C16DD1C" w14:textId="77FD627A"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b/>
                <w:bCs/>
                <w:sz w:val="18"/>
                <w:szCs w:val="18"/>
              </w:rPr>
              <w:t>304.7</w:t>
            </w:r>
          </w:p>
        </w:tc>
        <w:tc>
          <w:tcPr>
            <w:tcW w:w="7020" w:type="dxa"/>
            <w:tcBorders>
              <w:top w:val="nil"/>
              <w:left w:val="nil"/>
              <w:bottom w:val="single" w:sz="8" w:space="0" w:color="8EAADB"/>
              <w:right w:val="single" w:sz="8" w:space="0" w:color="8EAADB"/>
            </w:tcBorders>
            <w:shd w:val="clear" w:color="auto" w:fill="auto"/>
            <w:noWrap/>
            <w:vAlign w:val="center"/>
            <w:hideMark/>
          </w:tcPr>
          <w:p w14:paraId="242D62CD"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Combinations of opioid type drug with any other drug dependence</w:t>
            </w:r>
          </w:p>
        </w:tc>
      </w:tr>
      <w:tr w:rsidR="00A45E79" w:rsidRPr="00CC0FDF" w14:paraId="140896FE"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74089F1C" w14:textId="7D241B53"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b/>
                <w:bCs/>
                <w:sz w:val="18"/>
                <w:szCs w:val="18"/>
              </w:rPr>
              <w:t>304.70</w:t>
            </w:r>
          </w:p>
        </w:tc>
        <w:tc>
          <w:tcPr>
            <w:tcW w:w="7020" w:type="dxa"/>
            <w:tcBorders>
              <w:top w:val="nil"/>
              <w:left w:val="nil"/>
              <w:bottom w:val="single" w:sz="8" w:space="0" w:color="8EAADB"/>
              <w:right w:val="single" w:sz="8" w:space="0" w:color="8EAADB"/>
            </w:tcBorders>
            <w:shd w:val="clear" w:color="000000" w:fill="D9E2F3"/>
            <w:noWrap/>
            <w:vAlign w:val="center"/>
            <w:hideMark/>
          </w:tcPr>
          <w:p w14:paraId="09CCE20C"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Combinations of opioid type drug with any other drug dependence, unspecified</w:t>
            </w:r>
          </w:p>
        </w:tc>
      </w:tr>
      <w:tr w:rsidR="00A45E79" w:rsidRPr="00CC0FDF" w14:paraId="48958513" w14:textId="77777777" w:rsidTr="00CC0FDF">
        <w:trPr>
          <w:trHeight w:val="300"/>
        </w:trPr>
        <w:tc>
          <w:tcPr>
            <w:tcW w:w="1680" w:type="dxa"/>
            <w:tcBorders>
              <w:top w:val="nil"/>
              <w:left w:val="single" w:sz="8" w:space="0" w:color="8EAADB"/>
              <w:bottom w:val="single" w:sz="8" w:space="0" w:color="8EAADB"/>
              <w:right w:val="nil"/>
            </w:tcBorders>
            <w:shd w:val="clear" w:color="auto" w:fill="auto"/>
            <w:noWrap/>
            <w:vAlign w:val="center"/>
            <w:hideMark/>
          </w:tcPr>
          <w:p w14:paraId="28953D55" w14:textId="45749815"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b/>
                <w:bCs/>
                <w:sz w:val="18"/>
                <w:szCs w:val="18"/>
              </w:rPr>
              <w:t>304.71</w:t>
            </w:r>
          </w:p>
        </w:tc>
        <w:tc>
          <w:tcPr>
            <w:tcW w:w="7020" w:type="dxa"/>
            <w:tcBorders>
              <w:top w:val="nil"/>
              <w:left w:val="nil"/>
              <w:bottom w:val="single" w:sz="8" w:space="0" w:color="8EAADB"/>
              <w:right w:val="single" w:sz="8" w:space="0" w:color="8EAADB"/>
            </w:tcBorders>
            <w:shd w:val="clear" w:color="auto" w:fill="auto"/>
            <w:noWrap/>
            <w:vAlign w:val="center"/>
            <w:hideMark/>
          </w:tcPr>
          <w:p w14:paraId="005E9C0E"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Combinations of opioid type drug with any other drug dependence, continuous</w:t>
            </w:r>
          </w:p>
        </w:tc>
      </w:tr>
      <w:tr w:rsidR="00A45E79" w:rsidRPr="00CC0FDF" w14:paraId="4EE94F72" w14:textId="77777777" w:rsidTr="00CC0FDF">
        <w:trPr>
          <w:trHeight w:val="300"/>
        </w:trPr>
        <w:tc>
          <w:tcPr>
            <w:tcW w:w="1680" w:type="dxa"/>
            <w:tcBorders>
              <w:top w:val="nil"/>
              <w:left w:val="single" w:sz="8" w:space="0" w:color="8EAADB"/>
              <w:bottom w:val="single" w:sz="8" w:space="0" w:color="8EAADB"/>
              <w:right w:val="nil"/>
            </w:tcBorders>
            <w:shd w:val="clear" w:color="000000" w:fill="D9E2F3"/>
            <w:noWrap/>
            <w:vAlign w:val="center"/>
            <w:hideMark/>
          </w:tcPr>
          <w:p w14:paraId="2B1F0864" w14:textId="5521418A" w:rsidR="00A45E79" w:rsidRPr="00CC0FDF" w:rsidRDefault="00A45E79" w:rsidP="00A45E79">
            <w:pPr>
              <w:spacing w:after="0" w:line="240" w:lineRule="auto"/>
              <w:jc w:val="right"/>
              <w:rPr>
                <w:rFonts w:ascii="Arial" w:eastAsia="Times New Roman" w:hAnsi="Arial" w:cs="Arial"/>
                <w:b/>
                <w:bCs/>
                <w:color w:val="000000"/>
                <w:sz w:val="18"/>
                <w:szCs w:val="18"/>
              </w:rPr>
            </w:pPr>
            <w:r>
              <w:rPr>
                <w:rFonts w:ascii="Arial" w:hAnsi="Arial" w:cs="Arial"/>
                <w:b/>
                <w:bCs/>
                <w:sz w:val="18"/>
                <w:szCs w:val="18"/>
              </w:rPr>
              <w:t>304.72</w:t>
            </w:r>
          </w:p>
        </w:tc>
        <w:tc>
          <w:tcPr>
            <w:tcW w:w="7020" w:type="dxa"/>
            <w:tcBorders>
              <w:top w:val="nil"/>
              <w:left w:val="nil"/>
              <w:bottom w:val="single" w:sz="8" w:space="0" w:color="8EAADB"/>
              <w:right w:val="single" w:sz="8" w:space="0" w:color="8EAADB"/>
            </w:tcBorders>
            <w:shd w:val="clear" w:color="000000" w:fill="D9E2F3"/>
            <w:noWrap/>
            <w:vAlign w:val="center"/>
            <w:hideMark/>
          </w:tcPr>
          <w:p w14:paraId="6091A810" w14:textId="77777777" w:rsidR="00A45E79" w:rsidRPr="00CC0FDF" w:rsidRDefault="00A45E79" w:rsidP="00A45E79">
            <w:pPr>
              <w:spacing w:after="0" w:line="240" w:lineRule="auto"/>
              <w:rPr>
                <w:rFonts w:ascii="Arial" w:eastAsia="Times New Roman" w:hAnsi="Arial" w:cs="Arial"/>
                <w:color w:val="000000"/>
                <w:sz w:val="18"/>
                <w:szCs w:val="18"/>
              </w:rPr>
            </w:pPr>
            <w:r w:rsidRPr="00CC0FDF">
              <w:rPr>
                <w:rFonts w:ascii="Arial" w:eastAsia="Times New Roman" w:hAnsi="Arial" w:cs="Arial"/>
                <w:color w:val="000000"/>
                <w:sz w:val="18"/>
                <w:szCs w:val="18"/>
              </w:rPr>
              <w:t>Combinations of opioid type drug with any other drug dependence, episodic</w:t>
            </w:r>
          </w:p>
        </w:tc>
      </w:tr>
    </w:tbl>
    <w:p w14:paraId="552B5254" w14:textId="679995E3" w:rsidR="00CC0FDF" w:rsidRDefault="00CC0FDF"/>
    <w:p w14:paraId="67D90D9B" w14:textId="06954237" w:rsidR="005315C1" w:rsidRDefault="00B71E12">
      <w:pPr>
        <w:rPr>
          <w:rFonts w:eastAsiaTheme="minorEastAsia"/>
        </w:rPr>
      </w:pPr>
      <w:r>
        <w:t xml:space="preserve">Two </w:t>
      </w:r>
      <w:r w:rsidR="00282067">
        <w:t>potential attribution strategies</w:t>
      </w:r>
      <w:r w:rsidR="00365337">
        <w:t xml:space="preserve"> </w:t>
      </w:r>
      <w:r>
        <w:t xml:space="preserve">were tested </w:t>
      </w:r>
      <w:r w:rsidR="00365337">
        <w:t>using data New York</w:t>
      </w:r>
      <w:r w:rsidR="00651A4D">
        <w:t xml:space="preserve"> Medicaid data</w:t>
      </w:r>
      <w:r w:rsidR="00282067">
        <w:t xml:space="preserve">: the current measure specification where attribution is based on a single encounter, and a more stringent potential specification where attribution is based on: a. two outpatient encounters no more than two weeks apart or b. a residential or inpatient stay of 15 days or more. </w:t>
      </w:r>
      <w:r w:rsidR="007E089D">
        <w:t xml:space="preserve">The </w:t>
      </w:r>
      <w:r w:rsidR="00365337">
        <w:t xml:space="preserve">two </w:t>
      </w:r>
      <w:r w:rsidR="007E089D">
        <w:t>attribution criteria</w:t>
      </w:r>
      <w:r w:rsidR="00365337">
        <w:t xml:space="preserve"> – single-encounter and two-encounter –</w:t>
      </w:r>
      <w:r w:rsidR="007E089D">
        <w:t xml:space="preserve"> produced measures with similar reliability statistics</w:t>
      </w:r>
      <w:r w:rsidR="00365337">
        <w:t>.</w:t>
      </w:r>
      <w:r w:rsidR="007E089D">
        <w:t xml:space="preserve"> </w:t>
      </w:r>
      <w:r w:rsidR="005315C1">
        <w:t>Using frequentist ANOVA-based analyses, we found that b</w:t>
      </w:r>
      <w:r w:rsidR="007E089D">
        <w:t xml:space="preserve">oth </w:t>
      </w:r>
      <w:r w:rsidR="005315C1">
        <w:t xml:space="preserve">measures </w:t>
      </w:r>
      <w:r w:rsidR="007E089D">
        <w:t>were able to detect statistically significant differences between providers (</w:t>
      </w:r>
      <w:r w:rsidR="007E089D">
        <w:rPr>
          <w:i/>
          <w:iCs/>
        </w:rPr>
        <w:t xml:space="preserve">F </w:t>
      </w:r>
      <w:r w:rsidR="007E089D">
        <w:t>&gt; 110 for both) with large effect sizes (</w:t>
      </w:r>
      <m:oMath>
        <m:sSup>
          <m:sSupPr>
            <m:ctrlPr>
              <w:rPr>
                <w:rFonts w:ascii="Cambria Math" w:hAnsi="Cambria Math"/>
                <w:i/>
              </w:rPr>
            </m:ctrlPr>
          </m:sSupPr>
          <m:e>
            <m:r>
              <w:rPr>
                <w:rFonts w:ascii="Cambria Math" w:hAnsi="Cambria Math"/>
              </w:rPr>
              <m:t>ω</m:t>
            </m:r>
          </m:e>
          <m:sup>
            <m:r>
              <w:rPr>
                <w:rFonts w:ascii="Cambria Math" w:hAnsi="Cambria Math"/>
              </w:rPr>
              <m:t>2</m:t>
            </m:r>
          </m:sup>
        </m:sSup>
      </m:oMath>
      <w:r w:rsidR="007E089D">
        <w:rPr>
          <w:rFonts w:eastAsiaTheme="minorEastAsia"/>
        </w:rPr>
        <w:t xml:space="preserve"> and </w:t>
      </w:r>
      <m:oMath>
        <m:sSup>
          <m:sSupPr>
            <m:ctrlPr>
              <w:rPr>
                <w:rFonts w:ascii="Cambria Math" w:eastAsiaTheme="minorEastAsia" w:hAnsi="Cambria Math"/>
                <w:i/>
              </w:rPr>
            </m:ctrlPr>
          </m:sSupPr>
          <m:e>
            <m:r>
              <w:rPr>
                <w:rFonts w:ascii="Cambria Math" w:eastAsiaTheme="minorEastAsia" w:hAnsi="Cambria Math"/>
              </w:rPr>
              <m:t>η</m:t>
            </m:r>
          </m:e>
          <m:sup>
            <m:r>
              <w:rPr>
                <w:rFonts w:ascii="Cambria Math" w:eastAsiaTheme="minorEastAsia" w:hAnsi="Cambria Math"/>
              </w:rPr>
              <m:t>2</m:t>
            </m:r>
          </m:sup>
        </m:sSup>
      </m:oMath>
      <w:r w:rsidR="007E089D">
        <w:rPr>
          <w:rFonts w:eastAsiaTheme="minorEastAsia"/>
        </w:rPr>
        <w:t xml:space="preserve"> for both measures w</w:t>
      </w:r>
      <w:r w:rsidR="005315C1">
        <w:rPr>
          <w:rFonts w:eastAsiaTheme="minorEastAsia"/>
        </w:rPr>
        <w:t>ere</w:t>
      </w:r>
      <w:r w:rsidR="007E089D">
        <w:rPr>
          <w:rFonts w:eastAsiaTheme="minorEastAsia"/>
        </w:rPr>
        <w:t xml:space="preserve"> greater than 0.2). </w:t>
      </w:r>
      <w:r w:rsidR="005315C1">
        <w:rPr>
          <w:rFonts w:eastAsiaTheme="minorEastAsia"/>
        </w:rPr>
        <w:t>We followed up t</w:t>
      </w:r>
      <w:r w:rsidR="007E089D">
        <w:rPr>
          <w:rFonts w:eastAsiaTheme="minorEastAsia"/>
        </w:rPr>
        <w:t xml:space="preserve">he </w:t>
      </w:r>
      <w:r w:rsidR="005315C1">
        <w:rPr>
          <w:rFonts w:eastAsiaTheme="minorEastAsia"/>
        </w:rPr>
        <w:t xml:space="preserve">ANOVA analyses by comparing the distributions of observed measure scores against distributions of scores generated with a stochastic process to simulate null-hypothetical scenarios where provider scores were produced by random processes (and thus unrelated to differences in provider quality). In that analysis, goodness-of-fit tests (specifically, the Kolmogorov-Smirnoff test) indicated that the distributions of observed scores were significantly different from what would be expected in the case where provider quality had no meaningful effect on scores. Thus, </w:t>
      </w:r>
      <w:r w:rsidR="00651A4D">
        <w:rPr>
          <w:rFonts w:eastAsiaTheme="minorEastAsia"/>
        </w:rPr>
        <w:t>the</w:t>
      </w:r>
      <w:r w:rsidR="005315C1">
        <w:rPr>
          <w:rFonts w:eastAsiaTheme="minorEastAsia"/>
        </w:rPr>
        <w:t xml:space="preserve"> analysis indicated that </w:t>
      </w:r>
      <w:r>
        <w:rPr>
          <w:rFonts w:eastAsiaTheme="minorEastAsia"/>
        </w:rPr>
        <w:t>MOUD</w:t>
      </w:r>
      <w:r w:rsidR="005315C1">
        <w:rPr>
          <w:rFonts w:eastAsiaTheme="minorEastAsia"/>
        </w:rPr>
        <w:t xml:space="preserve"> measure scores based on either attribution criterion were reliable.</w:t>
      </w:r>
    </w:p>
    <w:p w14:paraId="0A181EA1" w14:textId="1EFC4EFB" w:rsidR="00CC0FDF" w:rsidRDefault="005315C1">
      <w:pPr>
        <w:rPr>
          <w:rFonts w:eastAsiaTheme="minorEastAsia"/>
        </w:rPr>
      </w:pPr>
      <w:r>
        <w:rPr>
          <w:rFonts w:eastAsiaTheme="minorEastAsia"/>
        </w:rPr>
        <w:t xml:space="preserve">With both attribution criteria producing measurements </w:t>
      </w:r>
      <w:r w:rsidR="008751C8">
        <w:rPr>
          <w:rFonts w:eastAsiaTheme="minorEastAsia"/>
        </w:rPr>
        <w:t xml:space="preserve">with acceptable scientific reliability, the single criterion measure is preferred for two additional reasons. First, the </w:t>
      </w:r>
      <w:r>
        <w:rPr>
          <w:rFonts w:eastAsiaTheme="minorEastAsia"/>
        </w:rPr>
        <w:t>s</w:t>
      </w:r>
      <w:r w:rsidR="007E089D">
        <w:rPr>
          <w:rFonts w:eastAsiaTheme="minorEastAsia"/>
        </w:rPr>
        <w:t xml:space="preserve">ingle-encounter criterion </w:t>
      </w:r>
      <w:r w:rsidR="00651A4D">
        <w:rPr>
          <w:rFonts w:eastAsiaTheme="minorEastAsia"/>
        </w:rPr>
        <w:t>excludes fewer providers. In the New York Medicaid data</w:t>
      </w:r>
      <w:r w:rsidR="001221E4">
        <w:rPr>
          <w:rFonts w:eastAsiaTheme="minorEastAsia"/>
        </w:rPr>
        <w:t xml:space="preserve"> were available for </w:t>
      </w:r>
      <w:r w:rsidR="00365337">
        <w:rPr>
          <w:rFonts w:eastAsiaTheme="minorEastAsia"/>
        </w:rPr>
        <w:t xml:space="preserve">244 providers using the single-encounter criterion, while </w:t>
      </w:r>
      <w:r w:rsidR="001221E4">
        <w:rPr>
          <w:rFonts w:eastAsiaTheme="minorEastAsia"/>
        </w:rPr>
        <w:t xml:space="preserve">metrics were available for fewer providers - </w:t>
      </w:r>
      <w:r w:rsidR="00365337">
        <w:rPr>
          <w:rFonts w:eastAsiaTheme="minorEastAsia"/>
        </w:rPr>
        <w:t xml:space="preserve">230 providers </w:t>
      </w:r>
      <w:r w:rsidR="001221E4">
        <w:rPr>
          <w:rFonts w:eastAsiaTheme="minorEastAsia"/>
        </w:rPr>
        <w:t>-</w:t>
      </w:r>
      <w:r w:rsidR="00365337">
        <w:rPr>
          <w:rFonts w:eastAsiaTheme="minorEastAsia"/>
        </w:rPr>
        <w:t>using the two-</w:t>
      </w:r>
      <w:r w:rsidR="00365337">
        <w:rPr>
          <w:rFonts w:eastAsiaTheme="minorEastAsia"/>
        </w:rPr>
        <w:lastRenderedPageBreak/>
        <w:t>encounter criterion.</w:t>
      </w:r>
      <w:r w:rsidR="008751C8">
        <w:rPr>
          <w:rFonts w:eastAsiaTheme="minorEastAsia"/>
        </w:rPr>
        <w:t xml:space="preserve"> Second, t</w:t>
      </w:r>
      <w:r w:rsidR="00365337">
        <w:rPr>
          <w:rFonts w:eastAsiaTheme="minorEastAsia"/>
        </w:rPr>
        <w:t>he single-encounter criterion w</w:t>
      </w:r>
      <w:r w:rsidR="00717CDB">
        <w:rPr>
          <w:rFonts w:eastAsiaTheme="minorEastAsia"/>
        </w:rPr>
        <w:t>as</w:t>
      </w:r>
      <w:r w:rsidR="007E089D">
        <w:rPr>
          <w:rFonts w:eastAsiaTheme="minorEastAsia"/>
        </w:rPr>
        <w:t xml:space="preserve"> further justified by precedent</w:t>
      </w:r>
      <w:r w:rsidR="00380CA4">
        <w:rPr>
          <w:rFonts w:eastAsiaTheme="minorEastAsia"/>
        </w:rPr>
        <w:t xml:space="preserve">, such as </w:t>
      </w:r>
      <w:r w:rsidR="00B71E12">
        <w:rPr>
          <w:rFonts w:eastAsiaTheme="minorEastAsia"/>
        </w:rPr>
        <w:t xml:space="preserve">the fact that measures, such as </w:t>
      </w:r>
      <w:r w:rsidR="00380CA4">
        <w:rPr>
          <w:rFonts w:eastAsiaTheme="minorEastAsia"/>
        </w:rPr>
        <w:t>the</w:t>
      </w:r>
      <w:r w:rsidR="007E089D">
        <w:rPr>
          <w:rFonts w:eastAsiaTheme="minorEastAsia"/>
        </w:rPr>
        <w:t xml:space="preserve"> </w:t>
      </w:r>
      <w:r w:rsidR="00380CA4" w:rsidRPr="00380CA4">
        <w:rPr>
          <w:rFonts w:eastAsiaTheme="minorEastAsia"/>
        </w:rPr>
        <w:t xml:space="preserve">Diabetes Mellitus: Diabetic Foot and Ankle Care, Peripheral Neuropathy </w:t>
      </w:r>
      <w:r w:rsidR="00380CA4">
        <w:rPr>
          <w:rFonts w:eastAsiaTheme="minorEastAsia"/>
        </w:rPr>
        <w:t>measure</w:t>
      </w:r>
      <w:r w:rsidR="00B71E12">
        <w:rPr>
          <w:rFonts w:eastAsiaTheme="minorEastAsia"/>
        </w:rPr>
        <w:t>, use one encounter with a provider as the basis for attribution</w:t>
      </w:r>
      <w:r w:rsidR="00380CA4">
        <w:rPr>
          <w:rFonts w:eastAsiaTheme="minorEastAsia"/>
        </w:rPr>
        <w:t>.</w:t>
      </w:r>
      <w:r w:rsidR="007E089D">
        <w:rPr>
          <w:rFonts w:eastAsiaTheme="minorEastAsia"/>
        </w:rPr>
        <w:t xml:space="preserve"> </w:t>
      </w:r>
      <w:r w:rsidR="008751C8">
        <w:rPr>
          <w:rFonts w:eastAsiaTheme="minorEastAsia"/>
        </w:rPr>
        <w:t>T</w:t>
      </w:r>
      <w:r w:rsidR="007E089D">
        <w:rPr>
          <w:rFonts w:eastAsiaTheme="minorEastAsia"/>
        </w:rPr>
        <w:t>herefore</w:t>
      </w:r>
      <w:r w:rsidR="008751C8">
        <w:rPr>
          <w:rFonts w:eastAsiaTheme="minorEastAsia"/>
        </w:rPr>
        <w:t>, we selected the single-encounter criterion</w:t>
      </w:r>
      <w:r w:rsidR="007E089D">
        <w:rPr>
          <w:rFonts w:eastAsiaTheme="minorEastAsia"/>
        </w:rPr>
        <w:t xml:space="preserve"> for the current measure specifications.</w:t>
      </w:r>
      <w:r w:rsidR="00EC5177">
        <w:rPr>
          <w:rFonts w:eastAsiaTheme="minorEastAsia"/>
        </w:rPr>
        <w:t xml:space="preserve"> </w:t>
      </w:r>
    </w:p>
    <w:sectPr w:rsidR="00CC0F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DC1EB" w14:textId="77777777" w:rsidR="00717CDB" w:rsidRDefault="00717CDB" w:rsidP="00717CDB">
      <w:pPr>
        <w:spacing w:after="0" w:line="240" w:lineRule="auto"/>
      </w:pPr>
      <w:r>
        <w:separator/>
      </w:r>
    </w:p>
  </w:endnote>
  <w:endnote w:type="continuationSeparator" w:id="0">
    <w:p w14:paraId="75E683FF" w14:textId="77777777" w:rsidR="00717CDB" w:rsidRDefault="00717CDB" w:rsidP="00717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DF9C1" w14:textId="77777777" w:rsidR="00717CDB" w:rsidRDefault="00717CDB" w:rsidP="00717CDB">
      <w:pPr>
        <w:spacing w:after="0" w:line="240" w:lineRule="auto"/>
      </w:pPr>
      <w:r>
        <w:separator/>
      </w:r>
    </w:p>
  </w:footnote>
  <w:footnote w:type="continuationSeparator" w:id="0">
    <w:p w14:paraId="7043071E" w14:textId="77777777" w:rsidR="00717CDB" w:rsidRDefault="00717CDB" w:rsidP="00717CDB">
      <w:pPr>
        <w:spacing w:after="0" w:line="240" w:lineRule="auto"/>
      </w:pPr>
      <w:r>
        <w:continuationSeparator/>
      </w:r>
    </w:p>
  </w:footnote>
  <w:footnote w:id="1">
    <w:p w14:paraId="1627A387" w14:textId="1B8729D1" w:rsidR="00532C8E" w:rsidRDefault="00532C8E" w:rsidP="00532C8E">
      <w:pPr>
        <w:pStyle w:val="FootnoteText"/>
      </w:pPr>
      <w:r>
        <w:rPr>
          <w:rStyle w:val="FootnoteReference"/>
        </w:rPr>
        <w:footnoteRef/>
      </w:r>
      <w:r>
        <w:t xml:space="preserve"> Accurately Assigning Accountability for Patient Care: NQF’s Guide to Selecting an Attribution Model</w:t>
      </w:r>
    </w:p>
  </w:footnote>
  <w:footnote w:id="2">
    <w:p w14:paraId="7B685E61" w14:textId="48BE7A75" w:rsidR="0066416E" w:rsidRDefault="0066416E">
      <w:pPr>
        <w:pStyle w:val="FootnoteText"/>
      </w:pPr>
      <w:r>
        <w:rPr>
          <w:rStyle w:val="FootnoteReference"/>
        </w:rPr>
        <w:footnoteRef/>
      </w:r>
      <w:r>
        <w:t xml:space="preserve"> </w:t>
      </w:r>
      <w:r w:rsidRPr="0066416E">
        <w:t>American Society of Addiction Medicine (2014). The ASAM Performance Measures for the Addiction Specialist Physician. Retrieved from https://www.asam.org/docs/default-source/advocacy/performance-measures-for-the-addiction-specialist-physician.pdf</w:t>
      </w:r>
    </w:p>
  </w:footnote>
  <w:footnote w:id="3">
    <w:p w14:paraId="44023C76" w14:textId="44534BE6" w:rsidR="00A731FB" w:rsidRDefault="00A731FB">
      <w:pPr>
        <w:pStyle w:val="FootnoteText"/>
      </w:pPr>
      <w:r>
        <w:rPr>
          <w:rStyle w:val="FootnoteReference"/>
        </w:rPr>
        <w:footnoteRef/>
      </w:r>
      <w:r>
        <w:t xml:space="preserve"> </w:t>
      </w:r>
      <w:r w:rsidR="00B71E12">
        <w:t xml:space="preserve">CMS </w:t>
      </w:r>
      <w:r w:rsidRPr="00A731FB">
        <w:t>https://www.medicaid.gov/state-resource-center/medicaid-state-technical-assistance/health-home-information-resource-center/downloads/2020-health-home-core-set.pdf</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FDF"/>
    <w:rsid w:val="0009457B"/>
    <w:rsid w:val="001221E4"/>
    <w:rsid w:val="00260E22"/>
    <w:rsid w:val="00282067"/>
    <w:rsid w:val="00345512"/>
    <w:rsid w:val="00365337"/>
    <w:rsid w:val="00380CA4"/>
    <w:rsid w:val="0040262F"/>
    <w:rsid w:val="005315C1"/>
    <w:rsid w:val="00532C8E"/>
    <w:rsid w:val="005F297D"/>
    <w:rsid w:val="00651A4D"/>
    <w:rsid w:val="0066416E"/>
    <w:rsid w:val="00717CDB"/>
    <w:rsid w:val="007403B7"/>
    <w:rsid w:val="0075446A"/>
    <w:rsid w:val="007B7C18"/>
    <w:rsid w:val="007E089D"/>
    <w:rsid w:val="00864B9B"/>
    <w:rsid w:val="008751C8"/>
    <w:rsid w:val="00885A2C"/>
    <w:rsid w:val="008A5F7C"/>
    <w:rsid w:val="00A45E79"/>
    <w:rsid w:val="00A65514"/>
    <w:rsid w:val="00A731FB"/>
    <w:rsid w:val="00B71E12"/>
    <w:rsid w:val="00BD03CC"/>
    <w:rsid w:val="00C12D5B"/>
    <w:rsid w:val="00C929F4"/>
    <w:rsid w:val="00C94A9F"/>
    <w:rsid w:val="00CC0FDF"/>
    <w:rsid w:val="00CD0FCE"/>
    <w:rsid w:val="00D667BB"/>
    <w:rsid w:val="00EC5177"/>
    <w:rsid w:val="00F37A8F"/>
    <w:rsid w:val="00FC5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3A280"/>
  <w15:chartTrackingRefBased/>
  <w15:docId w15:val="{4831710D-CD93-4E10-874A-53DF7989A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0F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0FDF"/>
    <w:rPr>
      <w:rFonts w:ascii="Segoe UI" w:hAnsi="Segoe UI" w:cs="Segoe UI"/>
      <w:sz w:val="18"/>
      <w:szCs w:val="18"/>
    </w:rPr>
  </w:style>
  <w:style w:type="character" w:styleId="PlaceholderText">
    <w:name w:val="Placeholder Text"/>
    <w:basedOn w:val="DefaultParagraphFont"/>
    <w:uiPriority w:val="99"/>
    <w:semiHidden/>
    <w:rsid w:val="007E089D"/>
    <w:rPr>
      <w:color w:val="808080"/>
    </w:rPr>
  </w:style>
  <w:style w:type="paragraph" w:styleId="FootnoteText">
    <w:name w:val="footnote text"/>
    <w:basedOn w:val="Normal"/>
    <w:link w:val="FootnoteTextChar"/>
    <w:uiPriority w:val="99"/>
    <w:semiHidden/>
    <w:unhideWhenUsed/>
    <w:rsid w:val="00717C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7CDB"/>
    <w:rPr>
      <w:sz w:val="20"/>
      <w:szCs w:val="20"/>
    </w:rPr>
  </w:style>
  <w:style w:type="character" w:styleId="FootnoteReference">
    <w:name w:val="footnote reference"/>
    <w:basedOn w:val="DefaultParagraphFont"/>
    <w:uiPriority w:val="99"/>
    <w:semiHidden/>
    <w:unhideWhenUsed/>
    <w:rsid w:val="00717CDB"/>
    <w:rPr>
      <w:vertAlign w:val="superscript"/>
    </w:rPr>
  </w:style>
  <w:style w:type="character" w:styleId="CommentReference">
    <w:name w:val="annotation reference"/>
    <w:basedOn w:val="DefaultParagraphFont"/>
    <w:uiPriority w:val="99"/>
    <w:semiHidden/>
    <w:unhideWhenUsed/>
    <w:rsid w:val="00C12D5B"/>
    <w:rPr>
      <w:sz w:val="16"/>
      <w:szCs w:val="16"/>
    </w:rPr>
  </w:style>
  <w:style w:type="paragraph" w:styleId="CommentText">
    <w:name w:val="annotation text"/>
    <w:basedOn w:val="Normal"/>
    <w:link w:val="CommentTextChar"/>
    <w:uiPriority w:val="99"/>
    <w:semiHidden/>
    <w:unhideWhenUsed/>
    <w:rsid w:val="00C12D5B"/>
    <w:pPr>
      <w:spacing w:line="240" w:lineRule="auto"/>
    </w:pPr>
    <w:rPr>
      <w:sz w:val="20"/>
      <w:szCs w:val="20"/>
    </w:rPr>
  </w:style>
  <w:style w:type="character" w:customStyle="1" w:styleId="CommentTextChar">
    <w:name w:val="Comment Text Char"/>
    <w:basedOn w:val="DefaultParagraphFont"/>
    <w:link w:val="CommentText"/>
    <w:uiPriority w:val="99"/>
    <w:semiHidden/>
    <w:rsid w:val="00C12D5B"/>
    <w:rPr>
      <w:sz w:val="20"/>
      <w:szCs w:val="20"/>
    </w:rPr>
  </w:style>
  <w:style w:type="paragraph" w:styleId="CommentSubject">
    <w:name w:val="annotation subject"/>
    <w:basedOn w:val="CommentText"/>
    <w:next w:val="CommentText"/>
    <w:link w:val="CommentSubjectChar"/>
    <w:uiPriority w:val="99"/>
    <w:semiHidden/>
    <w:unhideWhenUsed/>
    <w:rsid w:val="00C12D5B"/>
    <w:rPr>
      <w:b/>
      <w:bCs/>
    </w:rPr>
  </w:style>
  <w:style w:type="character" w:customStyle="1" w:styleId="CommentSubjectChar">
    <w:name w:val="Comment Subject Char"/>
    <w:basedOn w:val="CommentTextChar"/>
    <w:link w:val="CommentSubject"/>
    <w:uiPriority w:val="99"/>
    <w:semiHidden/>
    <w:rsid w:val="00C12D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1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3F4FE-3FC1-4C86-895D-A2897EA6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Barch, Daniel</dc:creator>
  <cp:keywords/>
  <dc:description/>
  <cp:lastModifiedBy>Mark, Tami</cp:lastModifiedBy>
  <cp:revision>7</cp:revision>
  <dcterms:created xsi:type="dcterms:W3CDTF">2020-07-14T01:56:00Z</dcterms:created>
  <dcterms:modified xsi:type="dcterms:W3CDTF">2020-10-29T15:30:00Z</dcterms:modified>
</cp:coreProperties>
</file>