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4F235" w14:textId="77777777" w:rsidR="007A74C2" w:rsidRDefault="00184A5C">
      <w:pPr>
        <w:spacing w:after="0"/>
        <w:ind w:left="45"/>
        <w:jc w:val="cente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 xml:space="preserve">—Evidence (subcriterion 1a)  </w:t>
      </w:r>
    </w:p>
    <w:p w14:paraId="03ECC369" w14:textId="77777777" w:rsidR="007A74C2" w:rsidRDefault="00184A5C">
      <w:pPr>
        <w:spacing w:after="0"/>
        <w:ind w:left="355"/>
      </w:pPr>
      <w:r>
        <w:t xml:space="preserve"> </w:t>
      </w:r>
    </w:p>
    <w:p w14:paraId="2D1132B1" w14:textId="7294C771" w:rsidR="007A74C2" w:rsidRDefault="00184A5C">
      <w:pPr>
        <w:spacing w:after="10" w:line="248" w:lineRule="auto"/>
        <w:ind w:left="350" w:right="2664" w:hanging="10"/>
      </w:pPr>
      <w:r>
        <w:rPr>
          <w:b/>
        </w:rPr>
        <w:t xml:space="preserve">Measure Number </w:t>
      </w:r>
      <w:r>
        <w:t>(</w:t>
      </w:r>
      <w:r>
        <w:rPr>
          <w:i/>
        </w:rPr>
        <w:t>if previously endorsed</w:t>
      </w:r>
      <w:r>
        <w:t>)</w:t>
      </w:r>
      <w:r>
        <w:rPr>
          <w:b/>
        </w:rPr>
        <w:t xml:space="preserve">: </w:t>
      </w:r>
      <w:r>
        <w:rPr>
          <w:color w:val="818181"/>
        </w:rPr>
        <w:t>Click here to enter NQF number</w:t>
      </w:r>
      <w:r>
        <w:rPr>
          <w:b/>
        </w:rPr>
        <w:t xml:space="preserve"> Measure Title</w:t>
      </w:r>
      <w:r>
        <w:t xml:space="preserve">: </w:t>
      </w:r>
      <w:bookmarkStart w:id="0" w:name="_Hlk37682687"/>
      <w:r w:rsidR="002E3E79" w:rsidRPr="002E3E79">
        <w:rPr>
          <w:rFonts w:eastAsia="Times New Roman" w:cs="Times New Roman"/>
          <w:color w:val="0000FF"/>
        </w:rPr>
        <w:t xml:space="preserve">Continuity of Care After Receiving Hospital or Residential </w:t>
      </w:r>
      <w:r w:rsidR="00E819B6">
        <w:rPr>
          <w:rFonts w:eastAsia="Times New Roman" w:cs="Times New Roman"/>
          <w:color w:val="0000FF"/>
        </w:rPr>
        <w:t>Substance Use Disorder (</w:t>
      </w:r>
      <w:r w:rsidR="002E3E79" w:rsidRPr="002E3E79">
        <w:rPr>
          <w:rFonts w:eastAsia="Times New Roman" w:cs="Times New Roman"/>
          <w:color w:val="0000FF"/>
        </w:rPr>
        <w:t>SUD</w:t>
      </w:r>
      <w:r w:rsidR="00E819B6">
        <w:rPr>
          <w:rFonts w:eastAsia="Times New Roman" w:cs="Times New Roman"/>
          <w:color w:val="0000FF"/>
        </w:rPr>
        <w:t>)</w:t>
      </w:r>
      <w:r w:rsidR="002E3E79" w:rsidRPr="002E3E79">
        <w:rPr>
          <w:rFonts w:eastAsia="Times New Roman" w:cs="Times New Roman"/>
          <w:color w:val="0000FF"/>
        </w:rPr>
        <w:t xml:space="preserve"> </w:t>
      </w:r>
      <w:r w:rsidR="002E3E79">
        <w:rPr>
          <w:rFonts w:eastAsia="Times New Roman" w:cs="Times New Roman"/>
          <w:color w:val="0000FF"/>
        </w:rPr>
        <w:t>T</w:t>
      </w:r>
      <w:r w:rsidR="002E3E79" w:rsidRPr="002E3E79">
        <w:rPr>
          <w:rFonts w:eastAsia="Times New Roman" w:cs="Times New Roman"/>
          <w:color w:val="0000FF"/>
        </w:rPr>
        <w:t>reatment</w:t>
      </w:r>
      <w:bookmarkEnd w:id="0"/>
    </w:p>
    <w:p w14:paraId="07D275D7" w14:textId="77777777" w:rsidR="007A74C2" w:rsidRDefault="00184A5C">
      <w:pPr>
        <w:spacing w:after="5" w:line="249" w:lineRule="auto"/>
        <w:ind w:left="350" w:right="209" w:hanging="10"/>
      </w:pPr>
      <w:r>
        <w:rPr>
          <w:b/>
        </w:rPr>
        <w:t xml:space="preserve">IF the measure is a component in a composite performance measure, provide the title of the </w:t>
      </w:r>
    </w:p>
    <w:p w14:paraId="2FFF5BCC" w14:textId="234EB602" w:rsidR="007A74C2" w:rsidRDefault="00184A5C">
      <w:pPr>
        <w:spacing w:after="10" w:line="248" w:lineRule="auto"/>
        <w:ind w:left="350" w:right="2664" w:hanging="10"/>
      </w:pPr>
      <w:r>
        <w:rPr>
          <w:b/>
        </w:rPr>
        <w:t>Composite Measure here:</w:t>
      </w:r>
      <w:r>
        <w:t xml:space="preserve"> </w:t>
      </w:r>
      <w:r>
        <w:rPr>
          <w:color w:val="A7A8A8"/>
        </w:rPr>
        <w:t>Click here to enter composite measure #/ title</w:t>
      </w:r>
      <w:r>
        <w:rPr>
          <w:b/>
        </w:rPr>
        <w:t xml:space="preserve"> Date of Submission</w:t>
      </w:r>
      <w:r>
        <w:t xml:space="preserve">:  </w:t>
      </w:r>
      <w:r w:rsidR="00F96DA7">
        <w:t>10/30/2020</w:t>
      </w:r>
      <w:r>
        <w:t xml:space="preserve"> </w:t>
      </w:r>
    </w:p>
    <w:p w14:paraId="72717EC4" w14:textId="77777777" w:rsidR="007A74C2" w:rsidRDefault="00184A5C">
      <w:pPr>
        <w:spacing w:after="0"/>
        <w:ind w:left="355"/>
      </w:pPr>
      <w:r>
        <w:t xml:space="preserve"> </w:t>
      </w:r>
    </w:p>
    <w:tbl>
      <w:tblPr>
        <w:tblStyle w:val="TableGrid"/>
        <w:tblW w:w="10286" w:type="dxa"/>
        <w:tblInd w:w="-108" w:type="dxa"/>
        <w:tblCellMar>
          <w:top w:w="48" w:type="dxa"/>
          <w:left w:w="108" w:type="dxa"/>
          <w:right w:w="115" w:type="dxa"/>
        </w:tblCellMar>
        <w:tblLook w:val="04A0" w:firstRow="1" w:lastRow="0" w:firstColumn="1" w:lastColumn="0" w:noHBand="0" w:noVBand="1"/>
      </w:tblPr>
      <w:tblGrid>
        <w:gridCol w:w="10286"/>
      </w:tblGrid>
      <w:tr w:rsidR="007A74C2" w14:paraId="21C3029E" w14:textId="77777777">
        <w:trPr>
          <w:trHeight w:val="3305"/>
        </w:trPr>
        <w:tc>
          <w:tcPr>
            <w:tcW w:w="10286" w:type="dxa"/>
            <w:tcBorders>
              <w:top w:val="single" w:sz="4" w:space="0" w:color="000000"/>
              <w:left w:val="single" w:sz="4" w:space="0" w:color="000000"/>
              <w:bottom w:val="single" w:sz="4" w:space="0" w:color="000000"/>
              <w:right w:val="single" w:sz="4" w:space="0" w:color="000000"/>
            </w:tcBorders>
          </w:tcPr>
          <w:p w14:paraId="0719275B" w14:textId="77777777" w:rsidR="007A74C2" w:rsidRDefault="00184A5C">
            <w:pPr>
              <w:spacing w:after="53"/>
            </w:pPr>
            <w:r>
              <w:rPr>
                <w:b/>
              </w:rPr>
              <w:t>Instructions</w:t>
            </w:r>
            <w:r>
              <w:rPr>
                <w:b/>
                <w:i/>
              </w:rPr>
              <w:t xml:space="preserve"> </w:t>
            </w:r>
          </w:p>
          <w:p w14:paraId="6B07952A" w14:textId="77777777" w:rsidR="007A74C2" w:rsidRDefault="00184A5C">
            <w:pPr>
              <w:numPr>
                <w:ilvl w:val="0"/>
                <w:numId w:val="3"/>
              </w:numPr>
              <w:spacing w:after="40"/>
              <w:ind w:hanging="360"/>
            </w:pPr>
            <w:r>
              <w:rPr>
                <w:i/>
              </w:rPr>
              <w:t xml:space="preserve">Complete 1a.1 and 1a.2 for all measures. If instrument-based measure, complete 1a.3. </w:t>
            </w:r>
          </w:p>
          <w:p w14:paraId="1CF2548F" w14:textId="77777777" w:rsidR="007A74C2" w:rsidRDefault="00184A5C">
            <w:pPr>
              <w:numPr>
                <w:ilvl w:val="0"/>
                <w:numId w:val="3"/>
              </w:numPr>
              <w:spacing w:after="40"/>
              <w:ind w:hanging="360"/>
            </w:pPr>
            <w:r>
              <w:rPr>
                <w:i/>
              </w:rPr>
              <w:t xml:space="preserve">Complete </w:t>
            </w:r>
            <w:r>
              <w:rPr>
                <w:b/>
                <w:i/>
              </w:rPr>
              <w:t xml:space="preserve">EITHER 1a.2, 1a.3 or 1a.4 </w:t>
            </w:r>
            <w:r>
              <w:rPr>
                <w:i/>
              </w:rPr>
              <w:t xml:space="preserve">as applicable for the type of measure and evidence. </w:t>
            </w:r>
          </w:p>
          <w:p w14:paraId="17A2C5CC" w14:textId="77777777" w:rsidR="007A74C2" w:rsidRDefault="00184A5C">
            <w:pPr>
              <w:numPr>
                <w:ilvl w:val="0"/>
                <w:numId w:val="3"/>
              </w:numPr>
              <w:spacing w:after="27"/>
              <w:ind w:hanging="360"/>
            </w:pPr>
            <w:r>
              <w:rPr>
                <w:i/>
              </w:rPr>
              <w:t xml:space="preserve">For composite performance measures:   </w:t>
            </w:r>
          </w:p>
          <w:p w14:paraId="5A8AE066" w14:textId="77777777" w:rsidR="007A74C2" w:rsidRDefault="00184A5C">
            <w:pPr>
              <w:numPr>
                <w:ilvl w:val="1"/>
                <w:numId w:val="3"/>
              </w:numPr>
              <w:spacing w:line="319" w:lineRule="auto"/>
              <w:ind w:hanging="360"/>
            </w:pPr>
            <w:r>
              <w:rPr>
                <w:i/>
              </w:rPr>
              <w:t xml:space="preserve">A separate evidence form is required for each component measure unless several components were studied together. </w:t>
            </w:r>
          </w:p>
          <w:p w14:paraId="1CCF993A" w14:textId="77777777" w:rsidR="007A74C2" w:rsidRDefault="00184A5C">
            <w:pPr>
              <w:numPr>
                <w:ilvl w:val="1"/>
                <w:numId w:val="3"/>
              </w:numPr>
              <w:spacing w:line="319" w:lineRule="auto"/>
              <w:ind w:hanging="360"/>
            </w:pPr>
            <w:r>
              <w:rPr>
                <w:i/>
              </w:rPr>
              <w:t xml:space="preserve">If a component measure is submitted as an individual performance measure, attach the evidence form to the individual measure submission. </w:t>
            </w:r>
          </w:p>
          <w:p w14:paraId="6335F653" w14:textId="77777777" w:rsidR="007A74C2" w:rsidRDefault="00184A5C">
            <w:pPr>
              <w:numPr>
                <w:ilvl w:val="0"/>
                <w:numId w:val="3"/>
              </w:numPr>
              <w:spacing w:after="63" w:line="250" w:lineRule="auto"/>
              <w:ind w:hanging="360"/>
            </w:pPr>
            <w:r>
              <w:t xml:space="preserve">All information needed to demonstrate meeting the evidence subcriterion (1a) must be in this form.  An appendix of </w:t>
            </w:r>
            <w:r>
              <w:rPr>
                <w:i/>
              </w:rPr>
              <w:t>supplemental</w:t>
            </w:r>
            <w:r>
              <w:t xml:space="preserve"> materials may be submitted, but there is no guarantee it will be reviewed. </w:t>
            </w:r>
          </w:p>
          <w:p w14:paraId="2837A718" w14:textId="77777777" w:rsidR="007A74C2" w:rsidRDefault="00184A5C">
            <w:pPr>
              <w:numPr>
                <w:ilvl w:val="0"/>
                <w:numId w:val="3"/>
              </w:numPr>
              <w:spacing w:after="40"/>
              <w:ind w:hanging="360"/>
            </w:pPr>
            <w:r>
              <w:t xml:space="preserve">If you are unable to check a box, please highlight or shade the box for your response. </w:t>
            </w:r>
          </w:p>
          <w:p w14:paraId="7A120E7E" w14:textId="77777777" w:rsidR="007A74C2" w:rsidRDefault="00184A5C">
            <w:pPr>
              <w:numPr>
                <w:ilvl w:val="0"/>
                <w:numId w:val="3"/>
              </w:numPr>
              <w:ind w:hanging="360"/>
            </w:pPr>
            <w:r>
              <w:t xml:space="preserve">Contact NQF staff regarding questions. Check for resources at </w:t>
            </w:r>
            <w:hyperlink r:id="rId11">
              <w:r>
                <w:rPr>
                  <w:color w:val="0000FF"/>
                  <w:u w:val="single" w:color="0000FF"/>
                </w:rPr>
                <w:t>Submitting Standards webpage</w:t>
              </w:r>
            </w:hyperlink>
            <w:hyperlink r:id="rId12">
              <w:r>
                <w:t>.</w:t>
              </w:r>
            </w:hyperlink>
            <w:r>
              <w:t xml:space="preserve"> </w:t>
            </w:r>
          </w:p>
        </w:tc>
      </w:tr>
    </w:tbl>
    <w:p w14:paraId="51483134" w14:textId="77777777" w:rsidR="007A74C2" w:rsidRDefault="00184A5C">
      <w:pPr>
        <w:spacing w:after="0"/>
        <w:ind w:left="355"/>
      </w:pPr>
      <w:r>
        <w:t xml:space="preserve"> </w:t>
      </w:r>
    </w:p>
    <w:p w14:paraId="59946E82"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u w:val="single" w:color="000000"/>
        </w:rPr>
        <w:t>Note</w:t>
      </w:r>
      <w:r>
        <w:rPr>
          <w:b/>
          <w:sz w:val="20"/>
        </w:rPr>
        <w:t>: The information provided in this form is intended to aid the Standing Committee and other stakeholders in understanding to what degree the evidence for this measure meets NQF’s evaluation criteria.</w:t>
      </w:r>
      <w:r>
        <w:rPr>
          <w:sz w:val="20"/>
        </w:rPr>
        <w:t xml:space="preserve"> </w:t>
      </w:r>
    </w:p>
    <w:p w14:paraId="2E604A2B" w14:textId="77777777" w:rsidR="007A74C2" w:rsidRDefault="00184A5C">
      <w:pPr>
        <w:pBdr>
          <w:top w:val="single" w:sz="4" w:space="0" w:color="000000"/>
          <w:left w:val="single" w:sz="4" w:space="0" w:color="000000"/>
          <w:bottom w:val="single" w:sz="4" w:space="0" w:color="000000"/>
          <w:right w:val="single" w:sz="4" w:space="0" w:color="000000"/>
        </w:pBdr>
        <w:spacing w:after="0"/>
        <w:ind w:left="-15"/>
      </w:pPr>
      <w:r>
        <w:rPr>
          <w:sz w:val="20"/>
        </w:rPr>
        <w:t xml:space="preserve"> </w:t>
      </w:r>
    </w:p>
    <w:p w14:paraId="3F0A1E66"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rPr>
        <w:t xml:space="preserve">1a. Evidence to Support the Measure Focus   </w:t>
      </w:r>
    </w:p>
    <w:p w14:paraId="023D138A" w14:textId="77777777" w:rsidR="007A74C2" w:rsidRDefault="00184A5C">
      <w:pPr>
        <w:pBdr>
          <w:top w:val="single" w:sz="4" w:space="0" w:color="000000"/>
          <w:left w:val="single" w:sz="4" w:space="0" w:color="000000"/>
          <w:bottom w:val="single" w:sz="4" w:space="0" w:color="000000"/>
          <w:right w:val="single" w:sz="4" w:space="0" w:color="000000"/>
        </w:pBdr>
        <w:spacing w:after="50" w:line="247" w:lineRule="auto"/>
        <w:ind w:left="-15"/>
      </w:pPr>
      <w:r>
        <w:rPr>
          <w:sz w:val="20"/>
        </w:rPr>
        <w:t xml:space="preserve">The measure focus is evidence-based, demonstrated as follows:  </w:t>
      </w:r>
    </w:p>
    <w:p w14:paraId="7C23387F"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61" w:line="247" w:lineRule="auto"/>
        <w:ind w:left="201" w:hanging="216"/>
      </w:pPr>
      <w:r>
        <w:rPr>
          <w:sz w:val="20"/>
          <w:u w:val="single" w:color="000000"/>
        </w:rPr>
        <w:t>Outcome</w:t>
      </w:r>
      <w:r>
        <w:rPr>
          <w:color w:val="0000FF"/>
          <w:sz w:val="20"/>
        </w:rPr>
        <w:t xml:space="preserve">: </w:t>
      </w:r>
      <w:r>
        <w:rPr>
          <w:b/>
          <w:color w:val="0000FF"/>
          <w:sz w:val="20"/>
          <w:u w:val="single" w:color="0000FF"/>
          <w:vertAlign w:val="superscript"/>
        </w:rPr>
        <w:t>3</w:t>
      </w:r>
      <w:r>
        <w:rPr>
          <w:color w:val="0000FF"/>
          <w:sz w:val="20"/>
        </w:rPr>
        <w:t xml:space="preserve"> </w:t>
      </w:r>
      <w:r>
        <w:rPr>
          <w:sz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6E3B5626"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84" w:line="247" w:lineRule="auto"/>
        <w:ind w:left="201" w:hanging="216"/>
      </w:pPr>
      <w:r>
        <w:rPr>
          <w:sz w:val="20"/>
          <w:u w:val="single" w:color="000000"/>
        </w:rPr>
        <w:t>Intermediate clinical outcome</w:t>
      </w:r>
      <w:r>
        <w:rPr>
          <w:sz w:val="20"/>
        </w:rPr>
        <w:t xml:space="preserve">: a systematic assessment and grading of the quantity, quality, and consistency of the body of evidence </w:t>
      </w:r>
      <w:r>
        <w:rPr>
          <w:b/>
          <w:color w:val="0000FF"/>
          <w:sz w:val="20"/>
          <w:u w:val="single" w:color="0000FF"/>
          <w:vertAlign w:val="superscript"/>
        </w:rPr>
        <w:t>4</w:t>
      </w:r>
      <w:r>
        <w:rPr>
          <w:b/>
          <w:sz w:val="20"/>
          <w:vertAlign w:val="superscript"/>
        </w:rPr>
        <w:t xml:space="preserve"> </w:t>
      </w:r>
      <w:r>
        <w:rPr>
          <w:sz w:val="20"/>
        </w:rPr>
        <w:t xml:space="preserve">that the measured intermediate clinical outcome leads to a desired health outcome. </w:t>
      </w:r>
    </w:p>
    <w:p w14:paraId="7564E3DE"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40" w:line="247" w:lineRule="auto"/>
        <w:ind w:left="201" w:hanging="216"/>
      </w:pPr>
      <w:r>
        <w:rPr>
          <w:sz w:val="20"/>
          <w:u w:val="single" w:color="000000"/>
        </w:rPr>
        <w:t>Process</w:t>
      </w:r>
      <w:r>
        <w:rPr>
          <w:sz w:val="20"/>
        </w:rPr>
        <w:t xml:space="preserve">: </w:t>
      </w:r>
      <w:r>
        <w:rPr>
          <w:b/>
          <w:color w:val="0000FF"/>
          <w:sz w:val="20"/>
          <w:u w:val="single" w:color="0000FF"/>
          <w:vertAlign w:val="superscript"/>
        </w:rPr>
        <w:t>5</w:t>
      </w:r>
      <w:r>
        <w:rPr>
          <w:sz w:val="20"/>
        </w:rPr>
        <w:t xml:space="preserve"> a systematic assessment and grading of the quantity, quality, and consistency of the body of evidence </w:t>
      </w:r>
      <w:r>
        <w:rPr>
          <w:b/>
          <w:color w:val="0000FF"/>
          <w:sz w:val="20"/>
          <w:u w:val="single" w:color="0000FF"/>
          <w:vertAlign w:val="superscript"/>
        </w:rPr>
        <w:t>4</w:t>
      </w:r>
      <w:r>
        <w:rPr>
          <w:sz w:val="20"/>
        </w:rPr>
        <w:t xml:space="preserve"> that the measured process leads to a desired health outcome. </w:t>
      </w:r>
    </w:p>
    <w:p w14:paraId="3A86A36D"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47" w:line="247" w:lineRule="auto"/>
        <w:ind w:left="201" w:hanging="216"/>
      </w:pPr>
      <w:r>
        <w:rPr>
          <w:sz w:val="20"/>
          <w:u w:val="single" w:color="000000"/>
        </w:rPr>
        <w:t>Structure</w:t>
      </w:r>
      <w:r>
        <w:rPr>
          <w:sz w:val="20"/>
        </w:rPr>
        <w:t xml:space="preserve">: a systematic assessment and grading of the quantity, quality, and consistency of the body of evidence </w:t>
      </w:r>
      <w:r>
        <w:rPr>
          <w:b/>
          <w:color w:val="0000FF"/>
          <w:sz w:val="20"/>
          <w:u w:val="single" w:color="0000FF"/>
          <w:vertAlign w:val="superscript"/>
        </w:rPr>
        <w:t>4</w:t>
      </w:r>
      <w:r>
        <w:rPr>
          <w:b/>
          <w:sz w:val="20"/>
          <w:vertAlign w:val="superscript"/>
        </w:rPr>
        <w:t xml:space="preserve"> </w:t>
      </w:r>
      <w:r>
        <w:rPr>
          <w:sz w:val="20"/>
        </w:rPr>
        <w:t xml:space="preserve"> that the measured structure leads to a desired health outcome. </w:t>
      </w:r>
    </w:p>
    <w:p w14:paraId="5A38561A"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58" w:line="247" w:lineRule="auto"/>
        <w:ind w:left="201" w:hanging="216"/>
      </w:pPr>
      <w:r>
        <w:rPr>
          <w:sz w:val="20"/>
          <w:u w:val="single" w:color="000000"/>
        </w:rPr>
        <w:t>Efficiency</w:t>
      </w:r>
      <w:r>
        <w:rPr>
          <w:sz w:val="20"/>
        </w:rPr>
        <w:t xml:space="preserve">: </w:t>
      </w:r>
      <w:r>
        <w:rPr>
          <w:b/>
          <w:color w:val="0000FF"/>
          <w:sz w:val="20"/>
          <w:u w:val="single" w:color="0000FF"/>
          <w:vertAlign w:val="superscript"/>
        </w:rPr>
        <w:t>6</w:t>
      </w:r>
      <w:r>
        <w:rPr>
          <w:sz w:val="20"/>
        </w:rPr>
        <w:t xml:space="preserve"> evidence not required for the resource use component.  </w:t>
      </w:r>
    </w:p>
    <w:p w14:paraId="3E4C048E"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60" w:line="247" w:lineRule="auto"/>
        <w:ind w:left="201" w:hanging="216"/>
      </w:pPr>
      <w:r>
        <w:rPr>
          <w:sz w:val="20"/>
        </w:rPr>
        <w:t xml:space="preserve">For measures derived from </w:t>
      </w:r>
      <w:r>
        <w:rPr>
          <w:sz w:val="20"/>
          <w:u w:val="single" w:color="000000"/>
        </w:rPr>
        <w:t>patient reports</w:t>
      </w:r>
      <w:r>
        <w:rPr>
          <w:sz w:val="20"/>
        </w:rPr>
        <w:t xml:space="preserve">, evidence should demonstrate that the target population values the measured outcome, process, or structure and finds it meaningful. </w:t>
      </w:r>
    </w:p>
    <w:p w14:paraId="05577EA7" w14:textId="77777777" w:rsidR="007A74C2" w:rsidRDefault="00184A5C">
      <w:pPr>
        <w:numPr>
          <w:ilvl w:val="0"/>
          <w:numId w:val="1"/>
        </w:numPr>
        <w:pBdr>
          <w:top w:val="single" w:sz="4" w:space="0" w:color="000000"/>
          <w:left w:val="single" w:sz="4" w:space="0" w:color="000000"/>
          <w:bottom w:val="single" w:sz="4" w:space="0" w:color="000000"/>
          <w:right w:val="single" w:sz="4" w:space="0" w:color="000000"/>
        </w:pBdr>
        <w:spacing w:after="3" w:line="247" w:lineRule="auto"/>
        <w:ind w:left="201" w:hanging="216"/>
      </w:pPr>
      <w:r>
        <w:rPr>
          <w:sz w:val="20"/>
          <w:u w:val="single" w:color="000000"/>
        </w:rPr>
        <w:t>Process measures incorporating Appropriate Use Criteria:</w:t>
      </w:r>
      <w:r>
        <w:rPr>
          <w:sz w:val="20"/>
        </w:rPr>
        <w:t xml:space="preserve"> See NQF’s guidance for evidence for measures, in general; guidance for measures specifically based on clinical practice guidelines apply as well.  </w:t>
      </w:r>
    </w:p>
    <w:p w14:paraId="08A26F97" w14:textId="77777777" w:rsidR="007A74C2" w:rsidRDefault="00184A5C">
      <w:pPr>
        <w:pBdr>
          <w:top w:val="single" w:sz="4" w:space="0" w:color="000000"/>
          <w:left w:val="single" w:sz="4" w:space="0" w:color="000000"/>
          <w:bottom w:val="single" w:sz="4" w:space="0" w:color="000000"/>
          <w:right w:val="single" w:sz="4" w:space="0" w:color="000000"/>
        </w:pBdr>
        <w:spacing w:after="3"/>
        <w:ind w:left="-15"/>
      </w:pPr>
      <w:r>
        <w:rPr>
          <w:b/>
          <w:sz w:val="18"/>
        </w:rPr>
        <w:t xml:space="preserve"> </w:t>
      </w:r>
    </w:p>
    <w:p w14:paraId="5A9F99B1" w14:textId="77777777" w:rsidR="007A74C2" w:rsidRDefault="00184A5C">
      <w:pPr>
        <w:pBdr>
          <w:top w:val="single" w:sz="4" w:space="0" w:color="000000"/>
          <w:left w:val="single" w:sz="4" w:space="0" w:color="000000"/>
          <w:bottom w:val="single" w:sz="4" w:space="0" w:color="000000"/>
          <w:right w:val="single" w:sz="4" w:space="0" w:color="000000"/>
        </w:pBdr>
        <w:spacing w:after="4" w:line="249" w:lineRule="auto"/>
        <w:ind w:left="-5" w:hanging="10"/>
      </w:pPr>
      <w:r>
        <w:rPr>
          <w:b/>
          <w:sz w:val="20"/>
        </w:rPr>
        <w:t xml:space="preserve">Notes </w:t>
      </w:r>
    </w:p>
    <w:p w14:paraId="37D81117"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lastRenderedPageBreak/>
        <w:t xml:space="preserve">Generally, rare event outcomes do not provide adequate information for improvement or discrimination; however, serious reportable events that are compared to zero are appropriate outcomes for public reporting and quality improvement.            </w:t>
      </w:r>
    </w:p>
    <w:p w14:paraId="77146782"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t xml:space="preserve">The preferred systems for grading the evidence are the Grading of Recommendations, Assessment, Development and Evaluation </w:t>
      </w:r>
      <w:hyperlink r:id="rId13">
        <w:r>
          <w:rPr>
            <w:color w:val="0000FF"/>
            <w:sz w:val="20"/>
            <w:u w:val="single" w:color="0000FF"/>
          </w:rPr>
          <w:t>(GRADE) guidelines</w:t>
        </w:r>
      </w:hyperlink>
      <w:hyperlink r:id="rId14">
        <w:r>
          <w:rPr>
            <w:sz w:val="20"/>
          </w:rPr>
          <w:t xml:space="preserve"> a</w:t>
        </w:r>
      </w:hyperlink>
      <w:r>
        <w:rPr>
          <w:sz w:val="20"/>
        </w:rPr>
        <w:t xml:space="preserve">nd/or modified GRADE. </w:t>
      </w:r>
    </w:p>
    <w:p w14:paraId="64D3E35B"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3" w:line="247" w:lineRule="auto"/>
        <w:ind w:left="-15"/>
      </w:pPr>
      <w:r>
        <w:rPr>
          <w:sz w:val="20"/>
        </w:rPr>
        <w:t xml:space="preserve">Clinical care processes typically include multiple steps: assess </w:t>
      </w:r>
      <w:r>
        <w:rPr>
          <w:rFonts w:ascii="Segoe UI Symbol" w:eastAsia="Segoe UI Symbol" w:hAnsi="Segoe UI Symbol" w:cs="Segoe UI Symbol"/>
          <w:sz w:val="20"/>
        </w:rPr>
        <w:t>→</w:t>
      </w:r>
      <w:r>
        <w:rPr>
          <w:sz w:val="20"/>
        </w:rPr>
        <w:t xml:space="preserve"> identify problem/potential problem </w:t>
      </w:r>
      <w:r>
        <w:rPr>
          <w:rFonts w:ascii="Segoe UI Symbol" w:eastAsia="Segoe UI Symbol" w:hAnsi="Segoe UI Symbol" w:cs="Segoe UI Symbol"/>
          <w:sz w:val="20"/>
        </w:rPr>
        <w:t>→</w:t>
      </w:r>
      <w:r>
        <w:rPr>
          <w:sz w:val="20"/>
        </w:rPr>
        <w:t xml:space="preserve"> choose/plan intervention (with patient input) </w:t>
      </w:r>
      <w:r>
        <w:rPr>
          <w:rFonts w:ascii="Segoe UI Symbol" w:eastAsia="Segoe UI Symbol" w:hAnsi="Segoe UI Symbol" w:cs="Segoe UI Symbol"/>
          <w:sz w:val="20"/>
        </w:rPr>
        <w:t>→</w:t>
      </w:r>
      <w:r>
        <w:rPr>
          <w:sz w:val="20"/>
        </w:rPr>
        <w:t xml:space="preserve"> provide intervention </w:t>
      </w:r>
      <w:r>
        <w:rPr>
          <w:rFonts w:ascii="Segoe UI Symbol" w:eastAsia="Segoe UI Symbol" w:hAnsi="Segoe UI Symbol" w:cs="Segoe UI Symbol"/>
          <w:sz w:val="20"/>
        </w:rPr>
        <w:t>→</w:t>
      </w:r>
      <w:r>
        <w:rPr>
          <w:sz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 </w:t>
      </w:r>
    </w:p>
    <w:p w14:paraId="2FC60116" w14:textId="77777777" w:rsidR="007A74C2" w:rsidRDefault="00184A5C">
      <w:pPr>
        <w:numPr>
          <w:ilvl w:val="0"/>
          <w:numId w:val="2"/>
        </w:numPr>
        <w:pBdr>
          <w:top w:val="single" w:sz="4" w:space="0" w:color="000000"/>
          <w:left w:val="single" w:sz="4" w:space="0" w:color="000000"/>
          <w:bottom w:val="single" w:sz="4" w:space="0" w:color="000000"/>
          <w:right w:val="single" w:sz="4" w:space="0" w:color="000000"/>
        </w:pBdr>
        <w:spacing w:after="16" w:line="232" w:lineRule="auto"/>
      </w:pPr>
      <w:r>
        <w:rPr>
          <w:sz w:val="20"/>
        </w:rPr>
        <w:t xml:space="preserve">Measures of efficiency combine the concepts of resource use </w:t>
      </w:r>
      <w:r>
        <w:rPr>
          <w:sz w:val="20"/>
          <w:u w:val="single" w:color="000000"/>
        </w:rPr>
        <w:t>and</w:t>
      </w:r>
      <w:r>
        <w:rPr>
          <w:sz w:val="20"/>
        </w:rPr>
        <w:t xml:space="preserve"> quality (see NQF’s </w:t>
      </w:r>
      <w:hyperlink r:id="rId15">
        <w:r>
          <w:rPr>
            <w:color w:val="0000FF"/>
            <w:sz w:val="20"/>
            <w:u w:val="single" w:color="0000FF"/>
          </w:rPr>
          <w:t>Measurement Framework:</w:t>
        </w:r>
      </w:hyperlink>
      <w:hyperlink r:id="rId16">
        <w:r>
          <w:rPr>
            <w:color w:val="0000FF"/>
            <w:sz w:val="20"/>
          </w:rPr>
          <w:t xml:space="preserve"> </w:t>
        </w:r>
      </w:hyperlink>
      <w:hyperlink r:id="rId17">
        <w:r>
          <w:rPr>
            <w:color w:val="0000FF"/>
            <w:sz w:val="20"/>
            <w:u w:val="single" w:color="0000FF"/>
          </w:rPr>
          <w:t>Evaluating Efficiency Across Episodes of Care</w:t>
        </w:r>
      </w:hyperlink>
      <w:hyperlink r:id="rId18">
        <w:r>
          <w:rPr>
            <w:sz w:val="20"/>
          </w:rPr>
          <w:t>;</w:t>
        </w:r>
      </w:hyperlink>
      <w:hyperlink r:id="rId19">
        <w:r>
          <w:rPr>
            <w:sz w:val="20"/>
          </w:rPr>
          <w:t xml:space="preserve"> </w:t>
        </w:r>
      </w:hyperlink>
      <w:hyperlink r:id="rId20">
        <w:r>
          <w:rPr>
            <w:color w:val="0000FF"/>
            <w:sz w:val="20"/>
            <w:u w:val="single" w:color="0000FF"/>
          </w:rPr>
          <w:t>AQA Principles of Efficiency Measures</w:t>
        </w:r>
      </w:hyperlink>
      <w:hyperlink r:id="rId21">
        <w:r>
          <w:rPr>
            <w:sz w:val="20"/>
          </w:rPr>
          <w:t>)</w:t>
        </w:r>
      </w:hyperlink>
      <w:r>
        <w:rPr>
          <w:sz w:val="20"/>
        </w:rPr>
        <w:t>.</w:t>
      </w:r>
      <w:r>
        <w:t xml:space="preserve"> </w:t>
      </w:r>
    </w:p>
    <w:p w14:paraId="5A247977" w14:textId="77777777" w:rsidR="007A74C2" w:rsidRDefault="00184A5C">
      <w:pPr>
        <w:spacing w:after="0"/>
        <w:ind w:left="355"/>
      </w:pPr>
      <w:r>
        <w:rPr>
          <w:b/>
        </w:rPr>
        <w:t xml:space="preserve"> </w:t>
      </w:r>
    </w:p>
    <w:p w14:paraId="4454A737" w14:textId="77777777" w:rsidR="007A74C2" w:rsidRDefault="00184A5C">
      <w:pPr>
        <w:spacing w:after="23" w:line="249" w:lineRule="auto"/>
        <w:ind w:left="351" w:right="1092" w:hanging="10"/>
      </w:pPr>
      <w:r>
        <w:rPr>
          <w:b/>
        </w:rPr>
        <w:t>1a.1.This is a measure of</w:t>
      </w:r>
      <w:r>
        <w:t>: (</w:t>
      </w:r>
      <w:r>
        <w:rPr>
          <w:i/>
        </w:rPr>
        <w:t>should be consistent with type of measure entered in De.1</w:t>
      </w:r>
      <w:r>
        <w:t xml:space="preserve">) </w:t>
      </w:r>
      <w:r>
        <w:rPr>
          <w:i/>
        </w:rPr>
        <w:t xml:space="preserve"> </w:t>
      </w:r>
      <w:r>
        <w:t xml:space="preserve">Outcome </w:t>
      </w:r>
    </w:p>
    <w:p w14:paraId="7E9FD2C7" w14:textId="77777777" w:rsidR="007A74C2" w:rsidRDefault="00184A5C">
      <w:pPr>
        <w:spacing w:after="4" w:line="249" w:lineRule="auto"/>
        <w:ind w:left="350" w:right="229" w:hanging="10"/>
      </w:pPr>
      <w:r>
        <w:rPr>
          <w:rFonts w:ascii="MS Gothic" w:eastAsia="MS Gothic" w:hAnsi="MS Gothic" w:cs="MS Gothic"/>
          <w:color w:val="0000FF"/>
        </w:rPr>
        <w:t>☐</w:t>
      </w:r>
      <w:r>
        <w:t xml:space="preserve"> Outcome: Click here to name the health outcome </w:t>
      </w:r>
    </w:p>
    <w:p w14:paraId="5466086A" w14:textId="77777777" w:rsidR="007A74C2" w:rsidRDefault="00184A5C">
      <w:pPr>
        <w:spacing w:after="4" w:line="249" w:lineRule="auto"/>
        <w:ind w:left="797" w:right="229" w:hanging="10"/>
      </w:pPr>
      <w:r>
        <w:rPr>
          <w:rFonts w:ascii="MS Gothic" w:eastAsia="MS Gothic" w:hAnsi="MS Gothic" w:cs="MS Gothic"/>
          <w:color w:val="0000FF"/>
        </w:rPr>
        <w:t>☐</w:t>
      </w:r>
      <w:r>
        <w:t xml:space="preserve">Patient-reported outcome (PRO): </w:t>
      </w:r>
      <w:r>
        <w:rPr>
          <w:color w:val="A7A8A8"/>
        </w:rPr>
        <w:t>Click here to name the PRO</w:t>
      </w:r>
      <w:r>
        <w:rPr>
          <w:b/>
        </w:rPr>
        <w:t xml:space="preserve"> </w:t>
      </w:r>
    </w:p>
    <w:p w14:paraId="695DA88A" w14:textId="77777777" w:rsidR="007A74C2" w:rsidRDefault="00184A5C">
      <w:pPr>
        <w:spacing w:after="23" w:line="249" w:lineRule="auto"/>
        <w:ind w:left="1085" w:right="125" w:hanging="10"/>
      </w:pPr>
      <w:r>
        <w:rPr>
          <w:i/>
        </w:rPr>
        <w:t>PROs include HRQoL/functional status, symptom/symptom burden, experience with care, healthrelated behaviors.</w:t>
      </w:r>
      <w:r>
        <w:rPr>
          <w:sz w:val="20"/>
        </w:rPr>
        <w:t xml:space="preserve"> </w:t>
      </w:r>
      <w:r>
        <w:t>(</w:t>
      </w:r>
      <w:r>
        <w:rPr>
          <w:i/>
        </w:rPr>
        <w:t xml:space="preserve">A PRO-based performance measure is not a survey instrument. Data may be collected using a survey instrument to construct a PRO measure.) </w:t>
      </w:r>
    </w:p>
    <w:p w14:paraId="4917B4C3" w14:textId="77777777" w:rsidR="007A74C2" w:rsidRDefault="00184A5C">
      <w:pPr>
        <w:spacing w:after="10" w:line="248" w:lineRule="auto"/>
        <w:ind w:left="350" w:hanging="10"/>
      </w:pPr>
      <w:r>
        <w:rPr>
          <w:rFonts w:ascii="Segoe UI Symbol" w:eastAsia="Segoe UI Symbol" w:hAnsi="Segoe UI Symbol" w:cs="Segoe UI Symbol"/>
          <w:color w:val="0000FF"/>
        </w:rPr>
        <w:t>☐</w:t>
      </w:r>
      <w:r>
        <w:rPr>
          <w:color w:val="0000FF"/>
        </w:rPr>
        <w:t xml:space="preserve"> </w:t>
      </w:r>
      <w:r>
        <w:t>Intermediate clinical outcome (</w:t>
      </w:r>
      <w:r>
        <w:rPr>
          <w:i/>
        </w:rPr>
        <w:t>e.g., lab value</w:t>
      </w:r>
      <w:r>
        <w:t xml:space="preserve">):  </w:t>
      </w:r>
      <w:r>
        <w:rPr>
          <w:color w:val="A7A8A8"/>
        </w:rPr>
        <w:t>Click here to name the intermediate outcome</w:t>
      </w:r>
      <w:r>
        <w:t xml:space="preserve"> </w:t>
      </w:r>
    </w:p>
    <w:p w14:paraId="1EC5F4DF" w14:textId="23B7461A" w:rsidR="0000227E" w:rsidRDefault="00184A5C" w:rsidP="0055474E">
      <w:pPr>
        <w:spacing w:after="10" w:line="248" w:lineRule="auto"/>
        <w:ind w:left="350" w:right="2664" w:hanging="10"/>
        <w:rPr>
          <w:rFonts w:ascii="MS Gothic" w:eastAsia="MS Gothic" w:hAnsi="MS Gothic" w:cs="MS Gothic"/>
          <w:color w:val="0000FF"/>
        </w:rPr>
      </w:pPr>
      <w:r w:rsidRPr="0055474E">
        <w:rPr>
          <w:rFonts w:ascii="MS Gothic" w:eastAsia="MS Gothic" w:hAnsi="MS Gothic" w:cs="MS Gothic"/>
          <w:color w:val="0000FF"/>
          <w:highlight w:val="cyan"/>
        </w:rPr>
        <w:t>☐</w:t>
      </w:r>
      <w:r>
        <w:t xml:space="preserve"> Process: </w:t>
      </w:r>
      <w:r w:rsidR="00EE1C61">
        <w:rPr>
          <w:color w:val="0000FF"/>
          <w:sz w:val="20"/>
          <w:szCs w:val="20"/>
        </w:rPr>
        <w:t>M</w:t>
      </w:r>
      <w:r w:rsidR="0055474E">
        <w:rPr>
          <w:color w:val="0000FF"/>
          <w:sz w:val="20"/>
          <w:szCs w:val="20"/>
        </w:rPr>
        <w:t>easures</w:t>
      </w:r>
      <w:r w:rsidR="0000227E">
        <w:rPr>
          <w:color w:val="0000FF"/>
          <w:sz w:val="20"/>
          <w:szCs w:val="20"/>
        </w:rPr>
        <w:t xml:space="preserve"> receipt of SUD treatment </w:t>
      </w:r>
      <w:r w:rsidR="0055474E">
        <w:rPr>
          <w:color w:val="0000FF"/>
          <w:sz w:val="20"/>
          <w:szCs w:val="20"/>
        </w:rPr>
        <w:t xml:space="preserve">within 7 days and/or 30 days after </w:t>
      </w:r>
      <w:r w:rsidR="0000227E">
        <w:rPr>
          <w:color w:val="0000FF"/>
          <w:sz w:val="20"/>
          <w:szCs w:val="20"/>
        </w:rPr>
        <w:t>i</w:t>
      </w:r>
      <w:r w:rsidR="0055474E">
        <w:rPr>
          <w:color w:val="0000FF"/>
          <w:sz w:val="20"/>
          <w:szCs w:val="20"/>
        </w:rPr>
        <w:t xml:space="preserve">npatient discharge or discharge from a </w:t>
      </w:r>
      <w:r w:rsidR="0000227E">
        <w:rPr>
          <w:color w:val="0000FF"/>
          <w:sz w:val="20"/>
          <w:szCs w:val="20"/>
        </w:rPr>
        <w:t xml:space="preserve">hospital or </w:t>
      </w:r>
      <w:r w:rsidR="0055474E">
        <w:rPr>
          <w:color w:val="0000FF"/>
          <w:sz w:val="20"/>
          <w:szCs w:val="20"/>
        </w:rPr>
        <w:t>residential treatment program</w:t>
      </w:r>
      <w:r w:rsidR="0000227E">
        <w:rPr>
          <w:color w:val="0000FF"/>
          <w:sz w:val="20"/>
          <w:szCs w:val="20"/>
        </w:rPr>
        <w:t xml:space="preserve"> for treatment of a SUD</w:t>
      </w:r>
      <w:r w:rsidR="0055474E">
        <w:rPr>
          <w:color w:val="0000FF"/>
          <w:sz w:val="20"/>
          <w:szCs w:val="20"/>
        </w:rPr>
        <w:t>.</w:t>
      </w:r>
      <w:r>
        <w:rPr>
          <w:rFonts w:ascii="MS Gothic" w:eastAsia="MS Gothic" w:hAnsi="MS Gothic" w:cs="MS Gothic"/>
          <w:color w:val="0000FF"/>
        </w:rPr>
        <w:t xml:space="preserve">  </w:t>
      </w:r>
    </w:p>
    <w:p w14:paraId="677384B1" w14:textId="072DCD2B" w:rsidR="007A74C2" w:rsidRDefault="00184A5C" w:rsidP="0055474E">
      <w:pPr>
        <w:spacing w:after="10" w:line="248" w:lineRule="auto"/>
        <w:ind w:left="350" w:right="2664" w:hanging="10"/>
      </w:pPr>
      <w:r>
        <w:rPr>
          <w:rFonts w:ascii="MS Gothic" w:eastAsia="MS Gothic" w:hAnsi="MS Gothic" w:cs="MS Gothic"/>
          <w:color w:val="0000FF"/>
        </w:rPr>
        <w:t xml:space="preserve">☐ </w:t>
      </w:r>
      <w:r>
        <w:t xml:space="preserve">Appropriate use measure: </w:t>
      </w:r>
      <w:r>
        <w:rPr>
          <w:color w:val="0000FF"/>
          <w:u w:val="single" w:color="0000FF"/>
        </w:rPr>
        <w:t xml:space="preserve"> </w:t>
      </w:r>
      <w:r>
        <w:t xml:space="preserve">Click here to name what is being measured      </w:t>
      </w:r>
      <w:r>
        <w:rPr>
          <w:rFonts w:ascii="MS Gothic" w:eastAsia="MS Gothic" w:hAnsi="MS Gothic" w:cs="MS Gothic"/>
        </w:rPr>
        <w:t xml:space="preserve"> </w:t>
      </w:r>
      <w:r>
        <w:rPr>
          <w:rFonts w:ascii="MS Gothic" w:eastAsia="MS Gothic" w:hAnsi="MS Gothic" w:cs="MS Gothic"/>
          <w:color w:val="0000FF"/>
        </w:rPr>
        <w:t>☐</w:t>
      </w:r>
      <w:r>
        <w:t xml:space="preserve"> Structure:  </w:t>
      </w:r>
      <w:r>
        <w:rPr>
          <w:color w:val="A7A8A8"/>
        </w:rPr>
        <w:t>Click here to name the structure</w:t>
      </w:r>
      <w:r>
        <w:t xml:space="preserve"> </w:t>
      </w:r>
    </w:p>
    <w:p w14:paraId="55B66705" w14:textId="77777777" w:rsidR="007A74C2" w:rsidRDefault="00184A5C">
      <w:pPr>
        <w:spacing w:after="10" w:line="248" w:lineRule="auto"/>
        <w:ind w:left="350" w:right="2664" w:hanging="10"/>
      </w:pPr>
      <w:r>
        <w:rPr>
          <w:rFonts w:ascii="MS Gothic" w:eastAsia="MS Gothic" w:hAnsi="MS Gothic" w:cs="MS Gothic"/>
          <w:color w:val="0000FF"/>
        </w:rPr>
        <w:t>☐</w:t>
      </w:r>
      <w:r>
        <w:t xml:space="preserve"> Composite:  </w:t>
      </w:r>
      <w:r>
        <w:rPr>
          <w:color w:val="A7A8A8"/>
        </w:rPr>
        <w:t>Click here to name what is being measured</w:t>
      </w:r>
      <w:r>
        <w:t xml:space="preserve"> </w:t>
      </w:r>
    </w:p>
    <w:p w14:paraId="519B1A29" w14:textId="660108D6" w:rsidR="007A74C2" w:rsidRDefault="00184A5C">
      <w:pPr>
        <w:spacing w:after="0"/>
        <w:ind w:left="355"/>
      </w:pPr>
      <w:r>
        <w:t xml:space="preserve"> </w:t>
      </w:r>
      <w:r w:rsidR="0055474E">
        <w:t xml:space="preserve"> </w:t>
      </w:r>
    </w:p>
    <w:p w14:paraId="46476D96" w14:textId="342416D5" w:rsidR="007A74C2" w:rsidRDefault="00184A5C">
      <w:pPr>
        <w:spacing w:after="4" w:line="249" w:lineRule="auto"/>
        <w:ind w:left="771" w:right="229" w:hanging="431"/>
      </w:pPr>
      <w:r>
        <w:rPr>
          <w:b/>
        </w:rPr>
        <w:t>1a.2</w:t>
      </w:r>
      <w:r>
        <w:t xml:space="preserve"> </w:t>
      </w:r>
      <w:r>
        <w:rPr>
          <w:b/>
        </w:rPr>
        <w:t>LOGIC MODEL</w:t>
      </w:r>
      <w:r>
        <w:t xml:space="preserve"> 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 </w:t>
      </w:r>
    </w:p>
    <w:p w14:paraId="678CBC8C" w14:textId="77777777" w:rsidR="00CD4539" w:rsidRDefault="00CD4539">
      <w:pPr>
        <w:spacing w:after="4" w:line="249" w:lineRule="auto"/>
        <w:ind w:left="771" w:right="229" w:hanging="431"/>
      </w:pPr>
    </w:p>
    <w:p w14:paraId="337FF936" w14:textId="31D7AE6A" w:rsidR="009F1072" w:rsidRPr="007D72E7" w:rsidRDefault="009F1072" w:rsidP="009F1072">
      <w:pPr>
        <w:spacing w:after="4" w:line="249" w:lineRule="auto"/>
        <w:ind w:left="771" w:right="229" w:hanging="431"/>
        <w:rPr>
          <w:b/>
          <w:bCs/>
        </w:rPr>
      </w:pPr>
      <w:bookmarkStart w:id="1" w:name="_Hlk48232300"/>
      <w:r w:rsidRPr="007D72E7">
        <w:rPr>
          <w:b/>
          <w:bCs/>
        </w:rPr>
        <w:t xml:space="preserve">Figure 1. Logic </w:t>
      </w:r>
      <w:r>
        <w:rPr>
          <w:b/>
          <w:bCs/>
        </w:rPr>
        <w:t>m</w:t>
      </w:r>
      <w:r w:rsidRPr="007D72E7">
        <w:rPr>
          <w:b/>
          <w:bCs/>
        </w:rPr>
        <w:t>odel</w:t>
      </w:r>
      <w:r>
        <w:rPr>
          <w:b/>
          <w:bCs/>
        </w:rPr>
        <w:t xml:space="preserve"> explaining how the measures will lead to improved </w:t>
      </w:r>
      <w:r>
        <w:rPr>
          <w:b/>
          <w:bCs/>
        </w:rPr>
        <w:t>follow up care</w:t>
      </w:r>
      <w:r>
        <w:rPr>
          <w:b/>
          <w:bCs/>
        </w:rPr>
        <w:t xml:space="preserve"> and better outcomes</w:t>
      </w:r>
    </w:p>
    <w:p w14:paraId="4F884ABB" w14:textId="77777777" w:rsidR="009F1072" w:rsidRDefault="009F1072" w:rsidP="009F1072">
      <w:pPr>
        <w:pStyle w:val="NormalSS"/>
        <w:rPr>
          <w:rFonts w:asciiTheme="minorHAnsi" w:hAnsiTheme="minorHAnsi" w:cstheme="minorHAnsi"/>
          <w:color w:val="2E74B5" w:themeColor="accent5" w:themeShade="BF"/>
          <w:sz w:val="22"/>
          <w:szCs w:val="22"/>
          <w:shd w:val="clear" w:color="auto" w:fill="FFFFFF"/>
        </w:rPr>
      </w:pPr>
      <w:r>
        <w:rPr>
          <w:noProof/>
        </w:rPr>
        <mc:AlternateContent>
          <mc:Choice Requires="wps">
            <w:drawing>
              <wp:anchor distT="0" distB="0" distL="114300" distR="114300" simplePos="0" relativeHeight="251662336" behindDoc="0" locked="0" layoutInCell="1" allowOverlap="1" wp14:anchorId="54175431" wp14:editId="1E05B8DD">
                <wp:simplePos x="0" y="0"/>
                <wp:positionH relativeFrom="column">
                  <wp:posOffset>3863975</wp:posOffset>
                </wp:positionH>
                <wp:positionV relativeFrom="paragraph">
                  <wp:posOffset>1397635</wp:posOffset>
                </wp:positionV>
                <wp:extent cx="320675" cy="246380"/>
                <wp:effectExtent l="0" t="0" r="41275" b="20320"/>
                <wp:wrapNone/>
                <wp:docPr id="1" name="Arrow: Right 1"/>
                <wp:cNvGraphicFramePr/>
                <a:graphic xmlns:a="http://schemas.openxmlformats.org/drawingml/2006/main">
                  <a:graphicData uri="http://schemas.microsoft.com/office/word/2010/wordprocessingShape">
                    <wps:wsp>
                      <wps:cNvSpPr/>
                      <wps:spPr>
                        <a:xfrm>
                          <a:off x="0" y="0"/>
                          <a:ext cx="320675" cy="246380"/>
                        </a:xfrm>
                        <a:prstGeom prst="rightArrow">
                          <a:avLst>
                            <a:gd name="adj1" fmla="val 100000"/>
                            <a:gd name="adj2" fmla="val 50000"/>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CB99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304.25pt;margin-top:110.05pt;width:25.25pt;height:1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" adj="13302,0" fillcolor="#4472c4" strokecolor="#2f528f" strokeweight="1pt"/>
            </w:pict>
          </mc:Fallback>
        </mc:AlternateContent>
      </w:r>
      <w:r>
        <w:rPr>
          <w:noProof/>
        </w:rPr>
        <mc:AlternateContent>
          <mc:Choice Requires="wps">
            <w:drawing>
              <wp:anchor distT="0" distB="0" distL="114300" distR="114300" simplePos="0" relativeHeight="251661312" behindDoc="0" locked="0" layoutInCell="1" allowOverlap="1" wp14:anchorId="5C91C0B0" wp14:editId="5E9A07F0">
                <wp:simplePos x="0" y="0"/>
                <wp:positionH relativeFrom="column">
                  <wp:posOffset>1920875</wp:posOffset>
                </wp:positionH>
                <wp:positionV relativeFrom="paragraph">
                  <wp:posOffset>1369060</wp:posOffset>
                </wp:positionV>
                <wp:extent cx="320675" cy="246380"/>
                <wp:effectExtent l="0" t="0" r="41275" b="20320"/>
                <wp:wrapNone/>
                <wp:docPr id="17" name="Arrow: Right 17"/>
                <wp:cNvGraphicFramePr/>
                <a:graphic xmlns:a="http://schemas.openxmlformats.org/drawingml/2006/main">
                  <a:graphicData uri="http://schemas.microsoft.com/office/word/2010/wordprocessingShape">
                    <wps:wsp>
                      <wps:cNvSpPr/>
                      <wps:spPr>
                        <a:xfrm>
                          <a:off x="0" y="0"/>
                          <a:ext cx="320675" cy="246380"/>
                        </a:xfrm>
                        <a:prstGeom prst="rightArrow">
                          <a:avLst>
                            <a:gd name="adj1" fmla="val 100000"/>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31B6F" id="Arrow: Right 17" o:spid="_x0000_s1026" type="#_x0000_t13" style="position:absolute;margin-left:151.25pt;margin-top:107.8pt;width:25.2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" adj="13302,0" fillcolor="#4472c4 [3204]" strokecolor="#1f3763 [1604]" strokeweight="1pt"/>
            </w:pict>
          </mc:Fallback>
        </mc:AlternateContent>
      </w:r>
      <w:r>
        <w:rPr>
          <w:noProof/>
        </w:rPr>
        <w:drawing>
          <wp:inline distT="0" distB="0" distL="0" distR="0" wp14:anchorId="562F6085" wp14:editId="231312C5">
            <wp:extent cx="5486400" cy="2276475"/>
            <wp:effectExtent l="38100" t="0" r="19050" b="9525"/>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59363CBE" w14:textId="2E54B213" w:rsidR="00A13E2E" w:rsidRDefault="00A13E2E" w:rsidP="009F1072">
      <w:pPr>
        <w:spacing w:after="120"/>
        <w:ind w:left="340"/>
        <w:rPr>
          <w:color w:val="0000FF"/>
        </w:rPr>
      </w:pPr>
      <w:r w:rsidRPr="00A13E2E">
        <w:rPr>
          <w:color w:val="0000FF"/>
        </w:rPr>
        <w:lastRenderedPageBreak/>
        <w:t>Remaining in addiction treatment for an adequate period is critical for recovery (National Institute on Drug Abuse, 2018). Patients often drop out of SUD treatment during transitions from inpatient and residential setting to outpatient settings  (Harris, et al 2006; Naeger et al., 2016; Ali et al., 2016; Reif, et al. , 2017; Rubinsky et al., 2017; Liu et a., 2020). Studies with Medicaid beneficiaries document that, on average, only 25% of them receive post-discharge follow-up within 14 days of a residential or inpatient SUD stays</w:t>
      </w:r>
      <w:r>
        <w:rPr>
          <w:color w:val="0000FF"/>
        </w:rPr>
        <w:t>, with significant differences among</w:t>
      </w:r>
      <w:r w:rsidRPr="00A13E2E">
        <w:rPr>
          <w:color w:val="0000FF"/>
        </w:rPr>
        <w:t xml:space="preserve"> states and providers)  (Harris et al, 2006; Naeger et al., 2016; Ali et al., 2016; Reif et al,  2017; Rubinsky et al., 2017; Liu et a., 2020).  </w:t>
      </w:r>
    </w:p>
    <w:p w14:paraId="781D489B" w14:textId="1F22BF96" w:rsidR="00211EA6" w:rsidRDefault="001F249B" w:rsidP="001A0AB6">
      <w:pPr>
        <w:spacing w:after="120"/>
        <w:ind w:left="340"/>
        <w:rPr>
          <w:color w:val="0000FF"/>
        </w:rPr>
      </w:pPr>
      <w:r>
        <w:rPr>
          <w:color w:val="0000FF"/>
        </w:rPr>
        <w:t xml:space="preserve"> </w:t>
      </w:r>
      <w:r w:rsidR="00754D65" w:rsidRPr="00754D65">
        <w:rPr>
          <w:color w:val="0000FF"/>
        </w:rPr>
        <w:t>Research finds that post discharge follow-up after discharge from an inpatient or residential SUD stay is  associated with better outcomes, such as reduced mortality (Harris et al., 2015; Paddock et al., 2017; Schmidt et al, 2017), readmissions (Mark et al., 2013, Reif et al., 2017), substance use and improved retention in treatment (Demarce et al., 2018, Garner et al., 2010).</w:t>
      </w:r>
      <w:r w:rsidR="00754D65">
        <w:rPr>
          <w:color w:val="0000FF"/>
        </w:rPr>
        <w:t xml:space="preserve"> Performance measures can help stimulate improvement in post-discharge follow-up rates.</w:t>
      </w:r>
    </w:p>
    <w:p w14:paraId="6B022397" w14:textId="08CB0B48" w:rsidR="00211EA6" w:rsidRDefault="00211EA6" w:rsidP="001A0AB6">
      <w:pPr>
        <w:spacing w:after="120"/>
        <w:ind w:left="340"/>
        <w:rPr>
          <w:color w:val="0000FF"/>
        </w:rPr>
      </w:pPr>
      <w:r w:rsidRPr="00211EA6">
        <w:rPr>
          <w:color w:val="0000FF"/>
        </w:rPr>
        <w:t xml:space="preserve">NQF endorsed the metric </w:t>
      </w:r>
      <w:r w:rsidRPr="00C5762B">
        <w:rPr>
          <w:i/>
          <w:iCs/>
          <w:color w:val="0000FF"/>
        </w:rPr>
        <w:t>Continuity of care after inpatient or residential treatment for substance use disorder (</w:t>
      </w:r>
      <w:r w:rsidRPr="00211EA6">
        <w:rPr>
          <w:color w:val="0000FF"/>
        </w:rPr>
        <w:t>NQF 3453) for use in Medicaid programs and health plans to stimulate improvement in post-discharge continuity rates. The measure is defined as the percentage of discharges from inpatient or residential treatment for SUD for Medicaid beneficiaries, ages 18–64, which were followed by a treatment service for SUD.</w:t>
      </w:r>
    </w:p>
    <w:p w14:paraId="6A62A457" w14:textId="39340EF2" w:rsidR="00234FBB" w:rsidRDefault="00234FBB" w:rsidP="001A0AB6">
      <w:pPr>
        <w:spacing w:after="120"/>
        <w:ind w:left="340"/>
        <w:rPr>
          <w:color w:val="0000FF"/>
        </w:rPr>
      </w:pPr>
      <w:r>
        <w:rPr>
          <w:color w:val="0000FF"/>
        </w:rPr>
        <w:t xml:space="preserve">A provider level measure is needed </w:t>
      </w:r>
      <w:r w:rsidR="003F2BEA">
        <w:rPr>
          <w:color w:val="0000FF"/>
        </w:rPr>
        <w:t xml:space="preserve">in addition to the Medicaid and health plan level measure </w:t>
      </w:r>
      <w:r>
        <w:rPr>
          <w:color w:val="0000FF"/>
        </w:rPr>
        <w:t xml:space="preserve">for several reasons. First, there is significant variation among providers’ </w:t>
      </w:r>
      <w:r w:rsidR="00783E24">
        <w:rPr>
          <w:color w:val="0000FF"/>
        </w:rPr>
        <w:t>in post-discharge follow-up after inpatient and residential SUD treatment</w:t>
      </w:r>
      <w:r w:rsidR="00B50E85">
        <w:rPr>
          <w:i/>
          <w:iCs/>
          <w:color w:val="0000FF"/>
        </w:rPr>
        <w:t xml:space="preserve"> (</w:t>
      </w:r>
      <w:r w:rsidR="00783E24" w:rsidRPr="00783E24">
        <w:rPr>
          <w:color w:val="0000FF"/>
        </w:rPr>
        <w:t>Stein et al., 2009</w:t>
      </w:r>
      <w:r w:rsidR="00783E24">
        <w:rPr>
          <w:i/>
          <w:iCs/>
          <w:color w:val="0000FF"/>
        </w:rPr>
        <w:t xml:space="preserve">, </w:t>
      </w:r>
      <w:r w:rsidR="00B50E85" w:rsidRPr="00B50E85">
        <w:rPr>
          <w:color w:val="0000FF"/>
        </w:rPr>
        <w:t>Rubinsky et al</w:t>
      </w:r>
      <w:r w:rsidR="00B50E85">
        <w:rPr>
          <w:i/>
          <w:iCs/>
          <w:color w:val="0000FF"/>
        </w:rPr>
        <w:t xml:space="preserve">., </w:t>
      </w:r>
      <w:r w:rsidR="00B50E85" w:rsidRPr="00B50E85">
        <w:rPr>
          <w:color w:val="0000FF"/>
        </w:rPr>
        <w:t>2018</w:t>
      </w:r>
      <w:r w:rsidR="00B50E85">
        <w:rPr>
          <w:i/>
          <w:iCs/>
          <w:color w:val="0000FF"/>
        </w:rPr>
        <w:t>)</w:t>
      </w:r>
      <w:r>
        <w:rPr>
          <w:i/>
          <w:iCs/>
          <w:color w:val="0000FF"/>
        </w:rPr>
        <w:t xml:space="preserve">. </w:t>
      </w:r>
      <w:r w:rsidRPr="00234FBB">
        <w:rPr>
          <w:color w:val="0000FF"/>
        </w:rPr>
        <w:t>Creating a provider-level measure</w:t>
      </w:r>
      <w:r>
        <w:rPr>
          <w:color w:val="0000FF"/>
        </w:rPr>
        <w:t xml:space="preserve"> allows states, payers, policymakers, and others to targe</w:t>
      </w:r>
      <w:r w:rsidR="003F2BEA">
        <w:rPr>
          <w:color w:val="0000FF"/>
        </w:rPr>
        <w:t>t</w:t>
      </w:r>
      <w:r>
        <w:rPr>
          <w:color w:val="0000FF"/>
        </w:rPr>
        <w:t xml:space="preserve"> quality improvement to providers that need it. Second, </w:t>
      </w:r>
      <w:r w:rsidR="003F2BEA">
        <w:rPr>
          <w:color w:val="0000FF"/>
        </w:rPr>
        <w:t xml:space="preserve">provider level measures can </w:t>
      </w:r>
      <w:r w:rsidR="00E819B6">
        <w:rPr>
          <w:color w:val="0000FF"/>
        </w:rPr>
        <w:t>help to reveal why</w:t>
      </w:r>
      <w:r w:rsidR="003F2BEA">
        <w:rPr>
          <w:color w:val="0000FF"/>
        </w:rPr>
        <w:t xml:space="preserve"> some providers to have lower follow-up rates than others</w:t>
      </w:r>
      <w:r w:rsidR="00C5762B">
        <w:rPr>
          <w:color w:val="0000FF"/>
        </w:rPr>
        <w:t xml:space="preserve"> and to identify solutions</w:t>
      </w:r>
      <w:r>
        <w:rPr>
          <w:color w:val="0000FF"/>
        </w:rPr>
        <w:t xml:space="preserve">. </w:t>
      </w:r>
      <w:r w:rsidR="00C5762B">
        <w:rPr>
          <w:color w:val="0000FF"/>
        </w:rPr>
        <w:t xml:space="preserve">Interventions to improve post-discharge follow-up include </w:t>
      </w:r>
      <w:bookmarkStart w:id="2" w:name="_Hlk56678458"/>
      <w:r w:rsidR="00634B1F">
        <w:rPr>
          <w:color w:val="0000FF"/>
        </w:rPr>
        <w:t>inpatient addiction consults</w:t>
      </w:r>
      <w:r w:rsidR="00543E3B">
        <w:rPr>
          <w:color w:val="0000FF"/>
        </w:rPr>
        <w:t xml:space="preserve"> (Englander et al., 2019)</w:t>
      </w:r>
      <w:r w:rsidR="00634B1F">
        <w:rPr>
          <w:color w:val="0000FF"/>
        </w:rPr>
        <w:t xml:space="preserve">, </w:t>
      </w:r>
      <w:r w:rsidR="0012570E">
        <w:rPr>
          <w:color w:val="0000FF"/>
        </w:rPr>
        <w:t>scheduling outpatient appointments before discharge, starting patients on medications to treat opioid use disorder mediations before discharge</w:t>
      </w:r>
      <w:r w:rsidR="0021143B">
        <w:rPr>
          <w:color w:val="0000FF"/>
        </w:rPr>
        <w:t xml:space="preserve">, </w:t>
      </w:r>
      <w:r w:rsidR="006E2AE6">
        <w:rPr>
          <w:color w:val="0000FF"/>
        </w:rPr>
        <w:t>using peer nav</w:t>
      </w:r>
      <w:r w:rsidR="00AE7F09">
        <w:rPr>
          <w:color w:val="0000FF"/>
        </w:rPr>
        <w:t>i</w:t>
      </w:r>
      <w:r w:rsidR="006E2AE6">
        <w:rPr>
          <w:color w:val="0000FF"/>
        </w:rPr>
        <w:t xml:space="preserve">gators, </w:t>
      </w:r>
      <w:r w:rsidR="0021143B">
        <w:rPr>
          <w:color w:val="0000FF"/>
        </w:rPr>
        <w:t xml:space="preserve">and </w:t>
      </w:r>
      <w:r w:rsidR="00E819B6">
        <w:rPr>
          <w:color w:val="0000FF"/>
        </w:rPr>
        <w:t>facilitating obtaining</w:t>
      </w:r>
      <w:r w:rsidR="0021143B">
        <w:rPr>
          <w:color w:val="0000FF"/>
        </w:rPr>
        <w:t xml:space="preserve"> housing and other social supports</w:t>
      </w:r>
      <w:r w:rsidR="00541484">
        <w:rPr>
          <w:color w:val="0000FF"/>
        </w:rPr>
        <w:t xml:space="preserve"> </w:t>
      </w:r>
      <w:bookmarkEnd w:id="2"/>
      <w:r w:rsidR="00541484">
        <w:rPr>
          <w:color w:val="0000FF"/>
        </w:rPr>
        <w:t>(</w:t>
      </w:r>
      <w:r w:rsidR="00770B92">
        <w:rPr>
          <w:color w:val="0000FF"/>
        </w:rPr>
        <w:t xml:space="preserve">Bassuk et al., 2016, </w:t>
      </w:r>
      <w:r w:rsidR="00541484">
        <w:rPr>
          <w:color w:val="0000FF"/>
        </w:rPr>
        <w:t>Wakeman et</w:t>
      </w:r>
      <w:r w:rsidR="00634B1F">
        <w:rPr>
          <w:color w:val="0000FF"/>
        </w:rPr>
        <w:t xml:space="preserve"> </w:t>
      </w:r>
      <w:r w:rsidR="00541484">
        <w:rPr>
          <w:color w:val="0000FF"/>
        </w:rPr>
        <w:t>al</w:t>
      </w:r>
      <w:r w:rsidR="00634B1F">
        <w:rPr>
          <w:color w:val="0000FF"/>
        </w:rPr>
        <w:t xml:space="preserve"> 2017, </w:t>
      </w:r>
      <w:r w:rsidR="0021143B" w:rsidRPr="0021143B">
        <w:rPr>
          <w:color w:val="0000FF"/>
        </w:rPr>
        <w:t xml:space="preserve">Manuel </w:t>
      </w:r>
      <w:r w:rsidR="0021143B">
        <w:rPr>
          <w:color w:val="0000FF"/>
        </w:rPr>
        <w:t xml:space="preserve">et al., 2017; </w:t>
      </w:r>
      <w:r w:rsidR="00966269" w:rsidRPr="00966269">
        <w:rPr>
          <w:color w:val="0000FF"/>
        </w:rPr>
        <w:t xml:space="preserve">Liebschutz </w:t>
      </w:r>
      <w:r w:rsidR="00966269">
        <w:rPr>
          <w:color w:val="0000FF"/>
        </w:rPr>
        <w:t xml:space="preserve">et al., </w:t>
      </w:r>
      <w:r w:rsidR="00634B1F">
        <w:rPr>
          <w:color w:val="0000FF"/>
        </w:rPr>
        <w:t>Wang et al., 2020)</w:t>
      </w:r>
      <w:r w:rsidR="00541484">
        <w:rPr>
          <w:color w:val="0000FF"/>
        </w:rPr>
        <w:t xml:space="preserve">, </w:t>
      </w:r>
      <w:r w:rsidR="0012570E">
        <w:rPr>
          <w:color w:val="0000FF"/>
        </w:rPr>
        <w:t xml:space="preserve"> </w:t>
      </w:r>
      <w:r>
        <w:rPr>
          <w:color w:val="0000FF"/>
        </w:rPr>
        <w:t xml:space="preserve">Third, </w:t>
      </w:r>
      <w:r w:rsidR="0035649B">
        <w:rPr>
          <w:color w:val="0000FF"/>
        </w:rPr>
        <w:t>NQF SUD</w:t>
      </w:r>
      <w:r>
        <w:rPr>
          <w:color w:val="0000FF"/>
        </w:rPr>
        <w:t xml:space="preserve"> measures are being used</w:t>
      </w:r>
      <w:r w:rsidR="0035649B">
        <w:rPr>
          <w:color w:val="0000FF"/>
        </w:rPr>
        <w:t xml:space="preserve"> at the provider-level</w:t>
      </w:r>
      <w:r>
        <w:rPr>
          <w:color w:val="0000FF"/>
        </w:rPr>
        <w:t xml:space="preserve"> in </w:t>
      </w:r>
      <w:r w:rsidR="0021143B">
        <w:rPr>
          <w:color w:val="0000FF"/>
        </w:rPr>
        <w:t>Centers for Medicare and Medicaid (</w:t>
      </w:r>
      <w:r w:rsidR="0035649B">
        <w:rPr>
          <w:color w:val="0000FF"/>
        </w:rPr>
        <w:t>CMS</w:t>
      </w:r>
      <w:r w:rsidR="0021143B">
        <w:rPr>
          <w:color w:val="0000FF"/>
        </w:rPr>
        <w:t>)</w:t>
      </w:r>
      <w:r w:rsidR="0035649B">
        <w:rPr>
          <w:color w:val="0000FF"/>
        </w:rPr>
        <w:t xml:space="preserve"> demonstrations, such as </w:t>
      </w:r>
      <w:r w:rsidR="003F2BEA">
        <w:rPr>
          <w:color w:val="0000FF"/>
        </w:rPr>
        <w:t>in</w:t>
      </w:r>
      <w:r w:rsidR="0035649B">
        <w:rPr>
          <w:color w:val="0000FF"/>
        </w:rPr>
        <w:t xml:space="preserve"> behavioral health home demonstration</w:t>
      </w:r>
      <w:r w:rsidR="00A03D7F">
        <w:rPr>
          <w:color w:val="0000FF"/>
        </w:rPr>
        <w:t>s</w:t>
      </w:r>
      <w:r w:rsidR="0035649B">
        <w:rPr>
          <w:color w:val="0000FF"/>
        </w:rPr>
        <w:t xml:space="preserve">, </w:t>
      </w:r>
      <w:r w:rsidR="00A03D7F">
        <w:rPr>
          <w:color w:val="0000FF"/>
        </w:rPr>
        <w:t>however, they</w:t>
      </w:r>
      <w:r w:rsidR="0035649B">
        <w:rPr>
          <w:color w:val="0000FF"/>
        </w:rPr>
        <w:t xml:space="preserve"> have not been endorsed at </w:t>
      </w:r>
      <w:r w:rsidR="00A03D7F">
        <w:rPr>
          <w:color w:val="0000FF"/>
        </w:rPr>
        <w:t>the provider</w:t>
      </w:r>
      <w:r w:rsidR="0035649B">
        <w:rPr>
          <w:color w:val="0000FF"/>
        </w:rPr>
        <w:t xml:space="preserve"> level</w:t>
      </w:r>
      <w:r w:rsidR="00AE7F09">
        <w:rPr>
          <w:color w:val="0000FF"/>
        </w:rPr>
        <w:t xml:space="preserve"> (CMS, 2019)</w:t>
      </w:r>
      <w:r w:rsidR="0035649B">
        <w:rPr>
          <w:color w:val="0000FF"/>
        </w:rPr>
        <w:t xml:space="preserve">. </w:t>
      </w:r>
      <w:r w:rsidR="0021143B">
        <w:rPr>
          <w:color w:val="0000FF"/>
        </w:rPr>
        <w:t>Finally</w:t>
      </w:r>
      <w:r w:rsidR="0035649B">
        <w:rPr>
          <w:color w:val="0000FF"/>
        </w:rPr>
        <w:t xml:space="preserve">, </w:t>
      </w:r>
      <w:r w:rsidR="00E647BA">
        <w:rPr>
          <w:color w:val="0000FF"/>
        </w:rPr>
        <w:t xml:space="preserve">some </w:t>
      </w:r>
      <w:r w:rsidR="0035649B">
        <w:rPr>
          <w:color w:val="0000FF"/>
        </w:rPr>
        <w:t xml:space="preserve">states and private health plans are </w:t>
      </w:r>
      <w:r w:rsidR="003F2BEA">
        <w:rPr>
          <w:color w:val="0000FF"/>
        </w:rPr>
        <w:t xml:space="preserve">already </w:t>
      </w:r>
      <w:r w:rsidR="0035649B">
        <w:rPr>
          <w:color w:val="0000FF"/>
        </w:rPr>
        <w:t>using the measure at the provider level</w:t>
      </w:r>
      <w:r w:rsidR="00A03D7F">
        <w:rPr>
          <w:color w:val="0000FF"/>
        </w:rPr>
        <w:t xml:space="preserve">, for example, </w:t>
      </w:r>
      <w:r w:rsidR="005A6C17">
        <w:rPr>
          <w:color w:val="0000FF"/>
        </w:rPr>
        <w:t>New York’s Office of Addiction Services and Support</w:t>
      </w:r>
      <w:r w:rsidR="00E647BA">
        <w:rPr>
          <w:color w:val="0000FF"/>
        </w:rPr>
        <w:t xml:space="preserve"> is using the measure to help programs improve follow-up rates</w:t>
      </w:r>
      <w:r w:rsidR="00783E24">
        <w:rPr>
          <w:color w:val="0000FF"/>
        </w:rPr>
        <w:t xml:space="preserve"> and the measures is being reported for New York, Massachusetts and West Virginia as part of the Shatterproof Atlas portal.</w:t>
      </w:r>
    </w:p>
    <w:p w14:paraId="262E77F8" w14:textId="66D0A19E" w:rsidR="001A0AB6" w:rsidRPr="00C41533" w:rsidRDefault="001F249B" w:rsidP="001A0AB6">
      <w:pPr>
        <w:spacing w:after="120"/>
        <w:ind w:left="340"/>
        <w:rPr>
          <w:color w:val="0000FF"/>
        </w:rPr>
      </w:pPr>
      <w:r>
        <w:rPr>
          <w:color w:val="0000FF"/>
        </w:rPr>
        <w:t xml:space="preserve">This proposed provider level measure </w:t>
      </w:r>
      <w:r w:rsidR="004B30A3">
        <w:rPr>
          <w:color w:val="0000FF"/>
        </w:rPr>
        <w:t xml:space="preserve">- </w:t>
      </w:r>
      <w:r w:rsidR="006C08DE" w:rsidRPr="00B75F3A">
        <w:rPr>
          <w:i/>
          <w:iCs/>
          <w:color w:val="0000FF"/>
        </w:rPr>
        <w:t>Continuity of care after inpatient or residential treatment for substance use disorder</w:t>
      </w:r>
      <w:r w:rsidR="006C08DE" w:rsidRPr="006C08DE">
        <w:rPr>
          <w:color w:val="0000FF"/>
        </w:rPr>
        <w:t xml:space="preserve"> </w:t>
      </w:r>
      <w:r w:rsidR="004B30A3">
        <w:rPr>
          <w:color w:val="0000FF"/>
        </w:rPr>
        <w:t xml:space="preserve">- </w:t>
      </w:r>
      <w:r>
        <w:rPr>
          <w:color w:val="0000FF"/>
        </w:rPr>
        <w:t xml:space="preserve">has a similar logic model </w:t>
      </w:r>
      <w:r w:rsidR="004B30A3">
        <w:rPr>
          <w:color w:val="0000FF"/>
        </w:rPr>
        <w:t>to</w:t>
      </w:r>
      <w:r>
        <w:rPr>
          <w:color w:val="0000FF"/>
        </w:rPr>
        <w:t xml:space="preserve"> that which was endorsed at the Medicaid program level</w:t>
      </w:r>
      <w:r w:rsidR="006C08DE">
        <w:rPr>
          <w:color w:val="0000FF"/>
        </w:rPr>
        <w:t xml:space="preserve">. </w:t>
      </w:r>
      <w:r w:rsidR="001A0AB6" w:rsidRPr="00C41533">
        <w:rPr>
          <w:color w:val="0000FF"/>
        </w:rPr>
        <w:t>The logic model</w:t>
      </w:r>
      <w:r w:rsidR="00E647BA">
        <w:rPr>
          <w:color w:val="0000FF"/>
        </w:rPr>
        <w:t>,</w:t>
      </w:r>
      <w:r w:rsidR="001A0AB6" w:rsidRPr="00C41533">
        <w:rPr>
          <w:color w:val="0000FF"/>
        </w:rPr>
        <w:t xml:space="preserve"> </w:t>
      </w:r>
      <w:r w:rsidR="00E647BA">
        <w:rPr>
          <w:color w:val="0000FF"/>
        </w:rPr>
        <w:t xml:space="preserve">and associated evidence, </w:t>
      </w:r>
      <w:r w:rsidR="002D35A6">
        <w:rPr>
          <w:color w:val="0000FF"/>
        </w:rPr>
        <w:t xml:space="preserve">indicates that </w:t>
      </w:r>
      <w:r>
        <w:rPr>
          <w:color w:val="0000FF"/>
        </w:rPr>
        <w:t>this measure could help</w:t>
      </w:r>
      <w:r w:rsidR="002D35A6">
        <w:rPr>
          <w:color w:val="0000FF"/>
        </w:rPr>
        <w:t xml:space="preserve"> </w:t>
      </w:r>
      <w:r>
        <w:rPr>
          <w:color w:val="0000FF"/>
        </w:rPr>
        <w:t xml:space="preserve">to </w:t>
      </w:r>
      <w:r w:rsidR="002D35A6">
        <w:rPr>
          <w:color w:val="0000FF"/>
        </w:rPr>
        <w:t>reduce</w:t>
      </w:r>
      <w:r w:rsidR="002D35A6" w:rsidRPr="00C41533">
        <w:rPr>
          <w:color w:val="0000FF"/>
        </w:rPr>
        <w:t xml:space="preserve"> </w:t>
      </w:r>
      <w:r w:rsidR="001A0AB6" w:rsidRPr="00C41533">
        <w:rPr>
          <w:color w:val="0000FF"/>
        </w:rPr>
        <w:t xml:space="preserve">hospital </w:t>
      </w:r>
      <w:r w:rsidR="002D35A6">
        <w:rPr>
          <w:color w:val="0000FF"/>
        </w:rPr>
        <w:t>re</w:t>
      </w:r>
      <w:r w:rsidR="001A0AB6" w:rsidRPr="00C41533">
        <w:rPr>
          <w:color w:val="0000FF"/>
        </w:rPr>
        <w:t xml:space="preserve">admissions </w:t>
      </w:r>
      <w:r w:rsidR="001A0AB6" w:rsidRPr="00C41533">
        <w:rPr>
          <w:color w:val="0000FF"/>
        </w:rPr>
        <w:fldChar w:fldCharType="begin">
          <w:fldData xml:space="preserve">PEVuZE5vdGU+PENpdGU+PEF1dGhvcj5CbG9kZ2V0dDwvQXV0aG9yPjxZZWFyPjIwMTQ8L1llYXI+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</w:fldData>
        </w:fldChar>
      </w:r>
      <w:r w:rsidR="001A0AB6" w:rsidRPr="00C41533">
        <w:rPr>
          <w:color w:val="0000FF"/>
        </w:rPr>
        <w:instrText xml:space="preserve"> ADDIN EN.CITE </w:instrText>
      </w:r>
      <w:r w:rsidR="001A0AB6" w:rsidRPr="00C41533">
        <w:rPr>
          <w:color w:val="0000FF"/>
        </w:rPr>
        <w:fldChar w:fldCharType="begin">
          <w:fldData xml:space="preserve">PEVuZE5vdGU+PENpdGU+PEF1dGhvcj5CbG9kZ2V0dDwvQXV0aG9yPjxZZWFyPjIwMTQ8L1llYXI+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</w:fldData>
        </w:fldChar>
      </w:r>
      <w:r w:rsidR="001A0AB6" w:rsidRPr="00C41533">
        <w:rPr>
          <w:color w:val="0000FF"/>
        </w:rPr>
        <w:instrText xml:space="preserve"> ADDIN EN.CITE.DATA </w:instrText>
      </w:r>
      <w:r w:rsidR="001A0AB6" w:rsidRPr="00C41533">
        <w:rPr>
          <w:color w:val="0000FF"/>
        </w:rPr>
      </w:r>
      <w:r w:rsidR="001A0AB6" w:rsidRPr="00C41533">
        <w:rPr>
          <w:color w:val="0000FF"/>
        </w:rPr>
        <w:fldChar w:fldCharType="end"/>
      </w:r>
      <w:r w:rsidR="001A0AB6" w:rsidRPr="00C41533">
        <w:rPr>
          <w:color w:val="0000FF"/>
        </w:rPr>
      </w:r>
      <w:r w:rsidR="001A0AB6" w:rsidRPr="00C41533">
        <w:rPr>
          <w:color w:val="0000FF"/>
        </w:rPr>
        <w:fldChar w:fldCharType="separate"/>
      </w:r>
      <w:r w:rsidR="001A0AB6" w:rsidRPr="00C41533">
        <w:rPr>
          <w:noProof/>
          <w:color w:val="0000FF"/>
        </w:rPr>
        <w:t>(Mark et al., 2013; Reif</w:t>
      </w:r>
      <w:r w:rsidR="005A0801">
        <w:rPr>
          <w:noProof/>
          <w:color w:val="0000FF"/>
        </w:rPr>
        <w:t xml:space="preserve"> et al.</w:t>
      </w:r>
      <w:r w:rsidR="001A0AB6" w:rsidRPr="00C41533">
        <w:rPr>
          <w:noProof/>
          <w:color w:val="0000FF"/>
        </w:rPr>
        <w:t>, 2017)</w:t>
      </w:r>
      <w:r w:rsidR="001A0AB6" w:rsidRPr="00C41533">
        <w:rPr>
          <w:color w:val="0000FF"/>
        </w:rPr>
        <w:fldChar w:fldCharType="end"/>
      </w:r>
      <w:r w:rsidR="001A0AB6" w:rsidRPr="00C41533">
        <w:rPr>
          <w:color w:val="0000FF"/>
        </w:rPr>
        <w:t xml:space="preserve">, </w:t>
      </w:r>
      <w:r w:rsidR="002D35A6">
        <w:rPr>
          <w:color w:val="0000FF"/>
        </w:rPr>
        <w:t xml:space="preserve">decrease </w:t>
      </w:r>
      <w:r w:rsidR="001A0AB6" w:rsidRPr="00C41533">
        <w:rPr>
          <w:color w:val="0000FF"/>
        </w:rPr>
        <w:t>substance use</w:t>
      </w:r>
      <w:r w:rsidR="002D35A6">
        <w:rPr>
          <w:color w:val="0000FF"/>
        </w:rPr>
        <w:t xml:space="preserve"> and relapse</w:t>
      </w:r>
      <w:r w:rsidR="001A0AB6" w:rsidRPr="00C41533">
        <w:rPr>
          <w:color w:val="0000FF"/>
        </w:rPr>
        <w:t xml:space="preserve"> </w:t>
      </w:r>
      <w:r w:rsidR="001A0AB6" w:rsidRPr="00C41533">
        <w:rPr>
          <w:color w:val="0000FF"/>
        </w:rPr>
        <w:fldChar w:fldCharType="begin">
          <w:fldData xml:space="preserve">PEVuZE5vdGU+PENpdGU+PEF1dGhvcj5EZU1hcmNlPC9BdXRob3I+PFllYXI+MjAwODwvWWVhcj48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</w:fldData>
        </w:fldChar>
      </w:r>
      <w:r w:rsidR="001A0AB6" w:rsidRPr="00C41533">
        <w:rPr>
          <w:color w:val="0000FF"/>
        </w:rPr>
        <w:instrText xml:space="preserve"> ADDIN EN.CITE </w:instrText>
      </w:r>
      <w:r w:rsidR="001A0AB6" w:rsidRPr="00C41533">
        <w:rPr>
          <w:color w:val="0000FF"/>
        </w:rPr>
        <w:fldChar w:fldCharType="begin">
          <w:fldData xml:space="preserve">PEVuZE5vdGU+PENpdGU+PEF1dGhvcj5EZU1hcmNlPC9BdXRob3I+PFllYXI+MjAwODwvWWVhcj48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</w:fldData>
        </w:fldChar>
      </w:r>
      <w:r w:rsidR="001A0AB6" w:rsidRPr="00C41533">
        <w:rPr>
          <w:color w:val="0000FF"/>
        </w:rPr>
        <w:instrText xml:space="preserve"> ADDIN EN.CITE.DATA </w:instrText>
      </w:r>
      <w:r w:rsidR="001A0AB6" w:rsidRPr="00C41533">
        <w:rPr>
          <w:color w:val="0000FF"/>
        </w:rPr>
      </w:r>
      <w:r w:rsidR="001A0AB6" w:rsidRPr="00C41533">
        <w:rPr>
          <w:color w:val="0000FF"/>
        </w:rPr>
        <w:fldChar w:fldCharType="end"/>
      </w:r>
      <w:r w:rsidR="001A0AB6" w:rsidRPr="00C41533">
        <w:rPr>
          <w:color w:val="0000FF"/>
        </w:rPr>
      </w:r>
      <w:r w:rsidR="001A0AB6" w:rsidRPr="00C41533">
        <w:rPr>
          <w:color w:val="0000FF"/>
        </w:rPr>
        <w:fldChar w:fldCharType="separate"/>
      </w:r>
      <w:r w:rsidR="001A0AB6" w:rsidRPr="00C41533">
        <w:rPr>
          <w:noProof/>
          <w:color w:val="0000FF"/>
        </w:rPr>
        <w:t>(DeMarce</w:t>
      </w:r>
      <w:r w:rsidR="00EF2795">
        <w:rPr>
          <w:noProof/>
          <w:color w:val="0000FF"/>
        </w:rPr>
        <w:t xml:space="preserve"> et al.</w:t>
      </w:r>
      <w:r w:rsidR="001A0AB6" w:rsidRPr="00C41533">
        <w:rPr>
          <w:noProof/>
          <w:color w:val="0000FF"/>
        </w:rPr>
        <w:t xml:space="preserve">, 2008; </w:t>
      </w:r>
      <w:r w:rsidR="00744D35">
        <w:rPr>
          <w:noProof/>
          <w:color w:val="0000FF"/>
        </w:rPr>
        <w:t>Garner et al., 2010</w:t>
      </w:r>
      <w:r w:rsidR="001A0AB6" w:rsidRPr="00C41533">
        <w:rPr>
          <w:noProof/>
          <w:color w:val="0000FF"/>
        </w:rPr>
        <w:t>)</w:t>
      </w:r>
      <w:r w:rsidR="001A0AB6" w:rsidRPr="00C41533">
        <w:rPr>
          <w:color w:val="0000FF"/>
        </w:rPr>
        <w:fldChar w:fldCharType="end"/>
      </w:r>
      <w:r w:rsidR="001A0AB6" w:rsidRPr="00C41533">
        <w:rPr>
          <w:color w:val="0000FF"/>
        </w:rPr>
        <w:t>,</w:t>
      </w:r>
      <w:r w:rsidR="002D35A6">
        <w:rPr>
          <w:color w:val="0000FF"/>
        </w:rPr>
        <w:t xml:space="preserve"> </w:t>
      </w:r>
      <w:r w:rsidR="00A240CE">
        <w:rPr>
          <w:color w:val="0000FF"/>
        </w:rPr>
        <w:t xml:space="preserve">and </w:t>
      </w:r>
      <w:r w:rsidR="002D35A6">
        <w:rPr>
          <w:color w:val="0000FF"/>
        </w:rPr>
        <w:t>lower</w:t>
      </w:r>
      <w:r w:rsidR="001A0AB6" w:rsidRPr="00C41533">
        <w:rPr>
          <w:color w:val="0000FF"/>
        </w:rPr>
        <w:t xml:space="preserve"> </w:t>
      </w:r>
      <w:r w:rsidR="00474A65">
        <w:rPr>
          <w:color w:val="0000FF"/>
        </w:rPr>
        <w:t>mortality (</w:t>
      </w:r>
      <w:r w:rsidR="003E5AE8" w:rsidRPr="003E5AE8">
        <w:rPr>
          <w:color w:val="0000FF"/>
        </w:rPr>
        <w:t>Harris et al., 2015; Paddock et al., 2017; Schmidt et al, 2017)</w:t>
      </w:r>
      <w:r w:rsidR="001A0AB6" w:rsidRPr="00C41533">
        <w:rPr>
          <w:color w:val="0000FF"/>
        </w:rPr>
        <w:t xml:space="preserve">. </w:t>
      </w:r>
      <w:r w:rsidR="002D35A6">
        <w:rPr>
          <w:color w:val="0000FF"/>
        </w:rPr>
        <w:t xml:space="preserve">Potential </w:t>
      </w:r>
      <w:r w:rsidR="00D761EC">
        <w:rPr>
          <w:color w:val="0000FF"/>
        </w:rPr>
        <w:t>benefits to</w:t>
      </w:r>
      <w:r w:rsidR="002D35A6">
        <w:rPr>
          <w:color w:val="0000FF"/>
        </w:rPr>
        <w:t xml:space="preserve"> society include reduced costs related to lower rates of crime and decreased health care </w:t>
      </w:r>
      <w:r w:rsidR="00D761EC">
        <w:rPr>
          <w:color w:val="0000FF"/>
        </w:rPr>
        <w:t>expenditures</w:t>
      </w:r>
      <w:r w:rsidR="001A0AB6" w:rsidRPr="00C41533">
        <w:rPr>
          <w:color w:val="0000FF"/>
        </w:rPr>
        <w:t xml:space="preserve"> </w:t>
      </w:r>
      <w:r w:rsidR="001A0AB6" w:rsidRPr="00C41533">
        <w:rPr>
          <w:color w:val="0000FF"/>
        </w:rPr>
        <w:fldChar w:fldCharType="begin"/>
      </w:r>
      <w:r w:rsidR="001A0AB6" w:rsidRPr="00C41533">
        <w:rPr>
          <w:color w:val="0000FF"/>
        </w:rPr>
        <w:instrText xml:space="preserve"> ADDIN EN.CITE &lt;EndNote&gt;&lt;Cite&gt;&lt;Author&gt;Popovici&lt;/Author&gt;&lt;Year&gt;2008&lt;/Year&gt;&lt;RecNum&gt;436&lt;/RecNum&gt;&lt;DisplayText&gt;(Popovici, French, &amp;amp; McKay, 2008)&lt;/DisplayText&gt;&lt;record&gt;&lt;rec-number&gt;436&lt;/rec-number&gt;&lt;foreign-keys&gt;&lt;key app="EN" db-id="5wxraezd9pev2pe5ervx2rfh5dv0ss52tf2z" timestamp="1511191391"&gt;436&lt;/key&gt;&lt;/foreign-keys&gt;&lt;ref-type name="Journal Article"&gt;17&lt;/ref-type&gt;&lt;contributors&gt;&lt;authors&gt;&lt;author&gt;Popovici, I.&lt;/author&gt;&lt;author&gt;French, M. T.&lt;/author&gt;&lt;author&gt;McKay, J. R.&lt;/author&gt;&lt;/authors&gt;&lt;/contributors&gt;&lt;auth-address&gt;Sociology Research Center, University of Miami, USA.&lt;/auth-address&gt;&lt;titles&gt;&lt;title&gt;Economic evaluation of continuing care interventions in the treatment of substance abuse: recommendations for future research&lt;/title&gt;&lt;secondary-title&gt;Eval Rev&lt;/secondary-title&gt;&lt;/titles&gt;&lt;periodical&gt;&lt;full-title&gt;Eval Rev&lt;/full-title&gt;&lt;abbr-1&gt;Evaluation review&lt;/abbr-1&gt;&lt;/periodical&gt;&lt;pages&gt;547-68&lt;/pages&gt;&lt;volume&gt;32&lt;/volume&gt;&lt;number&gt;6&lt;/number&gt;&lt;keywords&gt;&lt;keyword&gt;*Continuity of Patient Care&lt;/keyword&gt;&lt;keyword&gt;Cost-Benefit Analysis&lt;/keyword&gt;&lt;keyword&gt;Decision Making&lt;/keyword&gt;&lt;keyword&gt;*Health Policy&lt;/keyword&gt;&lt;keyword&gt;Humans&lt;/keyword&gt;&lt;keyword&gt;Models, Economic&lt;/keyword&gt;&lt;keyword&gt;Resource Allocation&lt;/keyword&gt;&lt;keyword&gt;Substance-Related Disorders/drug therapy/*economics/therapy&lt;/keyword&gt;&lt;keyword&gt;United States&lt;/keyword&gt;&lt;/keywords&gt;&lt;dates&gt;&lt;year&gt;2008&lt;/year&gt;&lt;pub-dates&gt;&lt;date&gt;Dec&lt;/date&gt;&lt;/pub-dates&gt;&lt;/dates&gt;&lt;isbn&gt;0193-841X (Print)&amp;#xD;0193-841X (Linking)&lt;/isbn&gt;&lt;accession-num&gt;18334678&lt;/accession-num&gt;&lt;urls&gt;&lt;related-urls&gt;&lt;url&gt;https://www.ncbi.nlm.nih.gov/pubmed/18334678&lt;/url&gt;&lt;/related-urls&gt;&lt;/urls&gt;&lt;electronic-resource-num&gt;10.1177/0193841X08316311&lt;/electronic-resource-num&gt;&lt;/record&gt;&lt;/Cite&gt;&lt;/EndNote&gt;</w:instrText>
      </w:r>
      <w:r w:rsidR="001A0AB6" w:rsidRPr="00C41533">
        <w:rPr>
          <w:color w:val="0000FF"/>
        </w:rPr>
        <w:fldChar w:fldCharType="separate"/>
      </w:r>
      <w:r w:rsidR="001A0AB6" w:rsidRPr="00C41533">
        <w:rPr>
          <w:noProof/>
          <w:color w:val="0000FF"/>
        </w:rPr>
        <w:t>(Popovici, French, &amp; McKay, 2008</w:t>
      </w:r>
      <w:r w:rsidR="00744D35">
        <w:rPr>
          <w:noProof/>
          <w:color w:val="0000FF"/>
        </w:rPr>
        <w:t>; Heslin et al., 2015</w:t>
      </w:r>
      <w:r w:rsidR="001A0AB6" w:rsidRPr="00C41533">
        <w:rPr>
          <w:noProof/>
          <w:color w:val="0000FF"/>
        </w:rPr>
        <w:t>)</w:t>
      </w:r>
      <w:r w:rsidR="001A0AB6" w:rsidRPr="00C41533">
        <w:rPr>
          <w:color w:val="0000FF"/>
        </w:rPr>
        <w:fldChar w:fldCharType="end"/>
      </w:r>
      <w:r w:rsidR="001A0AB6" w:rsidRPr="00C41533">
        <w:rPr>
          <w:color w:val="0000FF"/>
        </w:rPr>
        <w:t>.</w:t>
      </w:r>
    </w:p>
    <w:p w14:paraId="6E6A00FC" w14:textId="37760229" w:rsidR="006C08DE" w:rsidRDefault="00D5623C" w:rsidP="00B53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rPr>
          <w:color w:val="0000FF"/>
        </w:rPr>
      </w:pPr>
      <w:r>
        <w:rPr>
          <w:color w:val="0000FF"/>
        </w:rPr>
        <w:t>As the measure relies on administrative data, it should have low cost of adoption</w:t>
      </w:r>
      <w:r w:rsidR="004B30A3">
        <w:rPr>
          <w:color w:val="0000FF"/>
        </w:rPr>
        <w:t xml:space="preserve">. However, there will still be costs </w:t>
      </w:r>
      <w:r>
        <w:rPr>
          <w:color w:val="0000FF"/>
        </w:rPr>
        <w:t xml:space="preserve">for programmers to </w:t>
      </w:r>
      <w:r w:rsidR="004B30A3">
        <w:rPr>
          <w:color w:val="0000FF"/>
        </w:rPr>
        <w:t xml:space="preserve">implement the measure.  The measure may also result in some increase in </w:t>
      </w:r>
      <w:r w:rsidR="004B30A3">
        <w:rPr>
          <w:color w:val="0000FF"/>
        </w:rPr>
        <w:lastRenderedPageBreak/>
        <w:t xml:space="preserve">healthcare costs. Costs may increase if inpatient and residential providers invest more resources in improving transitions of care and if </w:t>
      </w:r>
      <w:r>
        <w:rPr>
          <w:color w:val="0000FF"/>
        </w:rPr>
        <w:t xml:space="preserve">more people receive </w:t>
      </w:r>
      <w:r w:rsidR="004B30A3">
        <w:rPr>
          <w:color w:val="0000FF"/>
        </w:rPr>
        <w:t>treatment after discharge.  These additional costs may be offset by reductions in SUD-related hospitalizations</w:t>
      </w:r>
      <w:r w:rsidR="00E647BA">
        <w:rPr>
          <w:color w:val="0000FF"/>
        </w:rPr>
        <w:t xml:space="preserve"> and emergency department visits</w:t>
      </w:r>
      <w:r w:rsidR="004B30A3">
        <w:rPr>
          <w:color w:val="0000FF"/>
        </w:rPr>
        <w:t>.</w:t>
      </w:r>
    </w:p>
    <w:p w14:paraId="2C128BE2" w14:textId="319A82E4" w:rsidR="00D5623C" w:rsidRDefault="003D3175" w:rsidP="00E64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rPr>
          <w:color w:val="0000FF"/>
        </w:rPr>
        <w:sectPr w:rsidR="00D5623C">
          <w:footerReference w:type="even" r:id="rId27"/>
          <w:footerReference w:type="default" r:id="rId28"/>
          <w:footerReference w:type="first" r:id="rId29"/>
          <w:pgSz w:w="12240" w:h="15840"/>
          <w:pgMar w:top="1483" w:right="1129" w:bottom="1460" w:left="1085" w:header="720" w:footer="721" w:gutter="0"/>
          <w:cols w:space="720"/>
        </w:sectPr>
      </w:pPr>
      <w:r>
        <w:rPr>
          <w:color w:val="0000FF"/>
        </w:rPr>
        <w:t xml:space="preserve">A </w:t>
      </w:r>
      <w:r w:rsidR="000B097A">
        <w:rPr>
          <w:color w:val="0000FF"/>
        </w:rPr>
        <w:t xml:space="preserve">potential unintended consequence of </w:t>
      </w:r>
      <w:r>
        <w:rPr>
          <w:color w:val="0000FF"/>
        </w:rPr>
        <w:t xml:space="preserve">this measure is that providers </w:t>
      </w:r>
      <w:r w:rsidR="000B097A">
        <w:rPr>
          <w:color w:val="0000FF"/>
        </w:rPr>
        <w:t xml:space="preserve">try to improve on the measure by </w:t>
      </w:r>
      <w:r w:rsidR="00E647BA">
        <w:rPr>
          <w:color w:val="0000FF"/>
        </w:rPr>
        <w:t>selecting</w:t>
      </w:r>
      <w:r w:rsidR="000B097A">
        <w:rPr>
          <w:color w:val="0000FF"/>
        </w:rPr>
        <w:t xml:space="preserve"> picking patients who are most likely to </w:t>
      </w:r>
      <w:r w:rsidR="00E647BA">
        <w:rPr>
          <w:color w:val="0000FF"/>
        </w:rPr>
        <w:t>have post-discharge follow-up or provider may reduce admissions all together. These unintended consequences may be more likely if the measure is paired with a large financial incentive</w:t>
      </w:r>
      <w:r w:rsidR="000B097A">
        <w:rPr>
          <w:color w:val="0000FF"/>
        </w:rPr>
        <w:t xml:space="preserve">. </w:t>
      </w:r>
      <w:bookmarkEnd w:id="1"/>
      <w:r w:rsidR="00E647BA">
        <w:rPr>
          <w:color w:val="0000FF"/>
        </w:rPr>
        <w:t xml:space="preserve"> </w:t>
      </w:r>
    </w:p>
    <w:p w14:paraId="6A173201" w14:textId="14D1AC61" w:rsidR="001A0AB6" w:rsidRDefault="001A0AB6" w:rsidP="001A0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rPr>
        <w:sectPr w:rsidR="001A0AB6" w:rsidSect="001A0AB6">
          <w:pgSz w:w="15840" w:h="12240" w:orient="landscape"/>
          <w:pgMar w:top="1085" w:right="1483" w:bottom="1129" w:left="1460" w:header="720" w:footer="721" w:gutter="0"/>
          <w:cols w:space="720"/>
          <w:docGrid w:linePitch="299"/>
        </w:sectPr>
      </w:pPr>
      <w:r w:rsidRPr="00710AD8">
        <w:rPr>
          <w:rFonts w:asciiTheme="minorHAnsi" w:eastAsiaTheme="minorHAnsi" w:hAnsiTheme="minorHAnsi" w:cstheme="minorBidi"/>
          <w:noProof/>
        </w:rPr>
        <w:lastRenderedPageBreak/>
        <mc:AlternateContent>
          <mc:Choice Requires="wpg">
            <w:drawing>
              <wp:anchor distT="0" distB="0" distL="114300" distR="114300" simplePos="0" relativeHeight="251659264" behindDoc="0" locked="0" layoutInCell="1" allowOverlap="1" wp14:anchorId="4ACEBCAF" wp14:editId="5BB0B12B">
                <wp:simplePos x="0" y="0"/>
                <wp:positionH relativeFrom="column">
                  <wp:posOffset>-765175</wp:posOffset>
                </wp:positionH>
                <wp:positionV relativeFrom="paragraph">
                  <wp:posOffset>-469900</wp:posOffset>
                </wp:positionV>
                <wp:extent cx="8980170" cy="5773420"/>
                <wp:effectExtent l="0" t="0" r="11430" b="17780"/>
                <wp:wrapNone/>
                <wp:docPr id="5" name="Group 4"/>
                <wp:cNvGraphicFramePr/>
                <a:graphic xmlns:a="http://schemas.openxmlformats.org/drawingml/2006/main">
                  <a:graphicData uri="http://schemas.microsoft.com/office/word/2010/wordprocessingGroup">
                    <wpg:wgp>
                      <wpg:cNvGrpSpPr/>
                      <wpg:grpSpPr>
                        <a:xfrm>
                          <a:off x="0" y="0"/>
                          <a:ext cx="8980170" cy="5773420"/>
                          <a:chOff x="0" y="-2501"/>
                          <a:chExt cx="8841290" cy="5075335"/>
                        </a:xfrm>
                      </wpg:grpSpPr>
                      <wps:wsp>
                        <wps:cNvPr id="2" name="Rectangle 2"/>
                        <wps:cNvSpPr/>
                        <wps:spPr>
                          <a:xfrm>
                            <a:off x="0" y="6008"/>
                            <a:ext cx="2333077" cy="329573"/>
                          </a:xfrm>
                          <a:prstGeom prst="rect">
                            <a:avLst/>
                          </a:prstGeom>
                          <a:solidFill>
                            <a:srgbClr val="5B9BD5">
                              <a:lumMod val="75000"/>
                            </a:srgbClr>
                          </a:solidFill>
                          <a:ln w="9525" cap="flat" cmpd="sng" algn="ctr">
                            <a:solidFill>
                              <a:srgbClr val="5B9BD5">
                                <a:lumMod val="75000"/>
                              </a:srgbClr>
                            </a:solidFill>
                            <a:prstDash val="solid"/>
                            <a:miter lim="800000"/>
                          </a:ln>
                          <a:effectLst/>
                        </wps:spPr>
                        <wps:txbx>
                          <w:txbxContent>
                            <w:p w14:paraId="78BCFCD6"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Measure Information</w:t>
                              </w:r>
                            </w:p>
                          </w:txbxContent>
                        </wps:txbx>
                        <wps:bodyPr rot="0" spcFirstLastPara="0" vert="horz" wrap="square" lIns="80682" tIns="40341" rIns="80682" bIns="40341" numCol="1" spcCol="0" rtlCol="0" fromWordArt="0" anchor="ctr" anchorCtr="0" forceAA="0" compatLnSpc="1">
                          <a:prstTxWarp prst="textNoShape">
                            <a:avLst/>
                          </a:prstTxWarp>
                          <a:noAutofit/>
                        </wps:bodyPr>
                      </wps:wsp>
                      <wps:wsp>
                        <wps:cNvPr id="3" name="Rectangle 3"/>
                        <wps:cNvSpPr/>
                        <wps:spPr>
                          <a:xfrm>
                            <a:off x="6383629" y="3080"/>
                            <a:ext cx="2457661" cy="329573"/>
                          </a:xfrm>
                          <a:prstGeom prst="rect">
                            <a:avLst/>
                          </a:prstGeom>
                          <a:solidFill>
                            <a:srgbClr val="5B9BD5">
                              <a:lumMod val="75000"/>
                            </a:srgbClr>
                          </a:solidFill>
                          <a:ln w="9525" cap="flat" cmpd="sng" algn="ctr">
                            <a:solidFill>
                              <a:srgbClr val="5B9BD5">
                                <a:lumMod val="75000"/>
                              </a:srgbClr>
                            </a:solidFill>
                            <a:prstDash val="solid"/>
                            <a:miter lim="800000"/>
                          </a:ln>
                          <a:effectLst/>
                        </wps:spPr>
                        <wps:txbx>
                          <w:txbxContent>
                            <w:p w14:paraId="7EFA7BE3"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Costs and Unintended Consequences</w:t>
                              </w:r>
                            </w:p>
                          </w:txbxContent>
                        </wps:txbx>
                        <wps:bodyPr rot="0" spcFirstLastPara="0" vert="horz" wrap="square" lIns="80682" tIns="40341" rIns="80682" bIns="40341" numCol="1" spcCol="0" rtlCol="0" fromWordArt="0" anchor="ctr" anchorCtr="0" forceAA="0" compatLnSpc="1">
                          <a:prstTxWarp prst="textNoShape">
                            <a:avLst/>
                          </a:prstTxWarp>
                          <a:noAutofit/>
                        </wps:bodyPr>
                      </wps:wsp>
                      <wps:wsp>
                        <wps:cNvPr id="4" name="Rectangle 4"/>
                        <wps:cNvSpPr/>
                        <wps:spPr>
                          <a:xfrm>
                            <a:off x="4140802" y="-2501"/>
                            <a:ext cx="1939120" cy="330576"/>
                          </a:xfrm>
                          <a:prstGeom prst="rect">
                            <a:avLst/>
                          </a:prstGeom>
                          <a:solidFill>
                            <a:srgbClr val="5B9BD5">
                              <a:lumMod val="75000"/>
                            </a:srgbClr>
                          </a:solidFill>
                          <a:ln w="9525" cap="flat" cmpd="sng" algn="ctr">
                            <a:solidFill>
                              <a:srgbClr val="5B9BD5">
                                <a:lumMod val="75000"/>
                              </a:srgbClr>
                            </a:solidFill>
                            <a:prstDash val="solid"/>
                            <a:miter lim="800000"/>
                          </a:ln>
                          <a:effectLst/>
                        </wps:spPr>
                        <wps:txbx>
                          <w:txbxContent>
                            <w:p w14:paraId="571EFD64"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Benefits</w:t>
                              </w:r>
                            </w:p>
                          </w:txbxContent>
                        </wps:txbx>
                        <wps:bodyPr rot="0" spcFirstLastPara="0" vert="horz" wrap="square" lIns="80682" tIns="40341" rIns="80682" bIns="40341" numCol="1" spcCol="0" rtlCol="0" fromWordArt="0" anchor="ctr" anchorCtr="0" forceAA="0" compatLnSpc="1">
                          <a:prstTxWarp prst="textNoShape">
                            <a:avLst/>
                          </a:prstTxWarp>
                          <a:noAutofit/>
                        </wps:bodyPr>
                      </wps:wsp>
                      <wps:wsp>
                        <wps:cNvPr id="6" name="Rectangle 6"/>
                        <wps:cNvSpPr/>
                        <wps:spPr>
                          <a:xfrm>
                            <a:off x="0" y="377895"/>
                            <a:ext cx="2333078" cy="4694939"/>
                          </a:xfrm>
                          <a:prstGeom prst="rect">
                            <a:avLst/>
                          </a:prstGeom>
                          <a:ln w="9525">
                            <a:solidFill>
                              <a:sysClr val="windowText" lastClr="000000"/>
                            </a:solidFill>
                          </a:ln>
                        </wps:spPr>
                        <wps:txbx>
                          <w:txbxContent>
                            <w:p w14:paraId="234DAC8F" w14:textId="4DC25C2D"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 xml:space="preserve">Measure description: </w:t>
                              </w:r>
                              <w:r>
                                <w:rPr>
                                  <w:rFonts w:ascii="Arial" w:hAnsi="Arial" w:cs="Arial"/>
                                  <w:color w:val="000000" w:themeColor="text1"/>
                                  <w:kern w:val="24"/>
                                  <w:sz w:val="16"/>
                                  <w:szCs w:val="16"/>
                                </w:rPr>
                                <w:t>Percentage of discharges from an inpatient or residential treatment for substance use disorder (SUD) for Medicaid beneficiaries, ages 18 to 64, which was followed by a treatment service for SUD. SUD treatment includes having an outpatient visit, intensive outpatient encounter or partial hospitalization, telehealth encounter, or filling a prescription or being administered or ordered a medication for SUD.  (After an inpatient discharge only, residential treatment also counts as continuity of care.) Two rates are reported, continuity within 7 and 30 days after discharge.</w:t>
                              </w:r>
                            </w:p>
                            <w:p w14:paraId="75E1B4E0" w14:textId="77777777" w:rsidR="00740F85" w:rsidRDefault="00740F85" w:rsidP="001A0AB6">
                              <w:pPr>
                                <w:pStyle w:val="NormalWeb"/>
                                <w:spacing w:before="0" w:beforeAutospacing="0" w:after="120" w:afterAutospacing="0"/>
                              </w:pPr>
                              <w:r>
                                <w:rPr>
                                  <w:rFonts w:ascii="Arial" w:hAnsi="Arial" w:cs="Arial"/>
                                  <w:b/>
                                  <w:bCs/>
                                  <w:color w:val="000000" w:themeColor="text1"/>
                                  <w:kern w:val="24"/>
                                  <w:sz w:val="16"/>
                                  <w:szCs w:val="16"/>
                                </w:rPr>
                                <w:t xml:space="preserve">Numerator: </w:t>
                              </w:r>
                              <w:r>
                                <w:rPr>
                                  <w:rFonts w:ascii="Arial" w:hAnsi="Arial" w:cs="Arial"/>
                                  <w:color w:val="000000" w:themeColor="text1"/>
                                  <w:kern w:val="24"/>
                                  <w:sz w:val="16"/>
                                  <w:szCs w:val="16"/>
                                </w:rPr>
                                <w:t xml:space="preserve">Discharges in the denominator with an outpatient visit, intensive outpatient encounter or partial hospitalization, telehealth encounter or filled a prescription for or were administered or ordered a medication for SUD. </w:t>
                              </w:r>
                            </w:p>
                            <w:p w14:paraId="6EE4E7CA" w14:textId="77777777" w:rsidR="00740F85" w:rsidRDefault="00740F85" w:rsidP="001A0AB6">
                              <w:pPr>
                                <w:pStyle w:val="NormalWeb"/>
                                <w:spacing w:before="0" w:beforeAutospacing="0" w:after="120" w:afterAutospacing="0"/>
                              </w:pPr>
                              <w:r>
                                <w:rPr>
                                  <w:rFonts w:ascii="Arial" w:hAnsi="Arial" w:cs="Arial"/>
                                  <w:b/>
                                  <w:bCs/>
                                  <w:color w:val="000000" w:themeColor="text1"/>
                                  <w:kern w:val="24"/>
                                  <w:sz w:val="16"/>
                                  <w:szCs w:val="16"/>
                                </w:rPr>
                                <w:t xml:space="preserve">Denominator: </w:t>
                              </w:r>
                              <w:r>
                                <w:rPr>
                                  <w:rFonts w:ascii="Arial" w:hAnsi="Arial" w:cs="Arial"/>
                                  <w:color w:val="000000" w:themeColor="text1"/>
                                  <w:kern w:val="24"/>
                                  <w:sz w:val="16"/>
                                  <w:szCs w:val="16"/>
                                </w:rPr>
                                <w:t>Adult Medicaid beneficiary discharges from inpatient or residential treatment for SUD with a principal diagnosis of SUD during from January 1 to December 15 of the measurement year.</w:t>
                              </w:r>
                            </w:p>
                            <w:p w14:paraId="5E9D184F" w14:textId="77777777" w:rsidR="00740F85" w:rsidRDefault="00740F85" w:rsidP="001A0AB6">
                              <w:pPr>
                                <w:pStyle w:val="NormalWeb"/>
                                <w:spacing w:before="0" w:beforeAutospacing="0" w:after="60" w:afterAutospacing="0"/>
                              </w:pPr>
                              <w:r>
                                <w:rPr>
                                  <w:rFonts w:ascii="Arial" w:hAnsi="Arial" w:cs="Arial"/>
                                  <w:b/>
                                  <w:bCs/>
                                  <w:color w:val="000000" w:themeColor="text1"/>
                                  <w:kern w:val="24"/>
                                  <w:sz w:val="16"/>
                                  <w:szCs w:val="16"/>
                                </w:rPr>
                                <w:t>Exclusions</w:t>
                              </w:r>
                              <w:r w:rsidRPr="00145756">
                                <w:rPr>
                                  <w:rFonts w:ascii="Arial" w:hAnsi="Arial" w:cs="Arial"/>
                                  <w:b/>
                                  <w:color w:val="000000" w:themeColor="text1"/>
                                  <w:kern w:val="24"/>
                                  <w:sz w:val="16"/>
                                  <w:szCs w:val="16"/>
                                </w:rPr>
                                <w:t>:</w:t>
                              </w:r>
                            </w:p>
                            <w:p w14:paraId="48ED4BF1" w14:textId="77777777" w:rsidR="00740F85" w:rsidRDefault="00740F85" w:rsidP="001A0AB6">
                              <w:pPr>
                                <w:pStyle w:val="NormalWeb"/>
                                <w:numPr>
                                  <w:ilvl w:val="0"/>
                                  <w:numId w:val="14"/>
                                </w:numPr>
                                <w:spacing w:before="0" w:beforeAutospacing="0" w:after="0" w:afterAutospacing="0"/>
                                <w:ind w:left="187" w:hanging="187"/>
                              </w:pPr>
                              <w:r>
                                <w:rPr>
                                  <w:rFonts w:ascii="Arial" w:hAnsi="Arial" w:cs="Arial"/>
                                  <w:color w:val="000000" w:themeColor="text1"/>
                                  <w:kern w:val="24"/>
                                  <w:sz w:val="16"/>
                                  <w:szCs w:val="16"/>
                                </w:rPr>
                                <w:t>The initial discharge and the admission/direct transfer discharge if the admission/direct transfer discharge occurs after December 15 of the measurement year.</w:t>
                              </w:r>
                            </w:p>
                            <w:p w14:paraId="528746B9" w14:textId="1599965B" w:rsidR="00740F85" w:rsidRDefault="00740F85" w:rsidP="001A0AB6">
                              <w:pPr>
                                <w:pStyle w:val="NormalWeb"/>
                                <w:numPr>
                                  <w:ilvl w:val="0"/>
                                  <w:numId w:val="14"/>
                                </w:numPr>
                                <w:spacing w:before="0" w:beforeAutospacing="0" w:after="0" w:afterAutospacing="0"/>
                                <w:ind w:left="187" w:hanging="187"/>
                              </w:pPr>
                              <w:r>
                                <w:rPr>
                                  <w:rFonts w:ascii="Arial" w:hAnsi="Arial" w:cs="Arial"/>
                                  <w:color w:val="000000" w:themeColor="text1"/>
                                  <w:kern w:val="24"/>
                                  <w:sz w:val="16"/>
                                  <w:szCs w:val="16"/>
                                </w:rPr>
                                <w:t xml:space="preserve">Discharges followed by admission or direct transfer to inpatient or SUD residential treatment settings within 7 or 30-day continuity of care period. These discharges are excluded from the measure because transfer, hospitalization or admission to residential treatment within 7 or 30 days may prevent a continuity of care visit from taking place.  An exception is admission to residential treatment following discharge from inpatient treatment. </w:t>
                              </w:r>
                            </w:p>
                          </w:txbxContent>
                        </wps:txbx>
                        <wps:bodyPr wrap="square">
                          <a:noAutofit/>
                        </wps:bodyPr>
                      </wps:wsp>
                      <wps:wsp>
                        <wps:cNvPr id="7" name="Rectangle 7"/>
                        <wps:cNvSpPr/>
                        <wps:spPr>
                          <a:xfrm>
                            <a:off x="6383595" y="377855"/>
                            <a:ext cx="2457661" cy="175181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5B8418D" w14:textId="51D7A1C3"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Measure Implementation costs:</w:t>
                              </w:r>
                            </w:p>
                            <w:p w14:paraId="68B7B7C1" w14:textId="77777777" w:rsidR="00740F85" w:rsidRDefault="00740F85" w:rsidP="001A0AB6">
                              <w:pPr>
                                <w:pStyle w:val="ListParagraph"/>
                                <w:numPr>
                                  <w:ilvl w:val="0"/>
                                  <w:numId w:val="6"/>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Low cost to adopt measure because it relies on administrative data</w:t>
                              </w:r>
                            </w:p>
                            <w:p w14:paraId="2ED8093E" w14:textId="7C47E12A" w:rsidR="00740F85" w:rsidRDefault="00740F85" w:rsidP="004B30A3">
                              <w:pPr>
                                <w:pStyle w:val="ListParagraph"/>
                                <w:numPr>
                                  <w:ilvl w:val="0"/>
                                  <w:numId w:val="6"/>
                                </w:numPr>
                                <w:tabs>
                                  <w:tab w:val="clear" w:pos="720"/>
                                </w:tabs>
                                <w:spacing w:after="0" w:line="240" w:lineRule="auto"/>
                                <w:ind w:left="180" w:hanging="180"/>
                                <w:rPr>
                                  <w:rFonts w:eastAsia="Times New Roman"/>
                                  <w:sz w:val="16"/>
                                </w:rPr>
                              </w:pPr>
                              <w:r w:rsidRPr="004B30A3">
                                <w:rPr>
                                  <w:rFonts w:ascii="Arial" w:hAnsi="Arial" w:cs="Arial"/>
                                  <w:color w:val="000000" w:themeColor="text1"/>
                                  <w:kern w:val="24"/>
                                  <w:sz w:val="16"/>
                                  <w:szCs w:val="16"/>
                                </w:rPr>
                                <w:t>Cost for programmers to implement the measure</w:t>
                              </w:r>
                            </w:p>
                          </w:txbxContent>
                        </wps:txbx>
                        <wps:bodyPr wrap="square" rtlCol="0" anchor="t" anchorCtr="0">
                          <a:noAutofit/>
                        </wps:bodyPr>
                      </wps:wsp>
                      <wps:wsp>
                        <wps:cNvPr id="8" name="Rectangle 8"/>
                        <wps:cNvSpPr/>
                        <wps:spPr>
                          <a:xfrm>
                            <a:off x="4140802" y="377896"/>
                            <a:ext cx="1938642" cy="917464"/>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7D63110"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Health care:</w:t>
                              </w:r>
                              <w:r>
                                <w:rPr>
                                  <w:rFonts w:ascii="Arial" w:hAnsi="Arial" w:cs="Arial"/>
                                  <w:color w:val="000000" w:themeColor="text1"/>
                                  <w:kern w:val="24"/>
                                  <w:sz w:val="16"/>
                                  <w:szCs w:val="16"/>
                                </w:rPr>
                                <w:t xml:space="preserve"> </w:t>
                              </w:r>
                            </w:p>
                            <w:p w14:paraId="2F2504DC" w14:textId="4B92687B" w:rsidR="00740F85" w:rsidRDefault="00740F85" w:rsidP="001A0AB6">
                              <w:pPr>
                                <w:pStyle w:val="ListParagraph"/>
                                <w:numPr>
                                  <w:ilvl w:val="0"/>
                                  <w:numId w:val="7"/>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Continuity of care after inpatient or residential treatment is generally low and varies significantly among providers</w:t>
                              </w:r>
                              <w:r w:rsidR="00613BB9">
                                <w:rPr>
                                  <w:rFonts w:ascii="Arial" w:hAnsi="Arial" w:cs="Arial"/>
                                  <w:color w:val="000000" w:themeColor="text1"/>
                                  <w:kern w:val="24"/>
                                  <w:sz w:val="16"/>
                                  <w:szCs w:val="16"/>
                                </w:rPr>
                                <w:t xml:space="preserve"> within Medicaid programs</w:t>
                              </w:r>
                              <w:r>
                                <w:rPr>
                                  <w:rFonts w:ascii="Arial" w:hAnsi="Arial" w:cs="Arial"/>
                                  <w:color w:val="000000" w:themeColor="text1"/>
                                  <w:kern w:val="24"/>
                                  <w:sz w:val="16"/>
                                  <w:szCs w:val="16"/>
                                </w:rPr>
                                <w:t>; thus, there is much room for improvement in continuity of care</w:t>
                              </w:r>
                            </w:p>
                          </w:txbxContent>
                        </wps:txbx>
                        <wps:bodyPr wrap="square" rtlCol="0" anchor="t" anchorCtr="0">
                          <a:noAutofit/>
                        </wps:bodyPr>
                      </wps:wsp>
                      <wps:wsp>
                        <wps:cNvPr id="9" name="Rectangle 9"/>
                        <wps:cNvSpPr/>
                        <wps:spPr>
                          <a:xfrm>
                            <a:off x="2599881" y="377895"/>
                            <a:ext cx="1273464" cy="122727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1B40C25E" w14:textId="185DE0A8"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 xml:space="preserve">Quality improvement </w:t>
                              </w:r>
                              <w:r w:rsidR="00613BB9">
                                <w:rPr>
                                  <w:rFonts w:ascii="Arial" w:hAnsi="Arial" w:cs="Arial"/>
                                  <w:color w:val="000000" w:themeColor="text1"/>
                                  <w:kern w:val="24"/>
                                  <w:sz w:val="16"/>
                                  <w:szCs w:val="16"/>
                                </w:rPr>
                                <w:t>S</w:t>
                              </w:r>
                              <w:r>
                                <w:rPr>
                                  <w:rFonts w:ascii="Arial" w:hAnsi="Arial" w:cs="Arial"/>
                                  <w:color w:val="000000" w:themeColor="text1"/>
                                  <w:kern w:val="24"/>
                                  <w:sz w:val="16"/>
                                  <w:szCs w:val="16"/>
                                </w:rPr>
                                <w:t>upports quality monitoring and improvement at the state, program, or provider level</w:t>
                              </w:r>
                            </w:p>
                          </w:txbxContent>
                        </wps:txbx>
                        <wps:bodyPr wrap="square" rtlCol="0" anchor="t" anchorCtr="0">
                          <a:noAutofit/>
                        </wps:bodyPr>
                      </wps:wsp>
                      <wps:wsp>
                        <wps:cNvPr id="10" name="Rectangle 10"/>
                        <wps:cNvSpPr/>
                        <wps:spPr>
                          <a:xfrm>
                            <a:off x="4152443" y="1395840"/>
                            <a:ext cx="1938642" cy="156580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EEA2157" w14:textId="77777777"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Health outcomes after inpatient or residential discharge:</w:t>
                              </w:r>
                            </w:p>
                            <w:p w14:paraId="070DE47F" w14:textId="77777777" w:rsidR="00740F85" w:rsidRDefault="00740F85" w:rsidP="001A0AB6">
                              <w:pPr>
                                <w:pStyle w:val="NormalWeb"/>
                                <w:spacing w:before="0" w:beforeAutospacing="0" w:after="60" w:afterAutospacing="0"/>
                              </w:pPr>
                              <w:r>
                                <w:rPr>
                                  <w:rFonts w:ascii="Arial" w:hAnsi="Arial" w:cs="Arial"/>
                                  <w:b/>
                                  <w:bCs/>
                                  <w:color w:val="000000" w:themeColor="text1"/>
                                  <w:kern w:val="24"/>
                                  <w:sz w:val="16"/>
                                  <w:szCs w:val="16"/>
                                </w:rPr>
                                <w:t xml:space="preserve">Impact on clients </w:t>
                              </w:r>
                            </w:p>
                            <w:p w14:paraId="3B03801A"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Fewer hospital readmissions</w:t>
                              </w:r>
                            </w:p>
                            <w:p w14:paraId="1056467B"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Less substance use and relapse</w:t>
                              </w:r>
                            </w:p>
                            <w:p w14:paraId="58DA98C6"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Improved employment status</w:t>
                              </w:r>
                            </w:p>
                            <w:p w14:paraId="5523D7B1" w14:textId="7C96C14E" w:rsidR="00740F85" w:rsidRPr="00B75F3A" w:rsidRDefault="00740F85" w:rsidP="001A0AB6">
                              <w:pPr>
                                <w:pStyle w:val="ListParagraph"/>
                                <w:numPr>
                                  <w:ilvl w:val="0"/>
                                  <w:numId w:val="8"/>
                                </w:numPr>
                                <w:tabs>
                                  <w:tab w:val="clear" w:pos="720"/>
                                </w:tabs>
                                <w:spacing w:after="120" w:line="240" w:lineRule="auto"/>
                                <w:ind w:left="180" w:hanging="180"/>
                                <w:rPr>
                                  <w:rFonts w:eastAsia="Times New Roman"/>
                                  <w:sz w:val="16"/>
                                </w:rPr>
                              </w:pPr>
                              <w:r>
                                <w:rPr>
                                  <w:rFonts w:ascii="Arial" w:hAnsi="Arial" w:cs="Arial"/>
                                  <w:color w:val="000000" w:themeColor="text1"/>
                                  <w:kern w:val="24"/>
                                  <w:sz w:val="16"/>
                                  <w:szCs w:val="16"/>
                                </w:rPr>
                                <w:t>Reduction in criminal justice activity</w:t>
                              </w:r>
                            </w:p>
                            <w:p w14:paraId="3E82CD2A" w14:textId="519B9F62" w:rsidR="00740F85" w:rsidRDefault="00740F85" w:rsidP="001A0AB6">
                              <w:pPr>
                                <w:pStyle w:val="ListParagraph"/>
                                <w:numPr>
                                  <w:ilvl w:val="0"/>
                                  <w:numId w:val="8"/>
                                </w:numPr>
                                <w:tabs>
                                  <w:tab w:val="clear" w:pos="720"/>
                                </w:tabs>
                                <w:spacing w:after="120" w:line="240" w:lineRule="auto"/>
                                <w:ind w:left="180" w:hanging="180"/>
                                <w:rPr>
                                  <w:rFonts w:eastAsia="Times New Roman"/>
                                  <w:sz w:val="16"/>
                                </w:rPr>
                              </w:pPr>
                              <w:r>
                                <w:rPr>
                                  <w:rFonts w:ascii="Arial" w:hAnsi="Arial" w:cs="Arial"/>
                                  <w:color w:val="000000" w:themeColor="text1"/>
                                  <w:kern w:val="24"/>
                                  <w:sz w:val="16"/>
                                  <w:szCs w:val="16"/>
                                </w:rPr>
                                <w:t>Lower mortality</w:t>
                              </w:r>
                            </w:p>
                            <w:p w14:paraId="5B16937D" w14:textId="77777777" w:rsidR="00740F85" w:rsidRDefault="00740F85" w:rsidP="001A0AB6">
                              <w:pPr>
                                <w:pStyle w:val="NormalWeb"/>
                                <w:spacing w:before="0" w:beforeAutospacing="0" w:after="60" w:afterAutospacing="0"/>
                                <w:rPr>
                                  <w:rFonts w:eastAsiaTheme="minorEastAsia"/>
                                </w:rPr>
                              </w:pPr>
                              <w:r>
                                <w:rPr>
                                  <w:rFonts w:ascii="Arial" w:hAnsi="Arial" w:cs="Arial"/>
                                  <w:b/>
                                  <w:bCs/>
                                  <w:color w:val="000000" w:themeColor="text1"/>
                                  <w:kern w:val="24"/>
                                  <w:sz w:val="16"/>
                                  <w:szCs w:val="16"/>
                                </w:rPr>
                                <w:t xml:space="preserve">Impact on society </w:t>
                              </w:r>
                            </w:p>
                            <w:p w14:paraId="0C251BB9" w14:textId="77777777" w:rsidR="00740F85" w:rsidRDefault="00740F85" w:rsidP="001A0AB6">
                              <w:pPr>
                                <w:pStyle w:val="ListParagraph"/>
                                <w:numPr>
                                  <w:ilvl w:val="0"/>
                                  <w:numId w:val="9"/>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Reduction in costs related to lower crime rates and lower health care costs</w:t>
                              </w:r>
                            </w:p>
                          </w:txbxContent>
                        </wps:txbx>
                        <wps:bodyPr wrap="square" rtlCol="0" anchor="t" anchorCtr="0">
                          <a:noAutofit/>
                        </wps:bodyPr>
                      </wps:wsp>
                      <wps:wsp>
                        <wps:cNvPr id="11" name="Rectangle 11"/>
                        <wps:cNvSpPr/>
                        <wps:spPr>
                          <a:xfrm>
                            <a:off x="4159944" y="2993624"/>
                            <a:ext cx="1931140" cy="69888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C5F9535"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Health care/Medicaid savings:</w:t>
                              </w:r>
                            </w:p>
                            <w:p w14:paraId="49EBBE03" w14:textId="77777777" w:rsidR="00740F85" w:rsidRDefault="00740F85" w:rsidP="001A0AB6">
                              <w:pPr>
                                <w:pStyle w:val="ListParagraph"/>
                                <w:numPr>
                                  <w:ilvl w:val="0"/>
                                  <w:numId w:val="10"/>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Lower costs as a result of continuity of care that helps to sustain a patient’s gains from the initial treatment and to prevent relapses</w:t>
                              </w:r>
                            </w:p>
                          </w:txbxContent>
                        </wps:txbx>
                        <wps:bodyPr wrap="square" rtlCol="0" anchor="t" anchorCtr="0">
                          <a:noAutofit/>
                        </wps:bodyPr>
                      </wps:wsp>
                      <wps:wsp>
                        <wps:cNvPr id="12" name="Rectangle 12"/>
                        <wps:cNvSpPr/>
                        <wps:spPr>
                          <a:xfrm>
                            <a:off x="6388135" y="2315344"/>
                            <a:ext cx="2453155" cy="109008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01E40F6" w14:textId="6C95F5F3"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Cost of Improved Continuity:</w:t>
                              </w:r>
                            </w:p>
                            <w:p w14:paraId="4D02FE60" w14:textId="5BEB784A"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B75F3A">
                                <w:rPr>
                                  <w:rFonts w:ascii="Arial" w:eastAsia="Times New Roman" w:hAnsi="Arial" w:cs="Arial"/>
                                  <w:sz w:val="16"/>
                                </w:rPr>
                                <w:t>Increased resources spent by inpatient and residential SUD providers to improve post discharge follow-up</w:t>
                              </w:r>
                            </w:p>
                            <w:p w14:paraId="63AEEB84" w14:textId="5009687B"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6D4430">
                                <w:rPr>
                                  <w:rFonts w:ascii="Arial" w:hAnsi="Arial" w:cs="Arial"/>
                                  <w:color w:val="000000" w:themeColor="text1"/>
                                  <w:kern w:val="24"/>
                                  <w:sz w:val="16"/>
                                  <w:szCs w:val="16"/>
                                </w:rPr>
                                <w:t>Increased cost to Medicaid if more people receive SUD services after discharge</w:t>
                              </w:r>
                            </w:p>
                            <w:p w14:paraId="738BD649" w14:textId="3C3A6233"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6D4430">
                                <w:rPr>
                                  <w:rFonts w:ascii="Arial" w:hAnsi="Arial" w:cs="Arial"/>
                                  <w:color w:val="000000" w:themeColor="text1"/>
                                  <w:kern w:val="24"/>
                                  <w:sz w:val="16"/>
                                  <w:szCs w:val="16"/>
                                </w:rPr>
                                <w:t>These additional costs may be off-set by reduced readmissions for SUD and SUD-related medical comorbidities.</w:t>
                              </w:r>
                            </w:p>
                          </w:txbxContent>
                        </wps:txbx>
                        <wps:bodyPr wrap="square" rtlCol="0" anchor="t" anchorCtr="0">
                          <a:noAutofit/>
                        </wps:bodyPr>
                      </wps:wsp>
                      <wps:wsp>
                        <wps:cNvPr id="13" name="Rectangle 13"/>
                        <wps:cNvSpPr/>
                        <wps:spPr>
                          <a:xfrm>
                            <a:off x="2599879" y="3081"/>
                            <a:ext cx="1278342" cy="329573"/>
                          </a:xfrm>
                          <a:prstGeom prst="rect">
                            <a:avLst/>
                          </a:prstGeom>
                          <a:solidFill>
                            <a:srgbClr val="2E75B6"/>
                          </a:solidFill>
                          <a:ln w="9525" cap="flat" cmpd="sng" algn="ctr">
                            <a:solidFill>
                              <a:srgbClr val="5B9BD5">
                                <a:lumMod val="75000"/>
                              </a:srgbClr>
                            </a:solidFill>
                            <a:prstDash val="solid"/>
                            <a:miter lim="800000"/>
                          </a:ln>
                          <a:effectLst/>
                        </wps:spPr>
                        <wps:txbx>
                          <w:txbxContent>
                            <w:p w14:paraId="33E79801"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Measure Implementation</w:t>
                              </w:r>
                            </w:p>
                          </w:txbxContent>
                        </wps:txbx>
                        <wps:bodyPr rot="0" spcFirstLastPara="0" vert="horz" wrap="square" lIns="80682" tIns="40341" rIns="80682" bIns="40341" numCol="1" spcCol="0" rtlCol="0" fromWordArt="0" anchor="ctr" anchorCtr="0" forceAA="0" compatLnSpc="1">
                          <a:prstTxWarp prst="textNoShape">
                            <a:avLst/>
                          </a:prstTxWarp>
                          <a:noAutofit/>
                        </wps:bodyPr>
                      </wps:wsp>
                      <wps:wsp>
                        <wps:cNvPr id="14" name="Rectangle 14"/>
                        <wps:cNvSpPr/>
                        <wps:spPr>
                          <a:xfrm>
                            <a:off x="2560110" y="3922986"/>
                            <a:ext cx="3519333" cy="228600"/>
                          </a:xfrm>
                          <a:prstGeom prst="rect">
                            <a:avLst/>
                          </a:prstGeom>
                          <a:solidFill>
                            <a:srgbClr val="2E75B6"/>
                          </a:solidFill>
                          <a:ln w="9525" cap="flat" cmpd="sng" algn="ctr">
                            <a:solidFill>
                              <a:srgbClr val="5B9BD5">
                                <a:lumMod val="75000"/>
                              </a:srgbClr>
                            </a:solidFill>
                            <a:prstDash val="solid"/>
                            <a:miter lim="800000"/>
                          </a:ln>
                          <a:effectLst/>
                        </wps:spPr>
                        <wps:txbx>
                          <w:txbxContent>
                            <w:p w14:paraId="0096F7AC"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Influencing Factors</w:t>
                              </w:r>
                            </w:p>
                          </w:txbxContent>
                        </wps:txbx>
                        <wps:bodyPr rot="0" spcFirstLastPara="0" vert="horz" wrap="square" lIns="80682" tIns="40341" rIns="80682" bIns="40341" numCol="1" spcCol="0" rtlCol="0" fromWordArt="0" anchor="ctr" anchorCtr="0" forceAA="0" compatLnSpc="1">
                          <a:prstTxWarp prst="textNoShape">
                            <a:avLst/>
                          </a:prstTxWarp>
                          <a:noAutofit/>
                        </wps:bodyPr>
                      </wps:wsp>
                      <wps:wsp>
                        <wps:cNvPr id="15" name="Rectangle 15"/>
                        <wps:cNvSpPr/>
                        <wps:spPr>
                          <a:xfrm>
                            <a:off x="2569488" y="4183706"/>
                            <a:ext cx="3509955" cy="888571"/>
                          </a:xfrm>
                          <a:prstGeom prst="rect">
                            <a:avLst/>
                          </a:prstGeom>
                          <a:solidFill>
                            <a:sysClr val="window" lastClr="FFFFFF"/>
                          </a:solidFill>
                          <a:ln w="9525" cap="flat" cmpd="sng" algn="ctr">
                            <a:solidFill>
                              <a:sysClr val="windowText" lastClr="000000">
                                <a:alpha val="96000"/>
                              </a:sysClr>
                            </a:solidFill>
                            <a:prstDash val="solid"/>
                            <a:miter lim="800000"/>
                          </a:ln>
                          <a:effectLst/>
                        </wps:spPr>
                        <wps:txbx>
                          <w:txbxContent>
                            <w:p w14:paraId="5F866FC0" w14:textId="77777777" w:rsidR="00740F85" w:rsidRDefault="00740F85" w:rsidP="001A0AB6">
                              <w:pPr>
                                <w:pStyle w:val="ListParagraph"/>
                                <w:numPr>
                                  <w:ilvl w:val="0"/>
                                  <w:numId w:val="12"/>
                                </w:numPr>
                                <w:tabs>
                                  <w:tab w:val="clear" w:pos="720"/>
                                </w:tabs>
                                <w:spacing w:before="60" w:after="0" w:line="240" w:lineRule="auto"/>
                                <w:ind w:left="180" w:hanging="180"/>
                                <w:rPr>
                                  <w:rFonts w:eastAsia="Times New Roman"/>
                                  <w:sz w:val="16"/>
                                </w:rPr>
                              </w:pPr>
                              <w:r>
                                <w:rPr>
                                  <w:rFonts w:ascii="Arial" w:hAnsi="Arial" w:cs="Arial"/>
                                  <w:color w:val="000000" w:themeColor="text1"/>
                                  <w:kern w:val="24"/>
                                  <w:sz w:val="16"/>
                                  <w:szCs w:val="16"/>
                                </w:rPr>
                                <w:t>Health system issues</w:t>
                              </w:r>
                            </w:p>
                            <w:p w14:paraId="4379F7C2" w14:textId="77777777" w:rsidR="00740F85" w:rsidRDefault="00740F85" w:rsidP="001A0AB6">
                              <w:pPr>
                                <w:pStyle w:val="ListParagraph"/>
                                <w:numPr>
                                  <w:ilvl w:val="1"/>
                                  <w:numId w:val="12"/>
                                </w:numPr>
                                <w:tabs>
                                  <w:tab w:val="clear" w:pos="1440"/>
                                </w:tabs>
                                <w:spacing w:after="0" w:line="240" w:lineRule="auto"/>
                                <w:ind w:left="450" w:hanging="180"/>
                                <w:rPr>
                                  <w:rFonts w:eastAsia="Times New Roman"/>
                                  <w:sz w:val="16"/>
                                </w:rPr>
                              </w:pPr>
                              <w:r>
                                <w:rPr>
                                  <w:rFonts w:ascii="Arial" w:hAnsi="Arial" w:cs="Arial"/>
                                  <w:color w:val="000000" w:themeColor="text1"/>
                                  <w:kern w:val="24"/>
                                  <w:sz w:val="16"/>
                                  <w:szCs w:val="16"/>
                                </w:rPr>
                                <w:t>System organization and capacity</w:t>
                              </w:r>
                            </w:p>
                            <w:p w14:paraId="3922B39B" w14:textId="77777777" w:rsidR="00740F85" w:rsidRDefault="00740F85" w:rsidP="001A0AB6">
                              <w:pPr>
                                <w:pStyle w:val="ListParagraph"/>
                                <w:numPr>
                                  <w:ilvl w:val="1"/>
                                  <w:numId w:val="12"/>
                                </w:numPr>
                                <w:tabs>
                                  <w:tab w:val="clear" w:pos="1440"/>
                                </w:tabs>
                                <w:spacing w:after="120" w:line="240" w:lineRule="auto"/>
                                <w:ind w:left="461" w:hanging="187"/>
                                <w:contextualSpacing w:val="0"/>
                                <w:rPr>
                                  <w:rFonts w:eastAsia="Times New Roman"/>
                                  <w:sz w:val="16"/>
                                </w:rPr>
                              </w:pPr>
                              <w:r>
                                <w:rPr>
                                  <w:rFonts w:ascii="Arial" w:hAnsi="Arial" w:cs="Arial"/>
                                  <w:color w:val="000000" w:themeColor="text1"/>
                                  <w:kern w:val="24"/>
                                  <w:sz w:val="16"/>
                                  <w:szCs w:val="16"/>
                                </w:rPr>
                                <w:t>Location of necessary services</w:t>
                              </w:r>
                            </w:p>
                          </w:txbxContent>
                        </wps:txbx>
                        <wps:bodyPr wrap="square" rtlCol="0" anchor="t" anchorCtr="0">
                          <a:noAutofit/>
                        </wps:bodyPr>
                      </wps:wsp>
                      <wps:wsp>
                        <wps:cNvPr id="16" name="Rectangle 16"/>
                        <wps:cNvSpPr/>
                        <wps:spPr>
                          <a:xfrm>
                            <a:off x="6383595" y="3433912"/>
                            <a:ext cx="2453382" cy="1638365"/>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453ABF2"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Unintended consequences:</w:t>
                              </w:r>
                            </w:p>
                            <w:p w14:paraId="78F844EB" w14:textId="2E8291BF" w:rsidR="00740F85" w:rsidRDefault="00740F85" w:rsidP="001A0AB6">
                              <w:pPr>
                                <w:pStyle w:val="ListParagraph"/>
                                <w:numPr>
                                  <w:ilvl w:val="0"/>
                                  <w:numId w:val="13"/>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Providers may avoid clients whom they consider less likely to have continuity</w:t>
                              </w:r>
                              <w:r w:rsidR="003C5778">
                                <w:rPr>
                                  <w:rFonts w:ascii="Arial" w:hAnsi="Arial" w:cs="Arial"/>
                                  <w:color w:val="000000" w:themeColor="text1"/>
                                  <w:kern w:val="24"/>
                                  <w:sz w:val="16"/>
                                  <w:szCs w:val="16"/>
                                </w:rPr>
                                <w:t xml:space="preserve"> or avoid admitting clients with SUD.</w:t>
                              </w:r>
                            </w:p>
                          </w:txbxContent>
                        </wps:txbx>
                        <wps:bodyPr wrap="square" rtlCol="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ACEBCAF" id="Group 4" o:spid="_x0000_s1026" style="position:absolute;margin-left:-60.25pt;margin-top:-37pt;width:707.1pt;height:454.6pt;z-index:251659264;mso-width-relative:margin;mso-height-relative:margin" coordorigin=",-25" coordsize="88412,50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">
                <v:rect id="Rectangle 2" o:spid="_x0000_s1027" style="position:absolute;top:60;width:23330;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" fillcolor="#2e75b6" strokecolor="#2e75b6">
                  <v:textbox inset="2.24117mm,1.1206mm,2.24117mm,1.1206mm">
                    <w:txbxContent>
                      <w:p w14:paraId="78BCFCD6"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Measure Information</w:t>
                        </w:r>
                      </w:p>
                    </w:txbxContent>
                  </v:textbox>
                </v:rect>
                <v:rect id="Rectangle 3" o:spid="_x0000_s1028" style="position:absolute;left:63836;top:30;width:24576;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" fillcolor="#2e75b6" strokecolor="#2e75b6">
                  <v:textbox inset="2.24117mm,1.1206mm,2.24117mm,1.1206mm">
                    <w:txbxContent>
                      <w:p w14:paraId="7EFA7BE3"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Costs and Unintended Consequences</w:t>
                        </w:r>
                      </w:p>
                    </w:txbxContent>
                  </v:textbox>
                </v:rect>
                <v:rect id="Rectangle 4" o:spid="_x0000_s1029" style="position:absolute;left:41408;top:-25;width:19391;height:3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" fillcolor="#2e75b6" strokecolor="#2e75b6">
                  <v:textbox inset="2.24117mm,1.1206mm,2.24117mm,1.1206mm">
                    <w:txbxContent>
                      <w:p w14:paraId="571EFD64"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Benefits</w:t>
                        </w:r>
                      </w:p>
                    </w:txbxContent>
                  </v:textbox>
                </v:rect>
                <v:rect id="Rectangle 6" o:spid="_x0000_s1030" style="position:absolute;top:3778;width:23330;height:46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" filled="f" strokecolor="windowText">
                  <v:textbox>
                    <w:txbxContent>
                      <w:p w14:paraId="234DAC8F" w14:textId="4DC25C2D"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 xml:space="preserve">Measure description: </w:t>
                        </w:r>
                        <w:r>
                          <w:rPr>
                            <w:rFonts w:ascii="Arial" w:hAnsi="Arial" w:cs="Arial"/>
                            <w:color w:val="000000" w:themeColor="text1"/>
                            <w:kern w:val="24"/>
                            <w:sz w:val="16"/>
                            <w:szCs w:val="16"/>
                          </w:rPr>
                          <w:t>Percentage of discharges from an inpatient or residential treatment for substance use disorder (SUD) for Medicaid beneficiaries, ages 18 to 64, which was followed by a treatment service for SUD. SUD treatment includes having an outpatient visit, intensive outpatient encounter or partial hospitalization, telehealth encounter, or filling a prescription or being administered or ordered a medication for SUD.  (After an inpatient discharge only, residential treatment also counts as continuity of care.) Two rates are reported, continuity within 7 and 30 days after discharge.</w:t>
                        </w:r>
                      </w:p>
                      <w:p w14:paraId="75E1B4E0" w14:textId="77777777" w:rsidR="00740F85" w:rsidRDefault="00740F85" w:rsidP="001A0AB6">
                        <w:pPr>
                          <w:pStyle w:val="NormalWeb"/>
                          <w:spacing w:before="0" w:beforeAutospacing="0" w:after="120" w:afterAutospacing="0"/>
                        </w:pPr>
                        <w:r>
                          <w:rPr>
                            <w:rFonts w:ascii="Arial" w:hAnsi="Arial" w:cs="Arial"/>
                            <w:b/>
                            <w:bCs/>
                            <w:color w:val="000000" w:themeColor="text1"/>
                            <w:kern w:val="24"/>
                            <w:sz w:val="16"/>
                            <w:szCs w:val="16"/>
                          </w:rPr>
                          <w:t xml:space="preserve">Numerator: </w:t>
                        </w:r>
                        <w:r>
                          <w:rPr>
                            <w:rFonts w:ascii="Arial" w:hAnsi="Arial" w:cs="Arial"/>
                            <w:color w:val="000000" w:themeColor="text1"/>
                            <w:kern w:val="24"/>
                            <w:sz w:val="16"/>
                            <w:szCs w:val="16"/>
                          </w:rPr>
                          <w:t xml:space="preserve">Discharges in the denominator with an outpatient visit, intensive outpatient encounter or partial hospitalization, telehealth encounter or filled a prescription for or were administered or ordered a medication for SUD. </w:t>
                        </w:r>
                      </w:p>
                      <w:p w14:paraId="6EE4E7CA" w14:textId="77777777" w:rsidR="00740F85" w:rsidRDefault="00740F85" w:rsidP="001A0AB6">
                        <w:pPr>
                          <w:pStyle w:val="NormalWeb"/>
                          <w:spacing w:before="0" w:beforeAutospacing="0" w:after="120" w:afterAutospacing="0"/>
                        </w:pPr>
                        <w:r>
                          <w:rPr>
                            <w:rFonts w:ascii="Arial" w:hAnsi="Arial" w:cs="Arial"/>
                            <w:b/>
                            <w:bCs/>
                            <w:color w:val="000000" w:themeColor="text1"/>
                            <w:kern w:val="24"/>
                            <w:sz w:val="16"/>
                            <w:szCs w:val="16"/>
                          </w:rPr>
                          <w:t xml:space="preserve">Denominator: </w:t>
                        </w:r>
                        <w:r>
                          <w:rPr>
                            <w:rFonts w:ascii="Arial" w:hAnsi="Arial" w:cs="Arial"/>
                            <w:color w:val="000000" w:themeColor="text1"/>
                            <w:kern w:val="24"/>
                            <w:sz w:val="16"/>
                            <w:szCs w:val="16"/>
                          </w:rPr>
                          <w:t>Adult Medicaid beneficiary discharges from inpatient or residential treatment for SUD with a principal diagnosis of SUD during from January 1 to December 15 of the measurement year.</w:t>
                        </w:r>
                      </w:p>
                      <w:p w14:paraId="5E9D184F" w14:textId="77777777" w:rsidR="00740F85" w:rsidRDefault="00740F85" w:rsidP="001A0AB6">
                        <w:pPr>
                          <w:pStyle w:val="NormalWeb"/>
                          <w:spacing w:before="0" w:beforeAutospacing="0" w:after="60" w:afterAutospacing="0"/>
                        </w:pPr>
                        <w:r>
                          <w:rPr>
                            <w:rFonts w:ascii="Arial" w:hAnsi="Arial" w:cs="Arial"/>
                            <w:b/>
                            <w:bCs/>
                            <w:color w:val="000000" w:themeColor="text1"/>
                            <w:kern w:val="24"/>
                            <w:sz w:val="16"/>
                            <w:szCs w:val="16"/>
                          </w:rPr>
                          <w:t>Exclusions</w:t>
                        </w:r>
                        <w:r w:rsidRPr="00145756">
                          <w:rPr>
                            <w:rFonts w:ascii="Arial" w:hAnsi="Arial" w:cs="Arial"/>
                            <w:b/>
                            <w:color w:val="000000" w:themeColor="text1"/>
                            <w:kern w:val="24"/>
                            <w:sz w:val="16"/>
                            <w:szCs w:val="16"/>
                          </w:rPr>
                          <w:t>:</w:t>
                        </w:r>
                      </w:p>
                      <w:p w14:paraId="48ED4BF1" w14:textId="77777777" w:rsidR="00740F85" w:rsidRDefault="00740F85" w:rsidP="001A0AB6">
                        <w:pPr>
                          <w:pStyle w:val="NormalWeb"/>
                          <w:numPr>
                            <w:ilvl w:val="0"/>
                            <w:numId w:val="14"/>
                          </w:numPr>
                          <w:spacing w:before="0" w:beforeAutospacing="0" w:after="0" w:afterAutospacing="0"/>
                          <w:ind w:left="187" w:hanging="187"/>
                        </w:pPr>
                        <w:r>
                          <w:rPr>
                            <w:rFonts w:ascii="Arial" w:hAnsi="Arial" w:cs="Arial"/>
                            <w:color w:val="000000" w:themeColor="text1"/>
                            <w:kern w:val="24"/>
                            <w:sz w:val="16"/>
                            <w:szCs w:val="16"/>
                          </w:rPr>
                          <w:t>The initial discharge and the admission/direct transfer discharge if the admission/direct transfer discharge occurs after December 15 of the measurement year.</w:t>
                        </w:r>
                      </w:p>
                      <w:p w14:paraId="528746B9" w14:textId="1599965B" w:rsidR="00740F85" w:rsidRDefault="00740F85" w:rsidP="001A0AB6">
                        <w:pPr>
                          <w:pStyle w:val="NormalWeb"/>
                          <w:numPr>
                            <w:ilvl w:val="0"/>
                            <w:numId w:val="14"/>
                          </w:numPr>
                          <w:spacing w:before="0" w:beforeAutospacing="0" w:after="0" w:afterAutospacing="0"/>
                          <w:ind w:left="187" w:hanging="187"/>
                        </w:pPr>
                        <w:r>
                          <w:rPr>
                            <w:rFonts w:ascii="Arial" w:hAnsi="Arial" w:cs="Arial"/>
                            <w:color w:val="000000" w:themeColor="text1"/>
                            <w:kern w:val="24"/>
                            <w:sz w:val="16"/>
                            <w:szCs w:val="16"/>
                          </w:rPr>
                          <w:t xml:space="preserve">Discharges followed by admission or direct transfer to inpatient or SUD residential treatment settings within 7 or 30-day continuity of care period. These discharges are excluded from the measure because transfer, </w:t>
                        </w:r>
                        <w:proofErr w:type="gramStart"/>
                        <w:r>
                          <w:rPr>
                            <w:rFonts w:ascii="Arial" w:hAnsi="Arial" w:cs="Arial"/>
                            <w:color w:val="000000" w:themeColor="text1"/>
                            <w:kern w:val="24"/>
                            <w:sz w:val="16"/>
                            <w:szCs w:val="16"/>
                          </w:rPr>
                          <w:t>hospitalization</w:t>
                        </w:r>
                        <w:proofErr w:type="gramEnd"/>
                        <w:r>
                          <w:rPr>
                            <w:rFonts w:ascii="Arial" w:hAnsi="Arial" w:cs="Arial"/>
                            <w:color w:val="000000" w:themeColor="text1"/>
                            <w:kern w:val="24"/>
                            <w:sz w:val="16"/>
                            <w:szCs w:val="16"/>
                          </w:rPr>
                          <w:t xml:space="preserve"> or admission to residential treatment within 7 or 30 days may prevent a continuity of care visit from taking place.  An exception is admission to residential treatment following discharge from inpatient treatment. </w:t>
                        </w:r>
                      </w:p>
                    </w:txbxContent>
                  </v:textbox>
                </v:rect>
                <v:rect id="Rectangle 7" o:spid="_x0000_s1031" style="position:absolute;left:63835;top:3778;width:24577;height:17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" fillcolor="window" strokecolor="windowText">
                  <v:textbox>
                    <w:txbxContent>
                      <w:p w14:paraId="65B8418D" w14:textId="51D7A1C3"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Measure Implementation costs:</w:t>
                        </w:r>
                      </w:p>
                      <w:p w14:paraId="68B7B7C1" w14:textId="77777777" w:rsidR="00740F85" w:rsidRDefault="00740F85" w:rsidP="001A0AB6">
                        <w:pPr>
                          <w:pStyle w:val="ListParagraph"/>
                          <w:numPr>
                            <w:ilvl w:val="0"/>
                            <w:numId w:val="6"/>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Low cost to adopt measure because it relies on administrative data</w:t>
                        </w:r>
                      </w:p>
                      <w:p w14:paraId="2ED8093E" w14:textId="7C47E12A" w:rsidR="00740F85" w:rsidRDefault="00740F85" w:rsidP="004B30A3">
                        <w:pPr>
                          <w:pStyle w:val="ListParagraph"/>
                          <w:numPr>
                            <w:ilvl w:val="0"/>
                            <w:numId w:val="6"/>
                          </w:numPr>
                          <w:tabs>
                            <w:tab w:val="clear" w:pos="720"/>
                          </w:tabs>
                          <w:spacing w:after="0" w:line="240" w:lineRule="auto"/>
                          <w:ind w:left="180" w:hanging="180"/>
                          <w:rPr>
                            <w:rFonts w:eastAsia="Times New Roman"/>
                            <w:sz w:val="16"/>
                          </w:rPr>
                        </w:pPr>
                        <w:r w:rsidRPr="004B30A3">
                          <w:rPr>
                            <w:rFonts w:ascii="Arial" w:hAnsi="Arial" w:cs="Arial"/>
                            <w:color w:val="000000" w:themeColor="text1"/>
                            <w:kern w:val="24"/>
                            <w:sz w:val="16"/>
                            <w:szCs w:val="16"/>
                          </w:rPr>
                          <w:t>Cost for programmers to implement the measure</w:t>
                        </w:r>
                      </w:p>
                    </w:txbxContent>
                  </v:textbox>
                </v:rect>
                <v:rect id="Rectangle 8" o:spid="_x0000_s1032" style="position:absolute;left:41408;top:3778;width:19386;height:9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" fillcolor="window" strokecolor="windowText">
                  <v:textbox>
                    <w:txbxContent>
                      <w:p w14:paraId="37D63110"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Health care:</w:t>
                        </w:r>
                        <w:r>
                          <w:rPr>
                            <w:rFonts w:ascii="Arial" w:hAnsi="Arial" w:cs="Arial"/>
                            <w:color w:val="000000" w:themeColor="text1"/>
                            <w:kern w:val="24"/>
                            <w:sz w:val="16"/>
                            <w:szCs w:val="16"/>
                          </w:rPr>
                          <w:t xml:space="preserve"> </w:t>
                        </w:r>
                      </w:p>
                      <w:p w14:paraId="2F2504DC" w14:textId="4B92687B" w:rsidR="00740F85" w:rsidRDefault="00740F85" w:rsidP="001A0AB6">
                        <w:pPr>
                          <w:pStyle w:val="ListParagraph"/>
                          <w:numPr>
                            <w:ilvl w:val="0"/>
                            <w:numId w:val="7"/>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Continuity of care after inpatient or residential treatment is generally low and varies significantly among providers</w:t>
                        </w:r>
                        <w:r w:rsidR="00613BB9">
                          <w:rPr>
                            <w:rFonts w:ascii="Arial" w:hAnsi="Arial" w:cs="Arial"/>
                            <w:color w:val="000000" w:themeColor="text1"/>
                            <w:kern w:val="24"/>
                            <w:sz w:val="16"/>
                            <w:szCs w:val="16"/>
                          </w:rPr>
                          <w:t xml:space="preserve"> within Medicaid programs</w:t>
                        </w:r>
                        <w:r>
                          <w:rPr>
                            <w:rFonts w:ascii="Arial" w:hAnsi="Arial" w:cs="Arial"/>
                            <w:color w:val="000000" w:themeColor="text1"/>
                            <w:kern w:val="24"/>
                            <w:sz w:val="16"/>
                            <w:szCs w:val="16"/>
                          </w:rPr>
                          <w:t>; thus, there is much room for improvement in continuity of care</w:t>
                        </w:r>
                      </w:p>
                    </w:txbxContent>
                  </v:textbox>
                </v:rect>
                <v:rect id="Rectangle 9" o:spid="_x0000_s1033" style="position:absolute;left:25998;top:3778;width:12735;height:1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" fillcolor="window" strokecolor="windowText">
                  <v:textbox>
                    <w:txbxContent>
                      <w:p w14:paraId="1B40C25E" w14:textId="185DE0A8"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 xml:space="preserve">Quality improvement </w:t>
                        </w:r>
                        <w:r w:rsidR="00613BB9">
                          <w:rPr>
                            <w:rFonts w:ascii="Arial" w:hAnsi="Arial" w:cs="Arial"/>
                            <w:color w:val="000000" w:themeColor="text1"/>
                            <w:kern w:val="24"/>
                            <w:sz w:val="16"/>
                            <w:szCs w:val="16"/>
                          </w:rPr>
                          <w:t>S</w:t>
                        </w:r>
                        <w:r>
                          <w:rPr>
                            <w:rFonts w:ascii="Arial" w:hAnsi="Arial" w:cs="Arial"/>
                            <w:color w:val="000000" w:themeColor="text1"/>
                            <w:kern w:val="24"/>
                            <w:sz w:val="16"/>
                            <w:szCs w:val="16"/>
                          </w:rPr>
                          <w:t>upports quality monitoring and improvement at the state, program, or provider level</w:t>
                        </w:r>
                      </w:p>
                    </w:txbxContent>
                  </v:textbox>
                </v:rect>
                <v:rect id="Rectangle 10" o:spid="_x0000_s1034" style="position:absolute;left:41524;top:13958;width:19386;height:1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" fillcolor="window" strokecolor="windowText">
                  <v:textbox>
                    <w:txbxContent>
                      <w:p w14:paraId="4EEA2157" w14:textId="77777777" w:rsidR="00740F85" w:rsidRDefault="00740F85" w:rsidP="001A0AB6">
                        <w:pPr>
                          <w:pStyle w:val="NormalWeb"/>
                          <w:spacing w:before="60" w:beforeAutospacing="0" w:after="120" w:afterAutospacing="0"/>
                        </w:pPr>
                        <w:r>
                          <w:rPr>
                            <w:rFonts w:ascii="Arial" w:hAnsi="Arial" w:cs="Arial"/>
                            <w:b/>
                            <w:bCs/>
                            <w:color w:val="000000" w:themeColor="text1"/>
                            <w:kern w:val="24"/>
                            <w:sz w:val="16"/>
                            <w:szCs w:val="16"/>
                          </w:rPr>
                          <w:t>Health outcomes after inpatient or residential discharge:</w:t>
                        </w:r>
                      </w:p>
                      <w:p w14:paraId="070DE47F" w14:textId="77777777" w:rsidR="00740F85" w:rsidRDefault="00740F85" w:rsidP="001A0AB6">
                        <w:pPr>
                          <w:pStyle w:val="NormalWeb"/>
                          <w:spacing w:before="0" w:beforeAutospacing="0" w:after="60" w:afterAutospacing="0"/>
                        </w:pPr>
                        <w:r>
                          <w:rPr>
                            <w:rFonts w:ascii="Arial" w:hAnsi="Arial" w:cs="Arial"/>
                            <w:b/>
                            <w:bCs/>
                            <w:color w:val="000000" w:themeColor="text1"/>
                            <w:kern w:val="24"/>
                            <w:sz w:val="16"/>
                            <w:szCs w:val="16"/>
                          </w:rPr>
                          <w:t xml:space="preserve">Impact on clients </w:t>
                        </w:r>
                      </w:p>
                      <w:p w14:paraId="3B03801A"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Fewer hospital readmissions</w:t>
                        </w:r>
                      </w:p>
                      <w:p w14:paraId="1056467B"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Less substance use and relapse</w:t>
                        </w:r>
                      </w:p>
                      <w:p w14:paraId="58DA98C6" w14:textId="77777777" w:rsidR="00740F85" w:rsidRDefault="00740F85" w:rsidP="001A0AB6">
                        <w:pPr>
                          <w:pStyle w:val="ListParagraph"/>
                          <w:numPr>
                            <w:ilvl w:val="0"/>
                            <w:numId w:val="8"/>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Improved employment status</w:t>
                        </w:r>
                      </w:p>
                      <w:p w14:paraId="5523D7B1" w14:textId="7C96C14E" w:rsidR="00740F85" w:rsidRPr="00B75F3A" w:rsidRDefault="00740F85" w:rsidP="001A0AB6">
                        <w:pPr>
                          <w:pStyle w:val="ListParagraph"/>
                          <w:numPr>
                            <w:ilvl w:val="0"/>
                            <w:numId w:val="8"/>
                          </w:numPr>
                          <w:tabs>
                            <w:tab w:val="clear" w:pos="720"/>
                          </w:tabs>
                          <w:spacing w:after="120" w:line="240" w:lineRule="auto"/>
                          <w:ind w:left="180" w:hanging="180"/>
                          <w:rPr>
                            <w:rFonts w:eastAsia="Times New Roman"/>
                            <w:sz w:val="16"/>
                          </w:rPr>
                        </w:pPr>
                        <w:r>
                          <w:rPr>
                            <w:rFonts w:ascii="Arial" w:hAnsi="Arial" w:cs="Arial"/>
                            <w:color w:val="000000" w:themeColor="text1"/>
                            <w:kern w:val="24"/>
                            <w:sz w:val="16"/>
                            <w:szCs w:val="16"/>
                          </w:rPr>
                          <w:t>Reduction in criminal justice activity</w:t>
                        </w:r>
                      </w:p>
                      <w:p w14:paraId="3E82CD2A" w14:textId="519B9F62" w:rsidR="00740F85" w:rsidRDefault="00740F85" w:rsidP="001A0AB6">
                        <w:pPr>
                          <w:pStyle w:val="ListParagraph"/>
                          <w:numPr>
                            <w:ilvl w:val="0"/>
                            <w:numId w:val="8"/>
                          </w:numPr>
                          <w:tabs>
                            <w:tab w:val="clear" w:pos="720"/>
                          </w:tabs>
                          <w:spacing w:after="120" w:line="240" w:lineRule="auto"/>
                          <w:ind w:left="180" w:hanging="180"/>
                          <w:rPr>
                            <w:rFonts w:eastAsia="Times New Roman"/>
                            <w:sz w:val="16"/>
                          </w:rPr>
                        </w:pPr>
                        <w:r>
                          <w:rPr>
                            <w:rFonts w:ascii="Arial" w:hAnsi="Arial" w:cs="Arial"/>
                            <w:color w:val="000000" w:themeColor="text1"/>
                            <w:kern w:val="24"/>
                            <w:sz w:val="16"/>
                            <w:szCs w:val="16"/>
                          </w:rPr>
                          <w:t>Lower mortality</w:t>
                        </w:r>
                      </w:p>
                      <w:p w14:paraId="5B16937D" w14:textId="77777777" w:rsidR="00740F85" w:rsidRDefault="00740F85" w:rsidP="001A0AB6">
                        <w:pPr>
                          <w:pStyle w:val="NormalWeb"/>
                          <w:spacing w:before="0" w:beforeAutospacing="0" w:after="60" w:afterAutospacing="0"/>
                          <w:rPr>
                            <w:rFonts w:eastAsiaTheme="minorEastAsia"/>
                          </w:rPr>
                        </w:pPr>
                        <w:r>
                          <w:rPr>
                            <w:rFonts w:ascii="Arial" w:hAnsi="Arial" w:cs="Arial"/>
                            <w:b/>
                            <w:bCs/>
                            <w:color w:val="000000" w:themeColor="text1"/>
                            <w:kern w:val="24"/>
                            <w:sz w:val="16"/>
                            <w:szCs w:val="16"/>
                          </w:rPr>
                          <w:t xml:space="preserve">Impact on society </w:t>
                        </w:r>
                      </w:p>
                      <w:p w14:paraId="0C251BB9" w14:textId="77777777" w:rsidR="00740F85" w:rsidRDefault="00740F85" w:rsidP="001A0AB6">
                        <w:pPr>
                          <w:pStyle w:val="ListParagraph"/>
                          <w:numPr>
                            <w:ilvl w:val="0"/>
                            <w:numId w:val="9"/>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Reduction in costs related to lower crime rates and lower health care costs</w:t>
                        </w:r>
                      </w:p>
                    </w:txbxContent>
                  </v:textbox>
                </v:rect>
                <v:rect id="Rectangle 11" o:spid="_x0000_s1035" style="position:absolute;left:41599;top:29936;width:19311;height:6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" fillcolor="window" strokecolor="windowText">
                  <v:textbox>
                    <w:txbxContent>
                      <w:p w14:paraId="0C5F9535"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Health care/Medicaid savings:</w:t>
                        </w:r>
                      </w:p>
                      <w:p w14:paraId="49EBBE03" w14:textId="77777777" w:rsidR="00740F85" w:rsidRDefault="00740F85" w:rsidP="001A0AB6">
                        <w:pPr>
                          <w:pStyle w:val="ListParagraph"/>
                          <w:numPr>
                            <w:ilvl w:val="0"/>
                            <w:numId w:val="10"/>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 xml:space="preserve">Lower costs </w:t>
                        </w:r>
                        <w:proofErr w:type="gramStart"/>
                        <w:r>
                          <w:rPr>
                            <w:rFonts w:ascii="Arial" w:hAnsi="Arial" w:cs="Arial"/>
                            <w:color w:val="000000" w:themeColor="text1"/>
                            <w:kern w:val="24"/>
                            <w:sz w:val="16"/>
                            <w:szCs w:val="16"/>
                          </w:rPr>
                          <w:t>as a result of</w:t>
                        </w:r>
                        <w:proofErr w:type="gramEnd"/>
                        <w:r>
                          <w:rPr>
                            <w:rFonts w:ascii="Arial" w:hAnsi="Arial" w:cs="Arial"/>
                            <w:color w:val="000000" w:themeColor="text1"/>
                            <w:kern w:val="24"/>
                            <w:sz w:val="16"/>
                            <w:szCs w:val="16"/>
                          </w:rPr>
                          <w:t xml:space="preserve"> continuity of care that helps to sustain a patient’s gains from the initial treatment and to prevent relapses</w:t>
                        </w:r>
                      </w:p>
                    </w:txbxContent>
                  </v:textbox>
                </v:rect>
                <v:rect id="Rectangle 12" o:spid="_x0000_s1036" style="position:absolute;left:63881;top:23153;width:24531;height:10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" fillcolor="window" strokecolor="windowText">
                  <v:textbox>
                    <w:txbxContent>
                      <w:p w14:paraId="401E40F6" w14:textId="6C95F5F3"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Cost of Improved Continuity:</w:t>
                        </w:r>
                      </w:p>
                      <w:p w14:paraId="4D02FE60" w14:textId="5BEB784A"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B75F3A">
                          <w:rPr>
                            <w:rFonts w:ascii="Arial" w:eastAsia="Times New Roman" w:hAnsi="Arial" w:cs="Arial"/>
                            <w:sz w:val="16"/>
                          </w:rPr>
                          <w:t>Increased resources spent by inpatient and residential SUD providers to improve post discharge follow-up</w:t>
                        </w:r>
                      </w:p>
                      <w:p w14:paraId="63AEEB84" w14:textId="5009687B"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6D4430">
                          <w:rPr>
                            <w:rFonts w:ascii="Arial" w:hAnsi="Arial" w:cs="Arial"/>
                            <w:color w:val="000000" w:themeColor="text1"/>
                            <w:kern w:val="24"/>
                            <w:sz w:val="16"/>
                            <w:szCs w:val="16"/>
                          </w:rPr>
                          <w:t>Increased cost to Medicaid if more people receive SUD services after discharge</w:t>
                        </w:r>
                      </w:p>
                      <w:p w14:paraId="738BD649" w14:textId="3C3A6233" w:rsidR="00740F85" w:rsidRPr="00B75F3A" w:rsidRDefault="00740F85" w:rsidP="001A0AB6">
                        <w:pPr>
                          <w:pStyle w:val="ListParagraph"/>
                          <w:numPr>
                            <w:ilvl w:val="0"/>
                            <w:numId w:val="11"/>
                          </w:numPr>
                          <w:tabs>
                            <w:tab w:val="clear" w:pos="720"/>
                          </w:tabs>
                          <w:spacing w:after="0" w:line="240" w:lineRule="auto"/>
                          <w:ind w:left="180" w:hanging="180"/>
                          <w:rPr>
                            <w:rFonts w:ascii="Arial" w:eastAsia="Times New Roman" w:hAnsi="Arial" w:cs="Arial"/>
                            <w:sz w:val="16"/>
                          </w:rPr>
                        </w:pPr>
                        <w:r w:rsidRPr="006D4430">
                          <w:rPr>
                            <w:rFonts w:ascii="Arial" w:hAnsi="Arial" w:cs="Arial"/>
                            <w:color w:val="000000" w:themeColor="text1"/>
                            <w:kern w:val="24"/>
                            <w:sz w:val="16"/>
                            <w:szCs w:val="16"/>
                          </w:rPr>
                          <w:t>These additional costs may be off-set by reduced readmissions for SUD and SUD-related medical comorbidities.</w:t>
                        </w:r>
                      </w:p>
                    </w:txbxContent>
                  </v:textbox>
                </v:rect>
                <v:rect id="Rectangle 13" o:spid="_x0000_s1037" style="position:absolute;left:25998;top:30;width:12784;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" fillcolor="#2e75b6" strokecolor="#2e75b6">
                  <v:textbox inset="2.24117mm,1.1206mm,2.24117mm,1.1206mm">
                    <w:txbxContent>
                      <w:p w14:paraId="33E79801"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Measure Implementation</w:t>
                        </w:r>
                      </w:p>
                    </w:txbxContent>
                  </v:textbox>
                </v:rect>
                <v:rect id="Rectangle 14" o:spid="_x0000_s1038" style="position:absolute;left:25601;top:39229;width:3519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" fillcolor="#2e75b6" strokecolor="#2e75b6">
                  <v:textbox inset="2.24117mm,1.1206mm,2.24117mm,1.1206mm">
                    <w:txbxContent>
                      <w:p w14:paraId="0096F7AC" w14:textId="77777777" w:rsidR="00740F85" w:rsidRDefault="00740F85" w:rsidP="001A0AB6">
                        <w:pPr>
                          <w:pStyle w:val="NormalWeb"/>
                          <w:spacing w:before="0" w:beforeAutospacing="0" w:after="0" w:afterAutospacing="0"/>
                          <w:jc w:val="center"/>
                        </w:pPr>
                        <w:r>
                          <w:rPr>
                            <w:rFonts w:ascii="Arial" w:hAnsi="Arial" w:cs="Arial"/>
                            <w:b/>
                            <w:bCs/>
                            <w:color w:val="FFFFFF" w:themeColor="light1"/>
                            <w:kern w:val="24"/>
                            <w:sz w:val="16"/>
                            <w:szCs w:val="16"/>
                          </w:rPr>
                          <w:t>Influencing Factors</w:t>
                        </w:r>
                      </w:p>
                    </w:txbxContent>
                  </v:textbox>
                </v:rect>
                <v:rect id="Rectangle 15" o:spid="_x0000_s1039" style="position:absolute;left:25694;top:41837;width:35100;height:8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" fillcolor="window" strokecolor="windowText">
                  <v:stroke opacity="62965f"/>
                  <v:textbox>
                    <w:txbxContent>
                      <w:p w14:paraId="5F866FC0" w14:textId="77777777" w:rsidR="00740F85" w:rsidRDefault="00740F85" w:rsidP="001A0AB6">
                        <w:pPr>
                          <w:pStyle w:val="ListParagraph"/>
                          <w:numPr>
                            <w:ilvl w:val="0"/>
                            <w:numId w:val="12"/>
                          </w:numPr>
                          <w:tabs>
                            <w:tab w:val="clear" w:pos="720"/>
                          </w:tabs>
                          <w:spacing w:before="60" w:after="0" w:line="240" w:lineRule="auto"/>
                          <w:ind w:left="180" w:hanging="180"/>
                          <w:rPr>
                            <w:rFonts w:eastAsia="Times New Roman"/>
                            <w:sz w:val="16"/>
                          </w:rPr>
                        </w:pPr>
                        <w:r>
                          <w:rPr>
                            <w:rFonts w:ascii="Arial" w:hAnsi="Arial" w:cs="Arial"/>
                            <w:color w:val="000000" w:themeColor="text1"/>
                            <w:kern w:val="24"/>
                            <w:sz w:val="16"/>
                            <w:szCs w:val="16"/>
                          </w:rPr>
                          <w:t>Health system issues</w:t>
                        </w:r>
                      </w:p>
                      <w:p w14:paraId="4379F7C2" w14:textId="77777777" w:rsidR="00740F85" w:rsidRDefault="00740F85" w:rsidP="001A0AB6">
                        <w:pPr>
                          <w:pStyle w:val="ListParagraph"/>
                          <w:numPr>
                            <w:ilvl w:val="1"/>
                            <w:numId w:val="12"/>
                          </w:numPr>
                          <w:tabs>
                            <w:tab w:val="clear" w:pos="1440"/>
                          </w:tabs>
                          <w:spacing w:after="0" w:line="240" w:lineRule="auto"/>
                          <w:ind w:left="450" w:hanging="180"/>
                          <w:rPr>
                            <w:rFonts w:eastAsia="Times New Roman"/>
                            <w:sz w:val="16"/>
                          </w:rPr>
                        </w:pPr>
                        <w:r>
                          <w:rPr>
                            <w:rFonts w:ascii="Arial" w:hAnsi="Arial" w:cs="Arial"/>
                            <w:color w:val="000000" w:themeColor="text1"/>
                            <w:kern w:val="24"/>
                            <w:sz w:val="16"/>
                            <w:szCs w:val="16"/>
                          </w:rPr>
                          <w:t>System organization and capacity</w:t>
                        </w:r>
                      </w:p>
                      <w:p w14:paraId="3922B39B" w14:textId="77777777" w:rsidR="00740F85" w:rsidRDefault="00740F85" w:rsidP="001A0AB6">
                        <w:pPr>
                          <w:pStyle w:val="ListParagraph"/>
                          <w:numPr>
                            <w:ilvl w:val="1"/>
                            <w:numId w:val="12"/>
                          </w:numPr>
                          <w:tabs>
                            <w:tab w:val="clear" w:pos="1440"/>
                          </w:tabs>
                          <w:spacing w:after="120" w:line="240" w:lineRule="auto"/>
                          <w:ind w:left="461" w:hanging="187"/>
                          <w:contextualSpacing w:val="0"/>
                          <w:rPr>
                            <w:rFonts w:eastAsia="Times New Roman"/>
                            <w:sz w:val="16"/>
                          </w:rPr>
                        </w:pPr>
                        <w:r>
                          <w:rPr>
                            <w:rFonts w:ascii="Arial" w:hAnsi="Arial" w:cs="Arial"/>
                            <w:color w:val="000000" w:themeColor="text1"/>
                            <w:kern w:val="24"/>
                            <w:sz w:val="16"/>
                            <w:szCs w:val="16"/>
                          </w:rPr>
                          <w:t>Location of necessary services</w:t>
                        </w:r>
                      </w:p>
                    </w:txbxContent>
                  </v:textbox>
                </v:rect>
                <v:rect id="Rectangle 16" o:spid="_x0000_s1040" style="position:absolute;left:63835;top:34339;width:24534;height:16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" fillcolor="window" strokecolor="windowText">
                  <v:textbox>
                    <w:txbxContent>
                      <w:p w14:paraId="6453ABF2" w14:textId="77777777" w:rsidR="00740F85" w:rsidRDefault="00740F85" w:rsidP="001A0AB6">
                        <w:pPr>
                          <w:pStyle w:val="NormalWeb"/>
                          <w:spacing w:before="60" w:beforeAutospacing="0" w:after="60" w:afterAutospacing="0"/>
                        </w:pPr>
                        <w:r>
                          <w:rPr>
                            <w:rFonts w:ascii="Arial" w:hAnsi="Arial" w:cs="Arial"/>
                            <w:b/>
                            <w:bCs/>
                            <w:color w:val="000000" w:themeColor="text1"/>
                            <w:kern w:val="24"/>
                            <w:sz w:val="16"/>
                            <w:szCs w:val="16"/>
                          </w:rPr>
                          <w:t>Unintended consequences:</w:t>
                        </w:r>
                      </w:p>
                      <w:p w14:paraId="78F844EB" w14:textId="2E8291BF" w:rsidR="00740F85" w:rsidRDefault="00740F85" w:rsidP="001A0AB6">
                        <w:pPr>
                          <w:pStyle w:val="ListParagraph"/>
                          <w:numPr>
                            <w:ilvl w:val="0"/>
                            <w:numId w:val="13"/>
                          </w:numPr>
                          <w:tabs>
                            <w:tab w:val="clear" w:pos="720"/>
                          </w:tabs>
                          <w:spacing w:after="0" w:line="240" w:lineRule="auto"/>
                          <w:ind w:left="180" w:hanging="180"/>
                          <w:rPr>
                            <w:rFonts w:eastAsia="Times New Roman"/>
                            <w:sz w:val="16"/>
                          </w:rPr>
                        </w:pPr>
                        <w:r>
                          <w:rPr>
                            <w:rFonts w:ascii="Arial" w:hAnsi="Arial" w:cs="Arial"/>
                            <w:color w:val="000000" w:themeColor="text1"/>
                            <w:kern w:val="24"/>
                            <w:sz w:val="16"/>
                            <w:szCs w:val="16"/>
                          </w:rPr>
                          <w:t>Providers may avoid clients whom they consider less likely to have continuity</w:t>
                        </w:r>
                        <w:r w:rsidR="003C5778">
                          <w:rPr>
                            <w:rFonts w:ascii="Arial" w:hAnsi="Arial" w:cs="Arial"/>
                            <w:color w:val="000000" w:themeColor="text1"/>
                            <w:kern w:val="24"/>
                            <w:sz w:val="16"/>
                            <w:szCs w:val="16"/>
                          </w:rPr>
                          <w:t xml:space="preserve"> or avoid admitting clients with SUD.</w:t>
                        </w:r>
                      </w:p>
                    </w:txbxContent>
                  </v:textbox>
                </v:rect>
              </v:group>
            </w:pict>
          </mc:Fallback>
        </mc:AlternateContent>
      </w:r>
    </w:p>
    <w:p w14:paraId="5FBD2E72" w14:textId="5E8D342B" w:rsidR="001A0AB6" w:rsidRPr="00C41533" w:rsidRDefault="001A0AB6" w:rsidP="001A0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rPr>
      </w:pPr>
    </w:p>
    <w:p w14:paraId="3D43F367" w14:textId="77ABC4F2" w:rsidR="007A74C2" w:rsidRDefault="007A74C2">
      <w:pPr>
        <w:spacing w:after="0"/>
        <w:ind w:left="355"/>
      </w:pPr>
    </w:p>
    <w:p w14:paraId="72DD7D13" w14:textId="77777777" w:rsidR="007A74C2" w:rsidRDefault="00184A5C">
      <w:pPr>
        <w:spacing w:after="0"/>
        <w:ind w:left="355"/>
      </w:pPr>
      <w:r>
        <w:rPr>
          <w:b/>
          <w:color w:val="0000FF"/>
        </w:rPr>
        <w:t xml:space="preserve"> </w:t>
      </w:r>
    </w:p>
    <w:p w14:paraId="3E1FA6D6" w14:textId="63505DAB" w:rsidR="007A74C2" w:rsidRDefault="00184A5C" w:rsidP="00E24211">
      <w:pPr>
        <w:spacing w:after="4" w:line="249" w:lineRule="auto"/>
        <w:ind w:left="700" w:right="229" w:hanging="360"/>
      </w:pPr>
      <w:r>
        <w:rPr>
          <w:b/>
        </w:rPr>
        <w:t>1a.3</w:t>
      </w:r>
      <w:r>
        <w:t xml:space="preserve"> </w:t>
      </w:r>
      <w:r>
        <w:rPr>
          <w:b/>
        </w:rPr>
        <w:t xml:space="preserve">Value and Meaningfulness:  </w:t>
      </w:r>
      <w:r>
        <w:t xml:space="preserve"> </w:t>
      </w:r>
      <w:r>
        <w:rPr>
          <w:b/>
        </w:rPr>
        <w:t xml:space="preserve">IF </w:t>
      </w:r>
      <w:r>
        <w:t xml:space="preserve">this measure is derived from patient report, provide evidence that the target population values the measured </w:t>
      </w:r>
      <w:r>
        <w:rPr>
          <w:b/>
          <w:i/>
        </w:rPr>
        <w:t>outcome, process, or structure</w:t>
      </w:r>
      <w:r>
        <w:t xml:space="preserve"> and finds it meaningful. (Describe how and from whom their input was obtained.)</w:t>
      </w:r>
      <w:r>
        <w:rPr>
          <w:b/>
        </w:rPr>
        <w:t xml:space="preserve"> </w:t>
      </w:r>
    </w:p>
    <w:p w14:paraId="5FCF89F1" w14:textId="77777777" w:rsidR="00E24211" w:rsidRPr="0036254C" w:rsidRDefault="00E24211" w:rsidP="00E24211">
      <w:pPr>
        <w:ind w:left="1132" w:hanging="432"/>
        <w:rPr>
          <w:rFonts w:asciiTheme="minorHAnsi" w:eastAsiaTheme="minorHAnsi" w:hAnsiTheme="minorHAnsi" w:cstheme="minorBidi"/>
          <w:b/>
          <w:color w:val="0000FF"/>
        </w:rPr>
      </w:pPr>
      <w:r>
        <w:rPr>
          <w:b/>
          <w:color w:val="0000FF"/>
        </w:rPr>
        <w:t>N/A</w:t>
      </w:r>
    </w:p>
    <w:p w14:paraId="6B7745E3" w14:textId="77777777" w:rsidR="007A74C2" w:rsidRDefault="00184A5C">
      <w:pPr>
        <w:spacing w:after="5" w:line="249" w:lineRule="auto"/>
        <w:ind w:left="350" w:right="209" w:hanging="10"/>
      </w:pPr>
      <w:r>
        <w:rPr>
          <w:b/>
        </w:rPr>
        <w:t xml:space="preserve">**RESPOND TO ONLY ONE SECTION BELOW -EITHER 1a.2, 1a.3 or 1a.4) ** </w:t>
      </w:r>
    </w:p>
    <w:p w14:paraId="59C0FA51" w14:textId="77777777" w:rsidR="007A74C2" w:rsidRDefault="00184A5C">
      <w:pPr>
        <w:spacing w:after="0"/>
        <w:ind w:left="354"/>
      </w:pPr>
      <w:r>
        <w:rPr>
          <w:b/>
        </w:rPr>
        <w:t xml:space="preserve"> </w:t>
      </w:r>
    </w:p>
    <w:p w14:paraId="5B4FE225" w14:textId="77777777" w:rsidR="007A74C2" w:rsidRDefault="00184A5C">
      <w:pPr>
        <w:spacing w:after="5" w:line="249" w:lineRule="auto"/>
        <w:ind w:left="771" w:right="209" w:hanging="431"/>
      </w:pPr>
      <w:r>
        <w:rPr>
          <w:b/>
        </w:rPr>
        <w:t>1a.2</w:t>
      </w:r>
      <w:r>
        <w:t xml:space="preserve"> </w:t>
      </w:r>
      <w:r>
        <w:rPr>
          <w:b/>
        </w:rPr>
        <w:t xml:space="preserve">FOR OUTCOME MEASURES including PATIENT REPORTED OUTCOMES - Provide empirical data demonstrating the relationship between the outcome (or PRO) to at least one healthcare structure, process, intervention, or service.  </w:t>
      </w:r>
    </w:p>
    <w:p w14:paraId="22A394C9" w14:textId="77777777" w:rsidR="007A74C2" w:rsidRDefault="00184A5C">
      <w:pPr>
        <w:spacing w:after="0"/>
        <w:ind w:left="354"/>
      </w:pPr>
      <w:r>
        <w:t xml:space="preserve"> </w:t>
      </w:r>
    </w:p>
    <w:p w14:paraId="788FB9B5" w14:textId="77777777" w:rsidR="007A74C2" w:rsidRDefault="00184A5C">
      <w:pPr>
        <w:spacing w:after="0"/>
        <w:ind w:left="354"/>
      </w:pPr>
      <w:r>
        <w:rPr>
          <w:i/>
        </w:rPr>
        <w:t xml:space="preserve"> </w:t>
      </w:r>
    </w:p>
    <w:p w14:paraId="3CD45B07" w14:textId="0CDC0FF4" w:rsidR="007A74C2" w:rsidRDefault="00184A5C">
      <w:pPr>
        <w:spacing w:after="5" w:line="249" w:lineRule="auto"/>
        <w:ind w:left="350" w:right="209" w:hanging="10"/>
      </w:pPr>
      <w:r>
        <w:rPr>
          <w:b/>
        </w:rPr>
        <w:t>1a.3.</w:t>
      </w:r>
      <w:r>
        <w:rPr>
          <w:i/>
        </w:rPr>
        <w:t xml:space="preserve"> </w:t>
      </w:r>
      <w:r>
        <w:rPr>
          <w:b/>
        </w:rPr>
        <w:t xml:space="preserve">SYSTEMATIC REVIEW(SR) OF THE EVIDENCE (for INTERMEDIATE OUTCOME, PROCESS, OR </w:t>
      </w:r>
    </w:p>
    <w:p w14:paraId="39B4E233" w14:textId="77777777" w:rsidR="007A74C2" w:rsidRDefault="00184A5C">
      <w:pPr>
        <w:spacing w:after="5" w:line="249" w:lineRule="auto"/>
        <w:ind w:left="350" w:right="209" w:hanging="10"/>
      </w:pPr>
      <w:r>
        <w:rPr>
          <w:b/>
        </w:rPr>
        <w:t xml:space="preserve">STRUCTURE PERFORMANCE MEASURES, INCLUDING THOSE THAT ARE INSTRUMENT-BASED) If the evidence is not based on a systematic review go to section 1a.4) If you wish to include more than one systematic review, add additional tables.  </w:t>
      </w:r>
    </w:p>
    <w:p w14:paraId="6B56A361" w14:textId="77777777" w:rsidR="007A74C2" w:rsidRDefault="00184A5C">
      <w:pPr>
        <w:spacing w:after="0"/>
        <w:ind w:left="353"/>
      </w:pPr>
      <w:r>
        <w:rPr>
          <w:i/>
        </w:rPr>
        <w:t xml:space="preserve"> </w:t>
      </w:r>
    </w:p>
    <w:p w14:paraId="75C6ACCE" w14:textId="77777777" w:rsidR="007A74C2" w:rsidRDefault="00184A5C">
      <w:pPr>
        <w:spacing w:after="5" w:line="249" w:lineRule="auto"/>
        <w:ind w:left="350" w:right="209" w:hanging="10"/>
      </w:pPr>
      <w:r>
        <w:rPr>
          <w:b/>
        </w:rPr>
        <w:t xml:space="preserve">What is the source of the </w:t>
      </w:r>
      <w:r>
        <w:rPr>
          <w:b/>
          <w:u w:val="single" w:color="000000"/>
        </w:rPr>
        <w:t>systematic review of the body of evidence</w:t>
      </w:r>
      <w:r>
        <w:rPr>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 </w:t>
      </w:r>
    </w:p>
    <w:p w14:paraId="61E062AE" w14:textId="77777777" w:rsidR="007A74C2" w:rsidRDefault="00184A5C">
      <w:pPr>
        <w:spacing w:after="141" w:line="249" w:lineRule="auto"/>
        <w:ind w:left="350" w:right="229" w:hanging="10"/>
      </w:pPr>
      <w:r>
        <w:rPr>
          <w:rFonts w:ascii="MS Gothic" w:eastAsia="MS Gothic" w:hAnsi="MS Gothic" w:cs="MS Gothic"/>
          <w:color w:val="0000FF"/>
          <w:sz w:val="24"/>
        </w:rPr>
        <w:t>☐</w:t>
      </w:r>
      <w:r>
        <w:rPr>
          <w:rFonts w:ascii="Times New Roman" w:eastAsia="Times New Roman" w:hAnsi="Times New Roman" w:cs="Times New Roman"/>
          <w:color w:val="0000FF"/>
          <w:sz w:val="24"/>
        </w:rPr>
        <w:t xml:space="preserve"> </w:t>
      </w:r>
      <w:r>
        <w:t xml:space="preserve">Clinical Practice Guideline recommendation  (with evidence review) </w:t>
      </w:r>
    </w:p>
    <w:p w14:paraId="7836932F" w14:textId="77777777" w:rsidR="007A74C2" w:rsidRDefault="00184A5C">
      <w:pPr>
        <w:spacing w:after="128" w:line="249" w:lineRule="auto"/>
        <w:ind w:left="350" w:right="229" w:hanging="10"/>
      </w:pPr>
      <w:r>
        <w:rPr>
          <w:rFonts w:ascii="MS Gothic" w:eastAsia="MS Gothic" w:hAnsi="MS Gothic" w:cs="MS Gothic"/>
          <w:color w:val="0000FF"/>
          <w:sz w:val="24"/>
        </w:rPr>
        <w:t>☐</w:t>
      </w:r>
      <w:r>
        <w:t xml:space="preserve"> US Preventive Services Task Force Recommendation</w:t>
      </w:r>
      <w:r>
        <w:rPr>
          <w:b/>
          <w:i/>
        </w:rPr>
        <w:t xml:space="preserve"> </w:t>
      </w:r>
    </w:p>
    <w:p w14:paraId="60B97A71" w14:textId="77777777" w:rsidR="007A74C2" w:rsidRDefault="00184A5C">
      <w:pPr>
        <w:spacing w:after="4" w:line="249" w:lineRule="auto"/>
        <w:ind w:left="350" w:right="229" w:hanging="10"/>
      </w:pPr>
      <w:r>
        <w:rPr>
          <w:rFonts w:ascii="MS Gothic" w:eastAsia="MS Gothic" w:hAnsi="MS Gothic" w:cs="MS Gothic"/>
          <w:color w:val="0000FF"/>
          <w:sz w:val="24"/>
        </w:rPr>
        <w:t>☐</w:t>
      </w:r>
      <w:r>
        <w:t xml:space="preserve"> Other systematic review and grading of the body of evidence (</w:t>
      </w:r>
      <w:r>
        <w:rPr>
          <w:i/>
        </w:rPr>
        <w:t xml:space="preserve">e.g., Cochrane Collaboration, AHRQ </w:t>
      </w:r>
    </w:p>
    <w:p w14:paraId="469B315E" w14:textId="77777777" w:rsidR="007A74C2" w:rsidRDefault="00184A5C">
      <w:pPr>
        <w:spacing w:after="116" w:line="249" w:lineRule="auto"/>
        <w:ind w:left="351" w:right="125" w:hanging="10"/>
      </w:pPr>
      <w:r>
        <w:rPr>
          <w:i/>
        </w:rPr>
        <w:t>Evidence Practice Center</w:t>
      </w:r>
      <w:r>
        <w:t xml:space="preserve">)  </w:t>
      </w:r>
    </w:p>
    <w:p w14:paraId="4AC1C7B4" w14:textId="77777777" w:rsidR="007A74C2" w:rsidRDefault="00184A5C">
      <w:pPr>
        <w:spacing w:after="4" w:line="249" w:lineRule="auto"/>
        <w:ind w:left="350" w:right="229" w:hanging="10"/>
      </w:pPr>
      <w:r>
        <w:rPr>
          <w:rFonts w:ascii="MS Gothic" w:eastAsia="MS Gothic" w:hAnsi="MS Gothic" w:cs="MS Gothic"/>
          <w:color w:val="0000FF"/>
          <w:sz w:val="24"/>
        </w:rPr>
        <w:t>☐</w:t>
      </w:r>
      <w:r>
        <w:t xml:space="preserve"> Other  </w:t>
      </w:r>
    </w:p>
    <w:p w14:paraId="1B90DEE3" w14:textId="4466E6C6" w:rsidR="007A74C2" w:rsidRPr="00101AA1" w:rsidRDefault="00101AA1" w:rsidP="00101AA1">
      <w:pPr>
        <w:ind w:firstLine="340"/>
        <w:rPr>
          <w:b/>
          <w:iCs/>
          <w:color w:val="0000FF"/>
        </w:rPr>
      </w:pPr>
      <w:r w:rsidRPr="00C41533">
        <w:rPr>
          <w:b/>
          <w:iCs/>
          <w:color w:val="0000FF"/>
        </w:rPr>
        <w:t>Not Applicable</w:t>
      </w:r>
    </w:p>
    <w:tbl>
      <w:tblPr>
        <w:tblStyle w:val="TableGrid"/>
        <w:tblW w:w="9199" w:type="dxa"/>
        <w:tblInd w:w="360" w:type="dxa"/>
        <w:tblCellMar>
          <w:top w:w="48" w:type="dxa"/>
          <w:left w:w="108" w:type="dxa"/>
          <w:right w:w="94" w:type="dxa"/>
        </w:tblCellMar>
        <w:tblLook w:val="04A0" w:firstRow="1" w:lastRow="0" w:firstColumn="1" w:lastColumn="0" w:noHBand="0" w:noVBand="1"/>
      </w:tblPr>
      <w:tblGrid>
        <w:gridCol w:w="4068"/>
        <w:gridCol w:w="5131"/>
      </w:tblGrid>
      <w:tr w:rsidR="007A74C2" w14:paraId="51AB1760" w14:textId="77777777">
        <w:trPr>
          <w:trHeight w:val="2083"/>
        </w:trPr>
        <w:tc>
          <w:tcPr>
            <w:tcW w:w="4068" w:type="dxa"/>
            <w:tcBorders>
              <w:top w:val="single" w:sz="4" w:space="0" w:color="000000"/>
              <w:left w:val="single" w:sz="4" w:space="0" w:color="000000"/>
              <w:bottom w:val="single" w:sz="4" w:space="0" w:color="000000"/>
              <w:right w:val="single" w:sz="4" w:space="0" w:color="000000"/>
            </w:tcBorders>
          </w:tcPr>
          <w:p w14:paraId="1FC3618A" w14:textId="77777777" w:rsidR="007A74C2" w:rsidRDefault="00184A5C">
            <w:pPr>
              <w:spacing w:after="49"/>
            </w:pPr>
            <w:r>
              <w:rPr>
                <w:b/>
              </w:rPr>
              <w:t xml:space="preserve">Source of Systematic Review: </w:t>
            </w:r>
          </w:p>
          <w:p w14:paraId="2581B204" w14:textId="77777777" w:rsidR="007A74C2" w:rsidRDefault="00184A5C">
            <w:pPr>
              <w:numPr>
                <w:ilvl w:val="0"/>
                <w:numId w:val="4"/>
              </w:numPr>
              <w:spacing w:after="76"/>
              <w:ind w:hanging="360"/>
            </w:pPr>
            <w:r>
              <w:rPr>
                <w:b/>
              </w:rPr>
              <w:t xml:space="preserve">Title </w:t>
            </w:r>
          </w:p>
          <w:p w14:paraId="7B9716D8" w14:textId="77777777" w:rsidR="007A74C2" w:rsidRDefault="00184A5C">
            <w:pPr>
              <w:numPr>
                <w:ilvl w:val="0"/>
                <w:numId w:val="4"/>
              </w:numPr>
              <w:spacing w:after="77"/>
              <w:ind w:hanging="360"/>
            </w:pPr>
            <w:r>
              <w:rPr>
                <w:b/>
              </w:rPr>
              <w:t xml:space="preserve">Author </w:t>
            </w:r>
          </w:p>
          <w:p w14:paraId="6E54630A" w14:textId="77777777" w:rsidR="007A74C2" w:rsidRDefault="00184A5C">
            <w:pPr>
              <w:numPr>
                <w:ilvl w:val="0"/>
                <w:numId w:val="4"/>
              </w:numPr>
              <w:spacing w:after="78"/>
              <w:ind w:hanging="360"/>
            </w:pPr>
            <w:r>
              <w:rPr>
                <w:b/>
              </w:rPr>
              <w:t xml:space="preserve">Date </w:t>
            </w:r>
          </w:p>
          <w:p w14:paraId="3668592A" w14:textId="77777777" w:rsidR="007A74C2" w:rsidRDefault="00184A5C">
            <w:pPr>
              <w:numPr>
                <w:ilvl w:val="0"/>
                <w:numId w:val="4"/>
              </w:numPr>
              <w:spacing w:after="76"/>
              <w:ind w:hanging="360"/>
            </w:pPr>
            <w:r>
              <w:rPr>
                <w:b/>
              </w:rPr>
              <w:t xml:space="preserve">Citation, including page number </w:t>
            </w:r>
          </w:p>
          <w:p w14:paraId="5C3174B3" w14:textId="77777777" w:rsidR="007A74C2" w:rsidRDefault="00184A5C">
            <w:pPr>
              <w:numPr>
                <w:ilvl w:val="0"/>
                <w:numId w:val="4"/>
              </w:numPr>
              <w:ind w:hanging="360"/>
            </w:pPr>
            <w:r>
              <w:rPr>
                <w:b/>
              </w:rPr>
              <w:t xml:space="preserve">URL </w:t>
            </w:r>
          </w:p>
        </w:tc>
        <w:tc>
          <w:tcPr>
            <w:tcW w:w="5131" w:type="dxa"/>
            <w:tcBorders>
              <w:top w:val="single" w:sz="4" w:space="0" w:color="000000"/>
              <w:left w:val="single" w:sz="4" w:space="0" w:color="000000"/>
              <w:bottom w:val="single" w:sz="4" w:space="0" w:color="000000"/>
              <w:right w:val="single" w:sz="4" w:space="0" w:color="000000"/>
            </w:tcBorders>
          </w:tcPr>
          <w:p w14:paraId="7056EC10" w14:textId="77777777" w:rsidR="007A74C2" w:rsidRDefault="00184A5C">
            <w:r>
              <w:rPr>
                <w:b/>
              </w:rPr>
              <w:t xml:space="preserve"> </w:t>
            </w:r>
          </w:p>
        </w:tc>
      </w:tr>
      <w:tr w:rsidR="007A74C2" w14:paraId="7455F2C6" w14:textId="77777777">
        <w:trPr>
          <w:trHeight w:val="1351"/>
        </w:trPr>
        <w:tc>
          <w:tcPr>
            <w:tcW w:w="4068" w:type="dxa"/>
            <w:tcBorders>
              <w:top w:val="single" w:sz="4" w:space="0" w:color="000000"/>
              <w:left w:val="single" w:sz="4" w:space="0" w:color="000000"/>
              <w:bottom w:val="single" w:sz="4" w:space="0" w:color="000000"/>
              <w:right w:val="single" w:sz="4" w:space="0" w:color="000000"/>
            </w:tcBorders>
          </w:tcPr>
          <w:p w14:paraId="2BAC9791" w14:textId="77777777" w:rsidR="007A74C2" w:rsidRDefault="00184A5C">
            <w:pPr>
              <w:ind w:right="10"/>
            </w:pPr>
            <w:r>
              <w:lastRenderedPageBreak/>
              <w:t xml:space="preserve">Quote the guideline or recommendation verbatim about the process, structure or intermediate outcome being measured. If not a guideline, summarize the conclusions from the SR. </w:t>
            </w:r>
          </w:p>
        </w:tc>
        <w:tc>
          <w:tcPr>
            <w:tcW w:w="5131" w:type="dxa"/>
            <w:tcBorders>
              <w:top w:val="single" w:sz="4" w:space="0" w:color="000000"/>
              <w:left w:val="single" w:sz="4" w:space="0" w:color="000000"/>
              <w:bottom w:val="single" w:sz="4" w:space="0" w:color="000000"/>
              <w:right w:val="single" w:sz="4" w:space="0" w:color="000000"/>
            </w:tcBorders>
          </w:tcPr>
          <w:p w14:paraId="173F596A" w14:textId="77777777" w:rsidR="007A74C2" w:rsidRDefault="00184A5C">
            <w:r>
              <w:t xml:space="preserve"> </w:t>
            </w:r>
          </w:p>
        </w:tc>
      </w:tr>
      <w:tr w:rsidR="007A74C2" w14:paraId="102A075B" w14:textId="77777777">
        <w:trPr>
          <w:trHeight w:val="816"/>
        </w:trPr>
        <w:tc>
          <w:tcPr>
            <w:tcW w:w="4068" w:type="dxa"/>
            <w:tcBorders>
              <w:top w:val="single" w:sz="4" w:space="0" w:color="000000"/>
              <w:left w:val="single" w:sz="4" w:space="0" w:color="000000"/>
              <w:bottom w:val="single" w:sz="4" w:space="0" w:color="000000"/>
              <w:right w:val="single" w:sz="4" w:space="0" w:color="000000"/>
            </w:tcBorders>
          </w:tcPr>
          <w:p w14:paraId="204F89C5" w14:textId="77777777" w:rsidR="007A74C2" w:rsidRDefault="00184A5C">
            <w:r>
              <w:t xml:space="preserve">Grade assigned to the </w:t>
            </w:r>
            <w:r>
              <w:rPr>
                <w:b/>
              </w:rPr>
              <w:t>evidence</w:t>
            </w:r>
            <w:r>
              <w:t xml:space="preserve"> associated with the recommendation with the definition of the grade </w:t>
            </w:r>
          </w:p>
        </w:tc>
        <w:tc>
          <w:tcPr>
            <w:tcW w:w="5131" w:type="dxa"/>
            <w:tcBorders>
              <w:top w:val="single" w:sz="4" w:space="0" w:color="000000"/>
              <w:left w:val="single" w:sz="4" w:space="0" w:color="000000"/>
              <w:bottom w:val="single" w:sz="4" w:space="0" w:color="000000"/>
              <w:right w:val="single" w:sz="4" w:space="0" w:color="000000"/>
            </w:tcBorders>
          </w:tcPr>
          <w:p w14:paraId="26651D84" w14:textId="77777777" w:rsidR="007A74C2" w:rsidRDefault="00184A5C">
            <w:r>
              <w:t xml:space="preserve"> </w:t>
            </w:r>
          </w:p>
        </w:tc>
      </w:tr>
      <w:tr w:rsidR="007A74C2" w14:paraId="49BF79A8" w14:textId="77777777">
        <w:trPr>
          <w:trHeight w:val="547"/>
        </w:trPr>
        <w:tc>
          <w:tcPr>
            <w:tcW w:w="4068" w:type="dxa"/>
            <w:tcBorders>
              <w:top w:val="single" w:sz="4" w:space="0" w:color="000000"/>
              <w:left w:val="single" w:sz="4" w:space="0" w:color="000000"/>
              <w:bottom w:val="single" w:sz="4" w:space="0" w:color="000000"/>
              <w:right w:val="single" w:sz="4" w:space="0" w:color="000000"/>
            </w:tcBorders>
          </w:tcPr>
          <w:p w14:paraId="3768DC97" w14:textId="77777777" w:rsidR="007A74C2" w:rsidRDefault="00184A5C">
            <w:r>
              <w:t xml:space="preserve">Provide all other grades and definitions from the evidence grading system </w:t>
            </w:r>
          </w:p>
        </w:tc>
        <w:tc>
          <w:tcPr>
            <w:tcW w:w="5131" w:type="dxa"/>
            <w:tcBorders>
              <w:top w:val="single" w:sz="4" w:space="0" w:color="000000"/>
              <w:left w:val="single" w:sz="4" w:space="0" w:color="000000"/>
              <w:bottom w:val="single" w:sz="4" w:space="0" w:color="000000"/>
              <w:right w:val="single" w:sz="4" w:space="0" w:color="000000"/>
            </w:tcBorders>
          </w:tcPr>
          <w:p w14:paraId="4CE35EFA" w14:textId="77777777" w:rsidR="007A74C2" w:rsidRDefault="00184A5C">
            <w:r>
              <w:t xml:space="preserve"> </w:t>
            </w:r>
          </w:p>
        </w:tc>
      </w:tr>
      <w:tr w:rsidR="007A74C2" w14:paraId="18D61D04" w14:textId="77777777">
        <w:trPr>
          <w:trHeight w:val="547"/>
        </w:trPr>
        <w:tc>
          <w:tcPr>
            <w:tcW w:w="4068" w:type="dxa"/>
            <w:tcBorders>
              <w:top w:val="single" w:sz="4" w:space="0" w:color="000000"/>
              <w:left w:val="single" w:sz="4" w:space="0" w:color="000000"/>
              <w:bottom w:val="single" w:sz="4" w:space="0" w:color="000000"/>
              <w:right w:val="single" w:sz="4" w:space="0" w:color="000000"/>
            </w:tcBorders>
          </w:tcPr>
          <w:p w14:paraId="51AAFDE5" w14:textId="77777777" w:rsidR="007A74C2" w:rsidRDefault="00184A5C">
            <w:r>
              <w:t xml:space="preserve">Grade assigned to the </w:t>
            </w:r>
            <w:r>
              <w:rPr>
                <w:b/>
              </w:rPr>
              <w:t>recommendation</w:t>
            </w:r>
            <w:r>
              <w:t xml:space="preserve"> with definition of the grade </w:t>
            </w:r>
          </w:p>
        </w:tc>
        <w:tc>
          <w:tcPr>
            <w:tcW w:w="5131" w:type="dxa"/>
            <w:tcBorders>
              <w:top w:val="single" w:sz="4" w:space="0" w:color="000000"/>
              <w:left w:val="single" w:sz="4" w:space="0" w:color="000000"/>
              <w:bottom w:val="single" w:sz="4" w:space="0" w:color="000000"/>
              <w:right w:val="single" w:sz="4" w:space="0" w:color="000000"/>
            </w:tcBorders>
          </w:tcPr>
          <w:p w14:paraId="27DB0832" w14:textId="77777777" w:rsidR="007A74C2" w:rsidRDefault="00184A5C">
            <w:r>
              <w:t xml:space="preserve"> </w:t>
            </w:r>
          </w:p>
        </w:tc>
      </w:tr>
      <w:tr w:rsidR="007A74C2" w14:paraId="7CF9F4ED" w14:textId="77777777">
        <w:trPr>
          <w:trHeight w:val="547"/>
        </w:trPr>
        <w:tc>
          <w:tcPr>
            <w:tcW w:w="4068" w:type="dxa"/>
            <w:tcBorders>
              <w:top w:val="single" w:sz="4" w:space="0" w:color="000000"/>
              <w:left w:val="single" w:sz="4" w:space="0" w:color="000000"/>
              <w:bottom w:val="single" w:sz="4" w:space="0" w:color="000000"/>
              <w:right w:val="single" w:sz="4" w:space="0" w:color="000000"/>
            </w:tcBorders>
          </w:tcPr>
          <w:p w14:paraId="6923D46E" w14:textId="77777777" w:rsidR="007A74C2" w:rsidRDefault="00184A5C">
            <w:r>
              <w:t xml:space="preserve">Provide all other grades and definitions from the recommendation grading system </w:t>
            </w:r>
          </w:p>
        </w:tc>
        <w:tc>
          <w:tcPr>
            <w:tcW w:w="5131" w:type="dxa"/>
            <w:tcBorders>
              <w:top w:val="single" w:sz="4" w:space="0" w:color="000000"/>
              <w:left w:val="single" w:sz="4" w:space="0" w:color="000000"/>
              <w:bottom w:val="single" w:sz="4" w:space="0" w:color="000000"/>
              <w:right w:val="single" w:sz="4" w:space="0" w:color="000000"/>
            </w:tcBorders>
          </w:tcPr>
          <w:p w14:paraId="1E995FB9" w14:textId="77777777" w:rsidR="007A74C2" w:rsidRDefault="00184A5C">
            <w:r>
              <w:t xml:space="preserve"> </w:t>
            </w:r>
          </w:p>
        </w:tc>
      </w:tr>
      <w:tr w:rsidR="007A74C2" w14:paraId="40ABA978" w14:textId="77777777">
        <w:trPr>
          <w:trHeight w:val="1121"/>
        </w:trPr>
        <w:tc>
          <w:tcPr>
            <w:tcW w:w="4068" w:type="dxa"/>
            <w:tcBorders>
              <w:top w:val="single" w:sz="4" w:space="0" w:color="000000"/>
              <w:left w:val="single" w:sz="4" w:space="0" w:color="000000"/>
              <w:bottom w:val="single" w:sz="4" w:space="0" w:color="000000"/>
              <w:right w:val="single" w:sz="4" w:space="0" w:color="000000"/>
            </w:tcBorders>
          </w:tcPr>
          <w:p w14:paraId="1C361532" w14:textId="77777777" w:rsidR="007A74C2" w:rsidRDefault="00184A5C">
            <w:pPr>
              <w:spacing w:after="53"/>
            </w:pPr>
            <w:r>
              <w:t xml:space="preserve">Body of evidence: </w:t>
            </w:r>
          </w:p>
          <w:p w14:paraId="61D7E49F" w14:textId="77777777" w:rsidR="007A74C2" w:rsidRDefault="00184A5C">
            <w:pPr>
              <w:numPr>
                <w:ilvl w:val="0"/>
                <w:numId w:val="5"/>
              </w:numPr>
              <w:spacing w:after="80"/>
              <w:ind w:right="40" w:hanging="360"/>
              <w:jc w:val="center"/>
            </w:pPr>
            <w:r>
              <w:t xml:space="preserve">Quantity – how many studies? </w:t>
            </w:r>
          </w:p>
          <w:p w14:paraId="326A9037" w14:textId="77777777" w:rsidR="007A74C2" w:rsidRDefault="00184A5C">
            <w:pPr>
              <w:numPr>
                <w:ilvl w:val="0"/>
                <w:numId w:val="5"/>
              </w:numPr>
              <w:ind w:right="40" w:hanging="360"/>
              <w:jc w:val="center"/>
            </w:pPr>
            <w:r>
              <w:t xml:space="preserve">Quality – what type of studies? </w:t>
            </w:r>
          </w:p>
        </w:tc>
        <w:tc>
          <w:tcPr>
            <w:tcW w:w="5131" w:type="dxa"/>
            <w:tcBorders>
              <w:top w:val="single" w:sz="4" w:space="0" w:color="000000"/>
              <w:left w:val="single" w:sz="4" w:space="0" w:color="000000"/>
              <w:bottom w:val="single" w:sz="4" w:space="0" w:color="000000"/>
              <w:right w:val="single" w:sz="4" w:space="0" w:color="000000"/>
            </w:tcBorders>
          </w:tcPr>
          <w:p w14:paraId="3D2B4966" w14:textId="77777777" w:rsidR="007A74C2" w:rsidRDefault="00184A5C">
            <w:r>
              <w:t xml:space="preserve"> </w:t>
            </w:r>
          </w:p>
        </w:tc>
      </w:tr>
      <w:tr w:rsidR="007A74C2" w14:paraId="17B3FF55" w14:textId="77777777">
        <w:trPr>
          <w:trHeight w:val="547"/>
        </w:trPr>
        <w:tc>
          <w:tcPr>
            <w:tcW w:w="4068" w:type="dxa"/>
            <w:tcBorders>
              <w:top w:val="single" w:sz="4" w:space="0" w:color="000000"/>
              <w:left w:val="single" w:sz="4" w:space="0" w:color="000000"/>
              <w:bottom w:val="single" w:sz="4" w:space="0" w:color="000000"/>
              <w:right w:val="single" w:sz="4" w:space="0" w:color="000000"/>
            </w:tcBorders>
          </w:tcPr>
          <w:p w14:paraId="14912B26" w14:textId="77777777" w:rsidR="007A74C2" w:rsidRDefault="00184A5C">
            <w:r>
              <w:t xml:space="preserve">Estimates of benefit and consistency across studies  </w:t>
            </w:r>
          </w:p>
        </w:tc>
        <w:tc>
          <w:tcPr>
            <w:tcW w:w="5131" w:type="dxa"/>
            <w:tcBorders>
              <w:top w:val="single" w:sz="4" w:space="0" w:color="000000"/>
              <w:left w:val="single" w:sz="4" w:space="0" w:color="000000"/>
              <w:bottom w:val="single" w:sz="4" w:space="0" w:color="000000"/>
              <w:right w:val="single" w:sz="4" w:space="0" w:color="000000"/>
            </w:tcBorders>
          </w:tcPr>
          <w:p w14:paraId="20312061" w14:textId="77777777" w:rsidR="007A74C2" w:rsidRDefault="00184A5C">
            <w:r>
              <w:t xml:space="preserve"> </w:t>
            </w:r>
          </w:p>
        </w:tc>
      </w:tr>
      <w:tr w:rsidR="007A74C2" w14:paraId="43AD40ED" w14:textId="77777777">
        <w:trPr>
          <w:trHeight w:val="278"/>
        </w:trPr>
        <w:tc>
          <w:tcPr>
            <w:tcW w:w="4068" w:type="dxa"/>
            <w:tcBorders>
              <w:top w:val="single" w:sz="4" w:space="0" w:color="000000"/>
              <w:left w:val="single" w:sz="4" w:space="0" w:color="000000"/>
              <w:bottom w:val="single" w:sz="4" w:space="0" w:color="000000"/>
              <w:right w:val="single" w:sz="4" w:space="0" w:color="000000"/>
            </w:tcBorders>
          </w:tcPr>
          <w:p w14:paraId="6F572E67" w14:textId="77777777" w:rsidR="007A74C2" w:rsidRDefault="00184A5C">
            <w:r>
              <w:t xml:space="preserve">What harms were identified? </w:t>
            </w:r>
          </w:p>
        </w:tc>
        <w:tc>
          <w:tcPr>
            <w:tcW w:w="5131" w:type="dxa"/>
            <w:tcBorders>
              <w:top w:val="single" w:sz="4" w:space="0" w:color="000000"/>
              <w:left w:val="single" w:sz="4" w:space="0" w:color="000000"/>
              <w:bottom w:val="single" w:sz="4" w:space="0" w:color="000000"/>
              <w:right w:val="single" w:sz="4" w:space="0" w:color="000000"/>
            </w:tcBorders>
          </w:tcPr>
          <w:p w14:paraId="7E9C0D0A" w14:textId="77777777" w:rsidR="007A74C2" w:rsidRDefault="00184A5C">
            <w:r>
              <w:t xml:space="preserve"> </w:t>
            </w:r>
          </w:p>
        </w:tc>
      </w:tr>
      <w:tr w:rsidR="007A74C2" w14:paraId="2FD0C792" w14:textId="77777777">
        <w:trPr>
          <w:trHeight w:val="816"/>
        </w:trPr>
        <w:tc>
          <w:tcPr>
            <w:tcW w:w="4068" w:type="dxa"/>
            <w:tcBorders>
              <w:top w:val="single" w:sz="4" w:space="0" w:color="000000"/>
              <w:left w:val="single" w:sz="4" w:space="0" w:color="000000"/>
              <w:bottom w:val="single" w:sz="4" w:space="0" w:color="000000"/>
              <w:right w:val="single" w:sz="4" w:space="0" w:color="000000"/>
            </w:tcBorders>
          </w:tcPr>
          <w:p w14:paraId="68A0AD85" w14:textId="77777777" w:rsidR="007A74C2" w:rsidRDefault="00184A5C">
            <w:r>
              <w:t xml:space="preserve">Identify any new studies conducted since the SR. Do the new studies change the conclusions from the SR? </w:t>
            </w:r>
          </w:p>
        </w:tc>
        <w:tc>
          <w:tcPr>
            <w:tcW w:w="5131" w:type="dxa"/>
            <w:tcBorders>
              <w:top w:val="single" w:sz="4" w:space="0" w:color="000000"/>
              <w:left w:val="single" w:sz="4" w:space="0" w:color="000000"/>
              <w:bottom w:val="single" w:sz="4" w:space="0" w:color="000000"/>
              <w:right w:val="single" w:sz="4" w:space="0" w:color="000000"/>
            </w:tcBorders>
          </w:tcPr>
          <w:p w14:paraId="772DB6F5" w14:textId="77777777" w:rsidR="007A74C2" w:rsidRDefault="00184A5C">
            <w:r>
              <w:t xml:space="preserve"> </w:t>
            </w:r>
          </w:p>
        </w:tc>
      </w:tr>
    </w:tbl>
    <w:p w14:paraId="7784FB89" w14:textId="77777777" w:rsidR="007A74C2" w:rsidRDefault="00184A5C">
      <w:pPr>
        <w:spacing w:after="0"/>
        <w:ind w:left="355"/>
      </w:pPr>
      <w:r>
        <w:t xml:space="preserve"> </w:t>
      </w:r>
    </w:p>
    <w:p w14:paraId="43B2AC42" w14:textId="77777777" w:rsidR="007A74C2" w:rsidRDefault="00184A5C">
      <w:pPr>
        <w:spacing w:after="0"/>
        <w:ind w:left="355"/>
      </w:pPr>
      <w:r>
        <w:rPr>
          <w:b/>
        </w:rPr>
        <w:t xml:space="preserve"> </w:t>
      </w:r>
    </w:p>
    <w:p w14:paraId="388732A0" w14:textId="77777777" w:rsidR="007A74C2" w:rsidRDefault="00184A5C">
      <w:pPr>
        <w:spacing w:after="5" w:line="249" w:lineRule="auto"/>
        <w:ind w:left="350" w:right="209" w:hanging="10"/>
      </w:pPr>
      <w:r>
        <w:rPr>
          <w:b/>
        </w:rPr>
        <w:t>1a.4</w:t>
      </w:r>
      <w:r>
        <w:rPr>
          <w:b/>
          <w:color w:val="0000FF"/>
        </w:rPr>
        <w:t xml:space="preserve"> </w:t>
      </w:r>
      <w:r>
        <w:rPr>
          <w:b/>
        </w:rPr>
        <w:t xml:space="preserve">OTHER SOURCE OF EVIDENCE </w:t>
      </w:r>
    </w:p>
    <w:p w14:paraId="35ADE504" w14:textId="52DF40B3" w:rsidR="007A74C2" w:rsidRDefault="00184A5C">
      <w:pPr>
        <w:spacing w:after="0" w:line="249" w:lineRule="auto"/>
        <w:ind w:left="351" w:right="125" w:hanging="10"/>
        <w:rPr>
          <w:i/>
        </w:rPr>
      </w:pPr>
      <w:r>
        <w:rPr>
          <w:i/>
        </w:rPr>
        <w:t xml:space="preserve">If source of evidence is NOT from a clinical practice guideline, USPSTF, or systematic review, please describe the evidence on which you are basing the performance measure. </w:t>
      </w:r>
    </w:p>
    <w:p w14:paraId="59C1ED2A" w14:textId="77777777" w:rsidR="00DD121C" w:rsidRDefault="00DD121C">
      <w:pPr>
        <w:spacing w:after="0" w:line="249" w:lineRule="auto"/>
        <w:ind w:left="351" w:right="125" w:hanging="10"/>
      </w:pPr>
    </w:p>
    <w:p w14:paraId="05DD8BD0" w14:textId="766FFE4B" w:rsidR="003C5778" w:rsidRDefault="003C5778" w:rsidP="007E569F">
      <w:pPr>
        <w:spacing w:after="120"/>
        <w:ind w:left="300"/>
        <w:rPr>
          <w:color w:val="0000FF"/>
        </w:rPr>
      </w:pPr>
      <w:r>
        <w:rPr>
          <w:color w:val="0000FF"/>
        </w:rPr>
        <w:t>The evidence on which this measure is based is the result of a review of the literature</w:t>
      </w:r>
      <w:r w:rsidR="007E569F">
        <w:rPr>
          <w:color w:val="0000FF"/>
        </w:rPr>
        <w:t xml:space="preserve"> of the effect of continuity of care/post-discharge follow-up after inpatient or residential treatment for substance use disorders</w:t>
      </w:r>
      <w:r>
        <w:rPr>
          <w:color w:val="0000FF"/>
        </w:rPr>
        <w:t xml:space="preserve">. </w:t>
      </w:r>
    </w:p>
    <w:p w14:paraId="4CA19137" w14:textId="772DDF10" w:rsidR="007A74C2" w:rsidRDefault="00184A5C">
      <w:pPr>
        <w:spacing w:after="5" w:line="249" w:lineRule="auto"/>
        <w:ind w:left="350" w:right="209" w:hanging="10"/>
      </w:pPr>
      <w:r>
        <w:rPr>
          <w:b/>
        </w:rPr>
        <w:t>1a.4.1</w:t>
      </w:r>
      <w:r>
        <w:rPr>
          <w:color w:val="006FC0"/>
        </w:rPr>
        <w:t xml:space="preserve"> </w:t>
      </w:r>
      <w:r>
        <w:rPr>
          <w:b/>
        </w:rPr>
        <w:t xml:space="preserve">Briefly SYNTHESIZE the evidence that supports the measure. </w:t>
      </w:r>
      <w:r>
        <w:t xml:space="preserve">A list of references without a summary is not acceptable. </w:t>
      </w:r>
    </w:p>
    <w:p w14:paraId="35D37035" w14:textId="77777777" w:rsidR="004B205F" w:rsidRDefault="004B205F">
      <w:pPr>
        <w:spacing w:after="5" w:line="249" w:lineRule="auto"/>
        <w:ind w:left="350" w:right="209" w:hanging="10"/>
      </w:pPr>
    </w:p>
    <w:p w14:paraId="01D57B6E" w14:textId="6045D5A2" w:rsidR="00124D3A" w:rsidRDefault="005A0801" w:rsidP="00124D3A">
      <w:pPr>
        <w:spacing w:after="120"/>
        <w:ind w:left="340"/>
        <w:rPr>
          <w:color w:val="0000FF"/>
        </w:rPr>
      </w:pPr>
      <w:r>
        <w:rPr>
          <w:color w:val="0000FF"/>
        </w:rPr>
        <w:t xml:space="preserve">The National Institute on Drug Abuse’s </w:t>
      </w:r>
      <w:r w:rsidRPr="005A0801">
        <w:rPr>
          <w:i/>
          <w:iCs/>
          <w:color w:val="0000FF"/>
        </w:rPr>
        <w:t>Principles of Drug Addiction Treatment</w:t>
      </w:r>
      <w:r w:rsidRPr="005A0801">
        <w:rPr>
          <w:i/>
          <w:iCs/>
        </w:rPr>
        <w:t xml:space="preserve"> </w:t>
      </w:r>
      <w:r w:rsidR="0073699C">
        <w:rPr>
          <w:color w:val="0000FF"/>
        </w:rPr>
        <w:t>explains</w:t>
      </w:r>
      <w:r>
        <w:rPr>
          <w:color w:val="0000FF"/>
        </w:rPr>
        <w:t xml:space="preserve"> that “Remaining </w:t>
      </w:r>
      <w:r w:rsidRPr="005A0801">
        <w:rPr>
          <w:color w:val="0000FF"/>
        </w:rPr>
        <w:t>in treatment for an adequate period of time is critical</w:t>
      </w:r>
      <w:r w:rsidR="0073699C">
        <w:rPr>
          <w:color w:val="0000FF"/>
        </w:rPr>
        <w:t xml:space="preserve"> for recovery.” Moreover</w:t>
      </w:r>
      <w:r w:rsidR="00EF2795">
        <w:rPr>
          <w:color w:val="0000FF"/>
        </w:rPr>
        <w:t xml:space="preserve">, </w:t>
      </w:r>
      <w:r w:rsidR="0073699C">
        <w:rPr>
          <w:color w:val="0000FF"/>
        </w:rPr>
        <w:t>they note that “r</w:t>
      </w:r>
      <w:r w:rsidRPr="005A0801">
        <w:rPr>
          <w:color w:val="0000FF"/>
        </w:rPr>
        <w:t>esearch indicates that most addicted individuals need at least 3 months in treatment to significantly reduce or stop their drug use and that the best outcomes occur with longer durations of treatment</w:t>
      </w:r>
      <w:r w:rsidR="00124D3A" w:rsidRPr="00124D3A">
        <w:rPr>
          <w:color w:val="0000FF"/>
        </w:rPr>
        <w:t>.</w:t>
      </w:r>
      <w:r>
        <w:rPr>
          <w:color w:val="0000FF"/>
        </w:rPr>
        <w:t>” (National Institute on Drug Abuse, 2018). Patients often drop out of SUD treatment during transitions from inpatient and residential setting to outpatient settings</w:t>
      </w:r>
      <w:r w:rsidR="00124D3A" w:rsidRPr="00124D3A">
        <w:rPr>
          <w:color w:val="0000FF"/>
        </w:rPr>
        <w:t xml:space="preserve"> </w:t>
      </w:r>
      <w:r>
        <w:rPr>
          <w:color w:val="0000FF"/>
        </w:rPr>
        <w:t xml:space="preserve"> (</w:t>
      </w:r>
      <w:r w:rsidRPr="005A0801">
        <w:rPr>
          <w:color w:val="0000FF"/>
        </w:rPr>
        <w:t xml:space="preserve">Harris, </w:t>
      </w:r>
      <w:r>
        <w:rPr>
          <w:color w:val="0000FF"/>
        </w:rPr>
        <w:t>et al</w:t>
      </w:r>
      <w:r w:rsidRPr="005A0801">
        <w:rPr>
          <w:color w:val="0000FF"/>
        </w:rPr>
        <w:t xml:space="preserve"> 2006; Naeger et al., 2016; Ali et al., 2016; Reif, </w:t>
      </w:r>
      <w:r>
        <w:rPr>
          <w:color w:val="0000FF"/>
        </w:rPr>
        <w:t xml:space="preserve">et al. </w:t>
      </w:r>
      <w:r w:rsidRPr="005A0801">
        <w:rPr>
          <w:color w:val="0000FF"/>
        </w:rPr>
        <w:t>, 2017; Rubinsky et al., 2017; Liu et a., 2020).</w:t>
      </w:r>
    </w:p>
    <w:p w14:paraId="1C136E14" w14:textId="156B42E2" w:rsidR="00740F85" w:rsidRPr="00740F85" w:rsidRDefault="0073699C" w:rsidP="00740F85">
      <w:pPr>
        <w:spacing w:after="120"/>
        <w:ind w:left="340"/>
        <w:rPr>
          <w:color w:val="0000FF"/>
        </w:rPr>
      </w:pPr>
      <w:r>
        <w:rPr>
          <w:color w:val="0000FF"/>
        </w:rPr>
        <w:lastRenderedPageBreak/>
        <w:t>Research finds that p</w:t>
      </w:r>
      <w:r w:rsidR="00C96E9A">
        <w:rPr>
          <w:color w:val="0000FF"/>
        </w:rPr>
        <w:t xml:space="preserve">ost discharge follow-up after discharge from </w:t>
      </w:r>
      <w:r w:rsidR="005C2F4B">
        <w:rPr>
          <w:color w:val="0000FF"/>
        </w:rPr>
        <w:t>an</w:t>
      </w:r>
      <w:r w:rsidR="00740F85" w:rsidRPr="00740F85">
        <w:rPr>
          <w:color w:val="0000FF"/>
        </w:rPr>
        <w:t xml:space="preserve"> inpatient or residential SUD </w:t>
      </w:r>
      <w:r w:rsidR="005C2F4B">
        <w:rPr>
          <w:color w:val="0000FF"/>
        </w:rPr>
        <w:t>stay</w:t>
      </w:r>
      <w:r w:rsidR="00C96E9A">
        <w:rPr>
          <w:color w:val="0000FF"/>
        </w:rPr>
        <w:t xml:space="preserve"> </w:t>
      </w:r>
      <w:r w:rsidR="000C3FA7">
        <w:rPr>
          <w:color w:val="0000FF"/>
        </w:rPr>
        <w:t>is</w:t>
      </w:r>
      <w:r w:rsidR="00C96E9A">
        <w:rPr>
          <w:color w:val="0000FF"/>
        </w:rPr>
        <w:t xml:space="preserve">  associated with better</w:t>
      </w:r>
      <w:r w:rsidR="00740F85" w:rsidRPr="00740F85">
        <w:rPr>
          <w:color w:val="0000FF"/>
        </w:rPr>
        <w:t xml:space="preserve"> outcome</w:t>
      </w:r>
      <w:r w:rsidR="00C96E9A">
        <w:rPr>
          <w:color w:val="0000FF"/>
        </w:rPr>
        <w:t xml:space="preserve">s, </w:t>
      </w:r>
      <w:r w:rsidR="00740F85" w:rsidRPr="00740F85">
        <w:rPr>
          <w:color w:val="0000FF"/>
        </w:rPr>
        <w:t xml:space="preserve">such as </w:t>
      </w:r>
      <w:r w:rsidR="00C96E9A">
        <w:rPr>
          <w:color w:val="0000FF"/>
        </w:rPr>
        <w:t xml:space="preserve">reduced </w:t>
      </w:r>
      <w:r w:rsidR="00740F85" w:rsidRPr="00740F85">
        <w:rPr>
          <w:color w:val="0000FF"/>
        </w:rPr>
        <w:t>mortality</w:t>
      </w:r>
      <w:r w:rsidR="008072CE">
        <w:rPr>
          <w:color w:val="0000FF"/>
        </w:rPr>
        <w:t xml:space="preserve"> (</w:t>
      </w:r>
      <w:r w:rsidR="008072CE" w:rsidRPr="005C2F4B">
        <w:rPr>
          <w:iCs/>
          <w:color w:val="0000FF"/>
        </w:rPr>
        <w:t xml:space="preserve">Harris et al., 2015; </w:t>
      </w:r>
      <w:r w:rsidR="008072CE">
        <w:rPr>
          <w:iCs/>
          <w:color w:val="0000FF"/>
        </w:rPr>
        <w:t xml:space="preserve">Paddock et al., 2017; </w:t>
      </w:r>
      <w:r w:rsidR="008072CE" w:rsidRPr="005C2F4B">
        <w:rPr>
          <w:iCs/>
          <w:color w:val="0000FF"/>
        </w:rPr>
        <w:t>Schmidt et al, 2017</w:t>
      </w:r>
      <w:r w:rsidR="008072CE">
        <w:rPr>
          <w:iCs/>
          <w:color w:val="0000FF"/>
        </w:rPr>
        <w:t>)</w:t>
      </w:r>
      <w:r w:rsidR="00740F85" w:rsidRPr="00740F85">
        <w:rPr>
          <w:color w:val="0000FF"/>
        </w:rPr>
        <w:t xml:space="preserve">, </w:t>
      </w:r>
      <w:r w:rsidR="008072CE">
        <w:rPr>
          <w:color w:val="0000FF"/>
        </w:rPr>
        <w:t xml:space="preserve">readmissions (Mark et al.., 2013, Reif et al., 2017), </w:t>
      </w:r>
      <w:r w:rsidR="00740F85" w:rsidRPr="00740F85">
        <w:rPr>
          <w:color w:val="0000FF"/>
        </w:rPr>
        <w:t>substance use</w:t>
      </w:r>
      <w:r w:rsidR="008072CE">
        <w:rPr>
          <w:color w:val="0000FF"/>
        </w:rPr>
        <w:t xml:space="preserve"> and </w:t>
      </w:r>
      <w:r w:rsidR="00C96E9A">
        <w:rPr>
          <w:color w:val="0000FF"/>
        </w:rPr>
        <w:t xml:space="preserve">improved </w:t>
      </w:r>
      <w:r w:rsidR="00740F85" w:rsidRPr="00740F85">
        <w:rPr>
          <w:color w:val="0000FF"/>
        </w:rPr>
        <w:t>retention in treatment</w:t>
      </w:r>
      <w:r w:rsidR="00C96E9A">
        <w:rPr>
          <w:color w:val="0000FF"/>
        </w:rPr>
        <w:t xml:space="preserve"> </w:t>
      </w:r>
      <w:r w:rsidR="008072CE">
        <w:rPr>
          <w:color w:val="0000FF"/>
        </w:rPr>
        <w:t xml:space="preserve">(Demarce et al., 2018, Garner et al., 2010) </w:t>
      </w:r>
      <w:r w:rsidR="000C3FA7">
        <w:rPr>
          <w:color w:val="0000FF"/>
        </w:rPr>
        <w:t>(See Table 1).</w:t>
      </w:r>
    </w:p>
    <w:p w14:paraId="2C7CF677" w14:textId="708E01BF" w:rsidR="00740F85" w:rsidRPr="00740F85" w:rsidRDefault="00740F85" w:rsidP="00740F85">
      <w:pPr>
        <w:autoSpaceDE w:val="0"/>
        <w:autoSpaceDN w:val="0"/>
        <w:adjustRightInd w:val="0"/>
        <w:spacing w:after="120"/>
        <w:ind w:left="340"/>
        <w:rPr>
          <w:i/>
          <w:color w:val="0000FF"/>
        </w:rPr>
      </w:pPr>
      <w:r w:rsidRPr="00740F85">
        <w:rPr>
          <w:b/>
          <w:bCs/>
          <w:i/>
          <w:iCs/>
          <w:color w:val="0000FF"/>
        </w:rPr>
        <w:t>Mortality</w:t>
      </w:r>
      <w:r w:rsidRPr="00740F85">
        <w:rPr>
          <w:i/>
          <w:color w:val="0000FF"/>
        </w:rPr>
        <w:t>.</w:t>
      </w:r>
      <w:r w:rsidRPr="00740F85">
        <w:rPr>
          <w:iCs/>
          <w:color w:val="0000FF"/>
        </w:rPr>
        <w:t xml:space="preserve"> </w:t>
      </w:r>
      <w:r w:rsidR="00B84C68">
        <w:rPr>
          <w:iCs/>
          <w:color w:val="0000FF"/>
        </w:rPr>
        <w:t>Two</w:t>
      </w:r>
      <w:r w:rsidRPr="00740F85">
        <w:rPr>
          <w:iCs/>
          <w:color w:val="0000FF"/>
        </w:rPr>
        <w:t xml:space="preserve"> studies found lower rates of death within one to two years following treatment for patients that had continuity of care services following discharge from </w:t>
      </w:r>
      <w:r w:rsidR="00451DD3">
        <w:rPr>
          <w:iCs/>
          <w:color w:val="0000FF"/>
        </w:rPr>
        <w:t xml:space="preserve">residential </w:t>
      </w:r>
      <w:r w:rsidRPr="00740F85">
        <w:rPr>
          <w:iCs/>
          <w:color w:val="0000FF"/>
        </w:rPr>
        <w:t>SUD treatment</w:t>
      </w:r>
      <w:r w:rsidR="00B84C68">
        <w:rPr>
          <w:iCs/>
          <w:color w:val="0000FF"/>
        </w:rPr>
        <w:t>, treatment engagement and detoxification</w:t>
      </w:r>
      <w:r w:rsidR="005C2F4B">
        <w:rPr>
          <w:iCs/>
          <w:color w:val="0000FF"/>
        </w:rPr>
        <w:t xml:space="preserve"> </w:t>
      </w:r>
      <w:r w:rsidR="005C2F4B" w:rsidRPr="005C2F4B">
        <w:rPr>
          <w:iCs/>
          <w:color w:val="0000FF"/>
        </w:rPr>
        <w:t xml:space="preserve">(Harris et al., 2015; </w:t>
      </w:r>
      <w:r w:rsidR="00B84C68">
        <w:rPr>
          <w:iCs/>
          <w:color w:val="0000FF"/>
        </w:rPr>
        <w:t xml:space="preserve">Paddock et al., 2017; </w:t>
      </w:r>
      <w:r w:rsidR="005C2F4B" w:rsidRPr="005C2F4B">
        <w:rPr>
          <w:iCs/>
          <w:color w:val="0000FF"/>
        </w:rPr>
        <w:t>Schmidt et al, 2017</w:t>
      </w:r>
      <w:r w:rsidR="00FD2624">
        <w:rPr>
          <w:iCs/>
          <w:color w:val="0000FF"/>
        </w:rPr>
        <w:t>)</w:t>
      </w:r>
      <w:r w:rsidRPr="00740F85">
        <w:rPr>
          <w:iCs/>
          <w:color w:val="0000FF"/>
        </w:rPr>
        <w:t>. In one study, patients who had continuity of care within 14 days of discharge from residential treatment had lower two-year mortality ratio (OR = 0.77, p&lt;.008)</w:t>
      </w:r>
      <w:r w:rsidR="00FD2624">
        <w:rPr>
          <w:iCs/>
          <w:color w:val="0000FF"/>
        </w:rPr>
        <w:t xml:space="preserve"> (Harris et al., 2015)</w:t>
      </w:r>
      <w:r w:rsidRPr="00740F85">
        <w:rPr>
          <w:iCs/>
          <w:color w:val="0000FF"/>
        </w:rPr>
        <w:t>. Another study found that patients with two or more follow-up treatment encounters within 30 days of the start of a treatment episode had lower rates of mortality in the one and two year periods following treatment  (OR = 0.65, CI: 0.58, 0.74 &amp; OR = 0.78, CI: 0.71, 0.85)</w:t>
      </w:r>
      <w:r w:rsidR="00FD2624">
        <w:rPr>
          <w:iCs/>
          <w:color w:val="0000FF"/>
        </w:rPr>
        <w:t xml:space="preserve"> (Paddock et al., 2017)</w:t>
      </w:r>
      <w:r w:rsidRPr="00740F85">
        <w:rPr>
          <w:iCs/>
          <w:color w:val="0000FF"/>
        </w:rPr>
        <w:t>. A third study found a nearly 50% decrease in mortality in patients who followed up within 7 days of detoxification treatment or the end of detoxification-related prescriptions compared to those who did not follow-up within that time frame (OR = 0.65, P&lt;0.001)</w:t>
      </w:r>
      <w:r w:rsidR="00FD2624">
        <w:rPr>
          <w:iCs/>
          <w:color w:val="0000FF"/>
        </w:rPr>
        <w:t xml:space="preserve"> (Schmidt et al., 2017)</w:t>
      </w:r>
      <w:r w:rsidRPr="00740F85" w:rsidDel="00EF5700">
        <w:rPr>
          <w:iCs/>
          <w:color w:val="0000FF"/>
        </w:rPr>
        <w:t>.</w:t>
      </w:r>
    </w:p>
    <w:p w14:paraId="0002B8B0" w14:textId="6668C00C" w:rsidR="00740F85" w:rsidRPr="00740F85" w:rsidRDefault="00740F85" w:rsidP="00740F85">
      <w:pPr>
        <w:spacing w:after="120"/>
        <w:ind w:left="340"/>
        <w:rPr>
          <w:iCs/>
          <w:color w:val="0000FF"/>
        </w:rPr>
      </w:pPr>
      <w:r w:rsidRPr="00740F85">
        <w:rPr>
          <w:b/>
          <w:bCs/>
          <w:i/>
          <w:iCs/>
          <w:color w:val="0000FF"/>
        </w:rPr>
        <w:t>Readmission.</w:t>
      </w:r>
      <w:r w:rsidRPr="00740F85">
        <w:rPr>
          <w:iCs/>
          <w:color w:val="0000FF"/>
        </w:rPr>
        <w:t xml:space="preserve"> </w:t>
      </w:r>
      <w:r w:rsidR="00B84C68">
        <w:rPr>
          <w:iCs/>
          <w:color w:val="0000FF"/>
        </w:rPr>
        <w:t>Studies find</w:t>
      </w:r>
      <w:r w:rsidRPr="00740F85">
        <w:rPr>
          <w:iCs/>
          <w:color w:val="0000FF"/>
        </w:rPr>
        <w:t xml:space="preserve"> that continued care led to lower rates of readmissions after initial SUD treatment</w:t>
      </w:r>
      <w:r w:rsidR="00774053" w:rsidRPr="00774053">
        <w:rPr>
          <w:iCs/>
          <w:color w:val="0000FF"/>
        </w:rPr>
        <w:t xml:space="preserve"> </w:t>
      </w:r>
      <w:r w:rsidR="00774053" w:rsidRPr="00740F85">
        <w:rPr>
          <w:iCs/>
          <w:color w:val="0000FF"/>
        </w:rPr>
        <w:t>(Reif et al., 2017; Mark et al., 2013)</w:t>
      </w:r>
      <w:r w:rsidRPr="00740F85">
        <w:rPr>
          <w:iCs/>
          <w:color w:val="0000FF"/>
        </w:rPr>
        <w:t>. One study found that, among a sample of Medicaid beneficiaries with an inpatient SUD treatment or residential detoxification hospital admission, those who received residential treatment after discharge had lower rates of readmission compared to beneficiaries with no-follow up (HR=0.</w:t>
      </w:r>
      <w:r w:rsidR="00095874">
        <w:rPr>
          <w:iCs/>
          <w:color w:val="0000FF"/>
        </w:rPr>
        <w:t>05</w:t>
      </w:r>
      <w:r w:rsidRPr="00740F85">
        <w:rPr>
          <w:iCs/>
          <w:color w:val="0000FF"/>
        </w:rPr>
        <w:t>, p&lt;.001)</w:t>
      </w:r>
      <w:r w:rsidR="00095874">
        <w:rPr>
          <w:iCs/>
          <w:color w:val="0000FF"/>
        </w:rPr>
        <w:t xml:space="preserve"> (Reif et al., 2017)</w:t>
      </w:r>
      <w:r w:rsidRPr="00740F85">
        <w:rPr>
          <w:iCs/>
          <w:color w:val="0000FF"/>
        </w:rPr>
        <w:t>. Medication-assisted treatment for SUD after an inpatient or detoxification stay was similarly associated with lower rates of readmission (HR=0.61, p&lt;.001)</w:t>
      </w:r>
      <w:r w:rsidR="00095874" w:rsidRPr="00095874">
        <w:rPr>
          <w:iCs/>
          <w:color w:val="0000FF"/>
        </w:rPr>
        <w:t xml:space="preserve"> </w:t>
      </w:r>
      <w:r w:rsidR="00095874">
        <w:rPr>
          <w:iCs/>
          <w:color w:val="0000FF"/>
        </w:rPr>
        <w:t>(Reif et al., 2017)</w:t>
      </w:r>
      <w:r w:rsidR="00095874" w:rsidRPr="00740F85">
        <w:rPr>
          <w:iCs/>
          <w:color w:val="0000FF"/>
        </w:rPr>
        <w:t>.</w:t>
      </w:r>
      <w:r w:rsidRPr="00740F85">
        <w:rPr>
          <w:iCs/>
          <w:color w:val="0000FF"/>
        </w:rPr>
        <w:t xml:space="preserve"> Another study of Medicaid beneficiaries who received inpatient mental health or SUD treatment found that patients who received continued care treatment at community mental health centers </w:t>
      </w:r>
      <w:r w:rsidR="00B86520">
        <w:rPr>
          <w:iCs/>
          <w:color w:val="0000FF"/>
        </w:rPr>
        <w:t xml:space="preserve">after discharge </w:t>
      </w:r>
      <w:r w:rsidRPr="00740F85">
        <w:rPr>
          <w:iCs/>
          <w:color w:val="0000FF"/>
        </w:rPr>
        <w:t>had lower rates of readmissions</w:t>
      </w:r>
      <w:r w:rsidR="00774053">
        <w:rPr>
          <w:iCs/>
          <w:color w:val="0000FF"/>
        </w:rPr>
        <w:t xml:space="preserve"> (Mark et al., 2013)</w:t>
      </w:r>
      <w:r w:rsidRPr="00740F85">
        <w:rPr>
          <w:iCs/>
          <w:color w:val="0000FF"/>
        </w:rPr>
        <w:t xml:space="preserve">. </w:t>
      </w:r>
    </w:p>
    <w:p w14:paraId="38BD7110" w14:textId="5D3C9412" w:rsidR="00740F85" w:rsidRPr="00C41533" w:rsidRDefault="00740F85" w:rsidP="00740F85">
      <w:pPr>
        <w:autoSpaceDE w:val="0"/>
        <w:autoSpaceDN w:val="0"/>
        <w:adjustRightInd w:val="0"/>
        <w:spacing w:after="360"/>
        <w:ind w:left="340"/>
        <w:rPr>
          <w:rFonts w:eastAsia="Times New Roman" w:cs="Times New Roman"/>
          <w:color w:val="0000FF"/>
        </w:rPr>
      </w:pPr>
      <w:r w:rsidRPr="00740F85">
        <w:rPr>
          <w:rFonts w:eastAsia="Times New Roman" w:cs="Times New Roman"/>
          <w:b/>
          <w:bCs/>
          <w:i/>
          <w:iCs/>
          <w:color w:val="0000FF"/>
        </w:rPr>
        <w:t xml:space="preserve">Retention in Treatment and Reduced Substance Use. </w:t>
      </w:r>
      <w:r w:rsidRPr="00740F85">
        <w:rPr>
          <w:rFonts w:eastAsia="Times New Roman" w:cs="Times New Roman"/>
          <w:color w:val="0000FF"/>
        </w:rPr>
        <w:t xml:space="preserve">One study </w:t>
      </w:r>
      <w:r>
        <w:rPr>
          <w:rFonts w:eastAsia="Times New Roman" w:cs="Times New Roman"/>
          <w:color w:val="0000FF"/>
        </w:rPr>
        <w:t>evaluated</w:t>
      </w:r>
      <w:r w:rsidRPr="00740F85">
        <w:rPr>
          <w:rFonts w:eastAsia="Times New Roman" w:cs="Times New Roman"/>
          <w:color w:val="0000FF"/>
        </w:rPr>
        <w:t xml:space="preserve"> the efficacy of a continuing care adherence intervention consisting of contracting, prompting and reinforcing attendance in continued care</w:t>
      </w:r>
      <w:r w:rsidR="009C62B2">
        <w:rPr>
          <w:rFonts w:eastAsia="Times New Roman" w:cs="Times New Roman"/>
          <w:color w:val="0000FF"/>
        </w:rPr>
        <w:t xml:space="preserve"> (Demarce et al., 2008)</w:t>
      </w:r>
      <w:r w:rsidRPr="00740F85">
        <w:rPr>
          <w:rFonts w:eastAsia="Times New Roman" w:cs="Times New Roman"/>
          <w:color w:val="0000FF"/>
        </w:rPr>
        <w:t xml:space="preserve">. The randomized study found that patients who received the adherence intervention </w:t>
      </w:r>
      <w:r w:rsidR="004D2CC4">
        <w:rPr>
          <w:rFonts w:eastAsia="Times New Roman" w:cs="Times New Roman"/>
          <w:color w:val="0000FF"/>
        </w:rPr>
        <w:t xml:space="preserve">after residential treatment </w:t>
      </w:r>
      <w:r w:rsidRPr="00740F85">
        <w:rPr>
          <w:rFonts w:eastAsia="Times New Roman" w:cs="Times New Roman"/>
          <w:color w:val="0000FF"/>
        </w:rPr>
        <w:t>had higher rates of 3-month follow-up as well as higher 1-year abstinence rates than patients who received standard treatment without continuing care adherence interventions</w:t>
      </w:r>
      <w:r w:rsidR="009C62B2">
        <w:rPr>
          <w:rFonts w:eastAsia="Times New Roman" w:cs="Times New Roman"/>
          <w:color w:val="0000FF"/>
        </w:rPr>
        <w:t xml:space="preserve"> (Demarce et al., 2008)</w:t>
      </w:r>
      <w:r w:rsidRPr="00740F85">
        <w:rPr>
          <w:rFonts w:eastAsia="Times New Roman" w:cs="Times New Roman"/>
          <w:color w:val="0000FF"/>
        </w:rPr>
        <w:t xml:space="preserve">. Another study of adolescents treated in publicly funded long-term residential care facilities found similar results. Individuals who were randomized into a group to receive services to support continuing care </w:t>
      </w:r>
      <w:r w:rsidR="009D6D71">
        <w:rPr>
          <w:rFonts w:eastAsia="Times New Roman" w:cs="Times New Roman"/>
          <w:color w:val="0000FF"/>
        </w:rPr>
        <w:t xml:space="preserve">after residential treatment </w:t>
      </w:r>
      <w:r w:rsidRPr="00740F85">
        <w:rPr>
          <w:rFonts w:eastAsia="Times New Roman" w:cs="Times New Roman"/>
          <w:color w:val="0000FF"/>
        </w:rPr>
        <w:t xml:space="preserve">were more likely to be abstinent at follow-up than patients who received standard care (Garner et al., 2010). </w:t>
      </w:r>
    </w:p>
    <w:p w14:paraId="0AAD88AF" w14:textId="56EF60C9" w:rsidR="00E7311A" w:rsidRPr="00C41533" w:rsidRDefault="00E7311A" w:rsidP="00E7311A">
      <w:pPr>
        <w:ind w:left="340"/>
        <w:rPr>
          <w:b/>
          <w:color w:val="0000FF"/>
        </w:rPr>
      </w:pPr>
      <w:r w:rsidRPr="00C41533">
        <w:rPr>
          <w:b/>
          <w:color w:val="0000FF"/>
        </w:rPr>
        <w:t>Table 1</w:t>
      </w:r>
      <w:r>
        <w:rPr>
          <w:b/>
          <w:color w:val="0000FF"/>
        </w:rPr>
        <w:t xml:space="preserve">. </w:t>
      </w:r>
      <w:r w:rsidRPr="00C41533">
        <w:rPr>
          <w:b/>
          <w:color w:val="0000FF"/>
        </w:rPr>
        <w:t>Studies of Continuity</w:t>
      </w:r>
      <w:r w:rsidR="00982757">
        <w:rPr>
          <w:b/>
          <w:color w:val="0000FF"/>
        </w:rPr>
        <w:t>/follow-up</w:t>
      </w:r>
      <w:r w:rsidRPr="00C41533">
        <w:rPr>
          <w:b/>
          <w:color w:val="0000FF"/>
        </w:rPr>
        <w:t xml:space="preserve"> Impact on Mortality, </w:t>
      </w:r>
      <w:r w:rsidR="000F4CFA">
        <w:rPr>
          <w:b/>
          <w:color w:val="0000FF"/>
        </w:rPr>
        <w:t xml:space="preserve">Readmission, </w:t>
      </w:r>
      <w:r w:rsidRPr="00C41533">
        <w:rPr>
          <w:b/>
          <w:color w:val="0000FF"/>
        </w:rPr>
        <w:t xml:space="preserve">Retention in Treatment </w:t>
      </w:r>
      <w:r w:rsidR="000F4CFA">
        <w:rPr>
          <w:b/>
          <w:color w:val="0000FF"/>
        </w:rPr>
        <w:t>and Substance Use</w:t>
      </w:r>
    </w:p>
    <w:tbl>
      <w:tblPr>
        <w:tblStyle w:val="TableGrid2"/>
        <w:tblW w:w="9801" w:type="dxa"/>
        <w:jc w:val="center"/>
        <w:tblLook w:val="04A0" w:firstRow="1" w:lastRow="0" w:firstColumn="1" w:lastColumn="0" w:noHBand="0" w:noVBand="1"/>
      </w:tblPr>
      <w:tblGrid>
        <w:gridCol w:w="998"/>
        <w:gridCol w:w="2425"/>
        <w:gridCol w:w="1662"/>
        <w:gridCol w:w="1846"/>
        <w:gridCol w:w="2870"/>
      </w:tblGrid>
      <w:tr w:rsidR="00E7311A" w:rsidRPr="00145756" w14:paraId="6944B7C2" w14:textId="77777777" w:rsidTr="00142402">
        <w:trPr>
          <w:tblHeader/>
          <w:jc w:val="center"/>
        </w:trPr>
        <w:tc>
          <w:tcPr>
            <w:tcW w:w="998" w:type="dxa"/>
            <w:shd w:val="clear" w:color="auto" w:fill="6C6F70"/>
            <w:vAlign w:val="bottom"/>
          </w:tcPr>
          <w:p w14:paraId="3E616217" w14:textId="77777777" w:rsidR="00E7311A" w:rsidRPr="00145756" w:rsidRDefault="00E7311A" w:rsidP="00F417C1">
            <w:pPr>
              <w:rPr>
                <w:b/>
                <w:color w:val="FFFFFF" w:themeColor="background1"/>
                <w:sz w:val="18"/>
                <w:szCs w:val="18"/>
              </w:rPr>
            </w:pPr>
            <w:r w:rsidRPr="00145756">
              <w:rPr>
                <w:b/>
                <w:color w:val="FFFFFF" w:themeColor="background1"/>
                <w:sz w:val="18"/>
                <w:szCs w:val="18"/>
              </w:rPr>
              <w:t>Study</w:t>
            </w:r>
          </w:p>
        </w:tc>
        <w:tc>
          <w:tcPr>
            <w:tcW w:w="2425" w:type="dxa"/>
            <w:shd w:val="clear" w:color="auto" w:fill="6C6F70"/>
            <w:vAlign w:val="bottom"/>
          </w:tcPr>
          <w:p w14:paraId="38FCCEE4" w14:textId="77777777" w:rsidR="00E7311A" w:rsidRPr="00145756" w:rsidRDefault="00E7311A" w:rsidP="00F417C1">
            <w:pPr>
              <w:jc w:val="center"/>
              <w:rPr>
                <w:b/>
                <w:color w:val="FFFFFF" w:themeColor="background1"/>
                <w:sz w:val="18"/>
                <w:szCs w:val="18"/>
              </w:rPr>
            </w:pPr>
            <w:r w:rsidRPr="00145756">
              <w:rPr>
                <w:b/>
                <w:color w:val="FFFFFF" w:themeColor="background1"/>
                <w:sz w:val="18"/>
                <w:szCs w:val="18"/>
              </w:rPr>
              <w:t>Design</w:t>
            </w:r>
          </w:p>
        </w:tc>
        <w:tc>
          <w:tcPr>
            <w:tcW w:w="1662" w:type="dxa"/>
            <w:shd w:val="clear" w:color="auto" w:fill="6C6F70"/>
            <w:vAlign w:val="bottom"/>
          </w:tcPr>
          <w:p w14:paraId="5599E60E" w14:textId="77777777" w:rsidR="00E7311A" w:rsidRPr="00145756" w:rsidRDefault="00E7311A" w:rsidP="00F417C1">
            <w:pPr>
              <w:jc w:val="center"/>
              <w:rPr>
                <w:b/>
                <w:color w:val="FFFFFF" w:themeColor="background1"/>
                <w:sz w:val="18"/>
                <w:szCs w:val="18"/>
              </w:rPr>
            </w:pPr>
            <w:r w:rsidRPr="00145756">
              <w:rPr>
                <w:b/>
                <w:color w:val="FFFFFF" w:themeColor="background1"/>
                <w:sz w:val="18"/>
                <w:szCs w:val="18"/>
              </w:rPr>
              <w:t>Time After Discharge to Continuity of Care</w:t>
            </w:r>
          </w:p>
        </w:tc>
        <w:tc>
          <w:tcPr>
            <w:tcW w:w="1846" w:type="dxa"/>
            <w:shd w:val="clear" w:color="auto" w:fill="6C6F70"/>
            <w:vAlign w:val="bottom"/>
          </w:tcPr>
          <w:p w14:paraId="0C1B9024" w14:textId="77777777" w:rsidR="00E7311A" w:rsidRPr="00145756" w:rsidRDefault="00E7311A" w:rsidP="00F417C1">
            <w:pPr>
              <w:jc w:val="center"/>
              <w:rPr>
                <w:b/>
                <w:color w:val="FFFFFF" w:themeColor="background1"/>
                <w:sz w:val="18"/>
                <w:szCs w:val="18"/>
              </w:rPr>
            </w:pPr>
            <w:r w:rsidRPr="00145756">
              <w:rPr>
                <w:b/>
                <w:color w:val="FFFFFF" w:themeColor="background1"/>
                <w:sz w:val="18"/>
                <w:szCs w:val="18"/>
              </w:rPr>
              <w:t>Outcomes</w:t>
            </w:r>
          </w:p>
        </w:tc>
        <w:tc>
          <w:tcPr>
            <w:tcW w:w="2870" w:type="dxa"/>
            <w:shd w:val="clear" w:color="auto" w:fill="6C6F70"/>
            <w:vAlign w:val="bottom"/>
          </w:tcPr>
          <w:p w14:paraId="18755B85" w14:textId="77777777" w:rsidR="00E7311A" w:rsidRPr="00145756" w:rsidRDefault="00E7311A" w:rsidP="00F417C1">
            <w:pPr>
              <w:jc w:val="center"/>
              <w:rPr>
                <w:b/>
                <w:color w:val="FFFFFF" w:themeColor="background1"/>
                <w:sz w:val="18"/>
                <w:szCs w:val="18"/>
              </w:rPr>
            </w:pPr>
            <w:r w:rsidRPr="00145756">
              <w:rPr>
                <w:b/>
                <w:color w:val="FFFFFF" w:themeColor="background1"/>
                <w:sz w:val="18"/>
                <w:szCs w:val="18"/>
              </w:rPr>
              <w:t>Results</w:t>
            </w:r>
          </w:p>
        </w:tc>
      </w:tr>
      <w:tr w:rsidR="00E7311A" w:rsidRPr="00145756" w14:paraId="172E0A70" w14:textId="77777777" w:rsidTr="00142402">
        <w:trPr>
          <w:jc w:val="center"/>
        </w:trPr>
        <w:tc>
          <w:tcPr>
            <w:tcW w:w="998" w:type="dxa"/>
          </w:tcPr>
          <w:p w14:paraId="0C4A8165" w14:textId="77777777" w:rsidR="00E7311A" w:rsidRPr="007A0C92" w:rsidRDefault="00E7311A" w:rsidP="00F417C1">
            <w:pPr>
              <w:rPr>
                <w:sz w:val="18"/>
                <w:szCs w:val="18"/>
              </w:rPr>
            </w:pPr>
            <w:r w:rsidRPr="007A0C92">
              <w:rPr>
                <w:sz w:val="18"/>
                <w:szCs w:val="18"/>
              </w:rPr>
              <w:t xml:space="preserve">Harris et al. 2015 </w:t>
            </w:r>
          </w:p>
        </w:tc>
        <w:tc>
          <w:tcPr>
            <w:tcW w:w="2425" w:type="dxa"/>
          </w:tcPr>
          <w:p w14:paraId="2152B318" w14:textId="1BEC4124" w:rsidR="00E7311A" w:rsidRPr="007A0C92" w:rsidRDefault="00E7311A" w:rsidP="00F417C1">
            <w:pPr>
              <w:rPr>
                <w:sz w:val="18"/>
                <w:szCs w:val="18"/>
              </w:rPr>
            </w:pPr>
            <w:r w:rsidRPr="007A0C92">
              <w:rPr>
                <w:sz w:val="18"/>
                <w:szCs w:val="18"/>
              </w:rPr>
              <w:t xml:space="preserve">Veterans Health Administration administrative data; cross sectional analysis (FY 2009), using propensity </w:t>
            </w:r>
            <w:r w:rsidRPr="007A0C92">
              <w:rPr>
                <w:sz w:val="18"/>
                <w:szCs w:val="18"/>
              </w:rPr>
              <w:lastRenderedPageBreak/>
              <w:t xml:space="preserve">score weighted mixed effects regression models  </w:t>
            </w:r>
          </w:p>
        </w:tc>
        <w:tc>
          <w:tcPr>
            <w:tcW w:w="1662" w:type="dxa"/>
          </w:tcPr>
          <w:p w14:paraId="7CAD6A6B" w14:textId="77777777" w:rsidR="00E7311A" w:rsidRPr="007A0C92" w:rsidRDefault="00E7311A" w:rsidP="00F417C1">
            <w:pPr>
              <w:rPr>
                <w:sz w:val="18"/>
                <w:szCs w:val="18"/>
              </w:rPr>
            </w:pPr>
            <w:r w:rsidRPr="007A0C92">
              <w:rPr>
                <w:sz w:val="18"/>
                <w:szCs w:val="18"/>
              </w:rPr>
              <w:lastRenderedPageBreak/>
              <w:t>Within 14-days after residential discharge</w:t>
            </w:r>
          </w:p>
        </w:tc>
        <w:tc>
          <w:tcPr>
            <w:tcW w:w="1846" w:type="dxa"/>
          </w:tcPr>
          <w:p w14:paraId="23D88EBF" w14:textId="77777777" w:rsidR="00E7311A" w:rsidRPr="007A0C92" w:rsidRDefault="00E7311A" w:rsidP="00F417C1">
            <w:pPr>
              <w:rPr>
                <w:sz w:val="18"/>
                <w:szCs w:val="18"/>
              </w:rPr>
            </w:pPr>
            <w:r w:rsidRPr="007A0C92">
              <w:rPr>
                <w:sz w:val="18"/>
                <w:szCs w:val="18"/>
              </w:rPr>
              <w:t>2-year mortality</w:t>
            </w:r>
          </w:p>
        </w:tc>
        <w:tc>
          <w:tcPr>
            <w:tcW w:w="2870" w:type="dxa"/>
          </w:tcPr>
          <w:p w14:paraId="45E9033D" w14:textId="6D6A9DDB" w:rsidR="00E7311A" w:rsidRPr="007A0C92" w:rsidRDefault="00E7311A" w:rsidP="00F417C1">
            <w:pPr>
              <w:rPr>
                <w:sz w:val="18"/>
                <w:szCs w:val="18"/>
              </w:rPr>
            </w:pPr>
            <w:r w:rsidRPr="007A0C92">
              <w:rPr>
                <w:sz w:val="18"/>
                <w:szCs w:val="18"/>
              </w:rPr>
              <w:t>76% of 10,064 patients had a continuity of care service within 14 days of discharge. Patients who had continuity of care had a lower 2-</w:t>
            </w:r>
            <w:r w:rsidRPr="007A0C92">
              <w:rPr>
                <w:sz w:val="18"/>
                <w:szCs w:val="18"/>
              </w:rPr>
              <w:lastRenderedPageBreak/>
              <w:t>year mortality rate (OR= 0.77, p=0.008).</w:t>
            </w:r>
          </w:p>
        </w:tc>
      </w:tr>
      <w:tr w:rsidR="00E7311A" w:rsidRPr="00145756" w14:paraId="6D3BA95B" w14:textId="77777777" w:rsidTr="00142402">
        <w:trPr>
          <w:jc w:val="center"/>
        </w:trPr>
        <w:tc>
          <w:tcPr>
            <w:tcW w:w="998" w:type="dxa"/>
          </w:tcPr>
          <w:p w14:paraId="5C5324E8" w14:textId="77777777" w:rsidR="00E7311A" w:rsidRPr="007A0C92" w:rsidRDefault="00E7311A" w:rsidP="00F417C1">
            <w:pPr>
              <w:rPr>
                <w:sz w:val="18"/>
                <w:szCs w:val="18"/>
              </w:rPr>
            </w:pPr>
            <w:r w:rsidRPr="007A0C92">
              <w:rPr>
                <w:sz w:val="18"/>
                <w:szCs w:val="18"/>
              </w:rPr>
              <w:lastRenderedPageBreak/>
              <w:t>Reif et al. 2017</w:t>
            </w:r>
          </w:p>
        </w:tc>
        <w:tc>
          <w:tcPr>
            <w:tcW w:w="2425" w:type="dxa"/>
          </w:tcPr>
          <w:p w14:paraId="7CBBB749" w14:textId="77777777" w:rsidR="00E7311A" w:rsidRPr="007A0C92" w:rsidRDefault="00E7311A" w:rsidP="00F417C1">
            <w:pPr>
              <w:rPr>
                <w:sz w:val="18"/>
                <w:szCs w:val="18"/>
              </w:rPr>
            </w:pPr>
            <w:r w:rsidRPr="007A0C92">
              <w:rPr>
                <w:sz w:val="18"/>
                <w:szCs w:val="18"/>
              </w:rPr>
              <w:t>Medicaid Analytic eXtract claims data (2008; N=30,439) for ten states; cross sectional analysis, survival analysis (Cox proportional hazards) to estimate the effect of follow-up services and MAT on time to a behavioral health readmission with censoring at 90 days</w:t>
            </w:r>
          </w:p>
        </w:tc>
        <w:tc>
          <w:tcPr>
            <w:tcW w:w="1662" w:type="dxa"/>
          </w:tcPr>
          <w:p w14:paraId="48737803" w14:textId="77777777" w:rsidR="00E7311A" w:rsidRPr="007A0C92" w:rsidRDefault="00E7311A" w:rsidP="00F417C1">
            <w:pPr>
              <w:rPr>
                <w:sz w:val="18"/>
                <w:szCs w:val="18"/>
              </w:rPr>
            </w:pPr>
            <w:r w:rsidRPr="007A0C92">
              <w:rPr>
                <w:sz w:val="18"/>
                <w:szCs w:val="18"/>
              </w:rPr>
              <w:t>Within 14-days after discharge from inpatient hospital care or residential detoxification</w:t>
            </w:r>
          </w:p>
        </w:tc>
        <w:tc>
          <w:tcPr>
            <w:tcW w:w="1846" w:type="dxa"/>
          </w:tcPr>
          <w:p w14:paraId="10CFD4BF" w14:textId="77777777" w:rsidR="00E7311A" w:rsidRPr="007A0C92" w:rsidRDefault="00E7311A" w:rsidP="00F417C1">
            <w:pPr>
              <w:rPr>
                <w:sz w:val="18"/>
                <w:szCs w:val="18"/>
              </w:rPr>
            </w:pPr>
            <w:r w:rsidRPr="007A0C92">
              <w:rPr>
                <w:sz w:val="18"/>
                <w:szCs w:val="18"/>
              </w:rPr>
              <w:t>Readmissions after inpatient hospital admission for SUD or after residential detoxification</w:t>
            </w:r>
          </w:p>
        </w:tc>
        <w:tc>
          <w:tcPr>
            <w:tcW w:w="2870" w:type="dxa"/>
          </w:tcPr>
          <w:p w14:paraId="10216C12" w14:textId="0ACC8022" w:rsidR="00E7311A" w:rsidRPr="007A0C92" w:rsidRDefault="00E7311A" w:rsidP="00F417C1">
            <w:pPr>
              <w:rPr>
                <w:sz w:val="18"/>
                <w:szCs w:val="18"/>
              </w:rPr>
            </w:pPr>
            <w:r w:rsidRPr="0069002E">
              <w:rPr>
                <w:sz w:val="18"/>
                <w:szCs w:val="18"/>
              </w:rPr>
              <w:t>Medication assisted treatment</w:t>
            </w:r>
            <w:r w:rsidRPr="007A0C92">
              <w:rPr>
                <w:sz w:val="18"/>
                <w:szCs w:val="18"/>
              </w:rPr>
              <w:t xml:space="preserve"> and residential treatment provided after </w:t>
            </w:r>
            <w:r w:rsidR="00F21D27">
              <w:rPr>
                <w:sz w:val="18"/>
                <w:szCs w:val="18"/>
              </w:rPr>
              <w:t xml:space="preserve">inpatient hospital </w:t>
            </w:r>
            <w:r w:rsidRPr="007A0C92">
              <w:rPr>
                <w:sz w:val="18"/>
                <w:szCs w:val="18"/>
              </w:rPr>
              <w:t xml:space="preserve">discharge were associated with reduced risk of 90-day behavioral health readmission (HR= 0.05, p&lt;.001 and HR= 0.61, p&lt;.001 for residential and </w:t>
            </w:r>
            <w:r w:rsidR="00F21D27">
              <w:rPr>
                <w:sz w:val="18"/>
                <w:szCs w:val="18"/>
              </w:rPr>
              <w:t>medication assisted treatment</w:t>
            </w:r>
            <w:r w:rsidRPr="007A0C92">
              <w:rPr>
                <w:sz w:val="18"/>
                <w:szCs w:val="18"/>
              </w:rPr>
              <w:t xml:space="preserve">, respectively. </w:t>
            </w:r>
          </w:p>
        </w:tc>
      </w:tr>
      <w:tr w:rsidR="00E7311A" w:rsidRPr="00145756" w14:paraId="444EA9C6" w14:textId="77777777" w:rsidTr="00142402">
        <w:trPr>
          <w:jc w:val="center"/>
        </w:trPr>
        <w:tc>
          <w:tcPr>
            <w:tcW w:w="998" w:type="dxa"/>
          </w:tcPr>
          <w:p w14:paraId="24DCF874" w14:textId="77777777" w:rsidR="00E7311A" w:rsidRPr="007A0C92" w:rsidRDefault="00E7311A" w:rsidP="00F417C1">
            <w:pPr>
              <w:rPr>
                <w:sz w:val="18"/>
                <w:szCs w:val="18"/>
              </w:rPr>
            </w:pPr>
            <w:r w:rsidRPr="007A0C92">
              <w:rPr>
                <w:sz w:val="18"/>
                <w:szCs w:val="18"/>
              </w:rPr>
              <w:t>Garner et al. 2010</w:t>
            </w:r>
          </w:p>
        </w:tc>
        <w:tc>
          <w:tcPr>
            <w:tcW w:w="2425" w:type="dxa"/>
          </w:tcPr>
          <w:p w14:paraId="4C343F4D" w14:textId="77777777" w:rsidR="00E7311A" w:rsidRPr="007A0C92" w:rsidRDefault="00E7311A" w:rsidP="00F417C1">
            <w:pPr>
              <w:rPr>
                <w:sz w:val="18"/>
                <w:szCs w:val="18"/>
              </w:rPr>
            </w:pPr>
            <w:r w:rsidRPr="007A0C92">
              <w:rPr>
                <w:sz w:val="18"/>
                <w:szCs w:val="18"/>
              </w:rPr>
              <w:t xml:space="preserve">Adolescents in publicly funded long-term residential treatment for at least 7 days (N=342) were </w:t>
            </w:r>
            <w:r w:rsidRPr="0069002E">
              <w:rPr>
                <w:sz w:val="18"/>
                <w:szCs w:val="18"/>
              </w:rPr>
              <w:t>randomized</w:t>
            </w:r>
            <w:r w:rsidRPr="007A0C92">
              <w:rPr>
                <w:sz w:val="18"/>
                <w:szCs w:val="18"/>
              </w:rPr>
              <w:t xml:space="preserve"> to either a control group that received standard care (SC) or to one of three </w:t>
            </w:r>
            <w:r w:rsidRPr="0069002E">
              <w:rPr>
                <w:sz w:val="18"/>
                <w:szCs w:val="18"/>
              </w:rPr>
              <w:t>assertive care conditions</w:t>
            </w:r>
            <w:r w:rsidRPr="007A0C92">
              <w:rPr>
                <w:sz w:val="18"/>
                <w:szCs w:val="18"/>
              </w:rPr>
              <w:t xml:space="preserve"> (ACC): assertive continuing care, Co</w:t>
            </w:r>
            <w:r>
              <w:rPr>
                <w:sz w:val="18"/>
                <w:szCs w:val="18"/>
              </w:rPr>
              <w:t>ntingency management, or both.</w:t>
            </w:r>
          </w:p>
        </w:tc>
        <w:tc>
          <w:tcPr>
            <w:tcW w:w="1662" w:type="dxa"/>
          </w:tcPr>
          <w:p w14:paraId="0B6D398E" w14:textId="77777777" w:rsidR="00E7311A" w:rsidRPr="007A0C92" w:rsidRDefault="00E7311A" w:rsidP="00F417C1">
            <w:pPr>
              <w:rPr>
                <w:sz w:val="18"/>
                <w:szCs w:val="18"/>
              </w:rPr>
            </w:pPr>
            <w:r w:rsidRPr="007A0C92">
              <w:rPr>
                <w:sz w:val="18"/>
                <w:szCs w:val="18"/>
              </w:rPr>
              <w:t>Within 14-days of discharge from long-term residential care</w:t>
            </w:r>
          </w:p>
        </w:tc>
        <w:tc>
          <w:tcPr>
            <w:tcW w:w="1846" w:type="dxa"/>
          </w:tcPr>
          <w:p w14:paraId="7845A21F" w14:textId="77777777" w:rsidR="00E7311A" w:rsidRPr="007A0C92" w:rsidRDefault="00E7311A" w:rsidP="00F417C1">
            <w:pPr>
              <w:rPr>
                <w:sz w:val="18"/>
                <w:szCs w:val="18"/>
              </w:rPr>
            </w:pPr>
            <w:r w:rsidRPr="007A0C92">
              <w:rPr>
                <w:sz w:val="18"/>
                <w:szCs w:val="18"/>
              </w:rPr>
              <w:t>Substance use and substance use problems as measure by the GAIN substance u</w:t>
            </w:r>
            <w:r>
              <w:rPr>
                <w:sz w:val="18"/>
                <w:szCs w:val="18"/>
              </w:rPr>
              <w:t>se scale (SPS). Recovery status</w:t>
            </w:r>
            <w:r w:rsidRPr="007A0C92">
              <w:rPr>
                <w:sz w:val="18"/>
                <w:szCs w:val="18"/>
              </w:rPr>
              <w:t xml:space="preserve"> measured as abstinence and no dependence symptoms while living in the community during past 30 days prior to follow-up.</w:t>
            </w:r>
          </w:p>
        </w:tc>
        <w:tc>
          <w:tcPr>
            <w:tcW w:w="2870" w:type="dxa"/>
          </w:tcPr>
          <w:p w14:paraId="22697F8B" w14:textId="77777777" w:rsidR="00E7311A" w:rsidRPr="007A0C92" w:rsidRDefault="00E7311A" w:rsidP="00F417C1">
            <w:pPr>
              <w:rPr>
                <w:sz w:val="18"/>
                <w:szCs w:val="18"/>
              </w:rPr>
            </w:pPr>
            <w:r w:rsidRPr="007A0C92">
              <w:rPr>
                <w:sz w:val="18"/>
                <w:szCs w:val="18"/>
              </w:rPr>
              <w:t>Continuity of care was higher for those in the ACC (78%) compared with SC (56%) and continuity of care was a significant predictor of 3-month recovery status (OR= 1.92, p&lt;.05).</w:t>
            </w:r>
          </w:p>
        </w:tc>
      </w:tr>
      <w:tr w:rsidR="00E7311A" w:rsidRPr="00145756" w14:paraId="507D0817" w14:textId="77777777" w:rsidTr="00142402">
        <w:trPr>
          <w:jc w:val="center"/>
        </w:trPr>
        <w:tc>
          <w:tcPr>
            <w:tcW w:w="998" w:type="dxa"/>
          </w:tcPr>
          <w:p w14:paraId="18D3E633" w14:textId="77777777" w:rsidR="00E7311A" w:rsidRPr="007A0C92" w:rsidRDefault="00E7311A" w:rsidP="00F417C1">
            <w:pPr>
              <w:rPr>
                <w:sz w:val="18"/>
                <w:szCs w:val="18"/>
              </w:rPr>
            </w:pPr>
            <w:r w:rsidRPr="007A0C92">
              <w:rPr>
                <w:sz w:val="18"/>
                <w:szCs w:val="18"/>
              </w:rPr>
              <w:t>Mark et al. 2013</w:t>
            </w:r>
          </w:p>
        </w:tc>
        <w:tc>
          <w:tcPr>
            <w:tcW w:w="2425" w:type="dxa"/>
          </w:tcPr>
          <w:p w14:paraId="14330121" w14:textId="77777777" w:rsidR="00E7311A" w:rsidRPr="007A0C92" w:rsidRDefault="00E7311A" w:rsidP="00F417C1">
            <w:pPr>
              <w:rPr>
                <w:sz w:val="18"/>
                <w:szCs w:val="18"/>
              </w:rPr>
            </w:pPr>
            <w:r w:rsidRPr="007A0C92">
              <w:rPr>
                <w:sz w:val="18"/>
                <w:szCs w:val="18"/>
              </w:rPr>
              <w:t xml:space="preserve">Analyses conducted with MarketScan® Multistate Medicaid Database, 2004-2009, cross section multivariate analyses controlling for hospital and patient level characteristics. </w:t>
            </w:r>
          </w:p>
        </w:tc>
        <w:tc>
          <w:tcPr>
            <w:tcW w:w="1662" w:type="dxa"/>
          </w:tcPr>
          <w:p w14:paraId="03BF1739" w14:textId="77777777" w:rsidR="00E7311A" w:rsidRPr="007A0C92" w:rsidRDefault="00E7311A" w:rsidP="00F417C1">
            <w:pPr>
              <w:rPr>
                <w:sz w:val="18"/>
                <w:szCs w:val="18"/>
              </w:rPr>
            </w:pPr>
            <w:r w:rsidRPr="007A0C92">
              <w:rPr>
                <w:sz w:val="18"/>
                <w:szCs w:val="18"/>
              </w:rPr>
              <w:t>Within 7-days after discharge</w:t>
            </w:r>
          </w:p>
        </w:tc>
        <w:tc>
          <w:tcPr>
            <w:tcW w:w="1846" w:type="dxa"/>
          </w:tcPr>
          <w:p w14:paraId="54EA9D14" w14:textId="77777777" w:rsidR="00E7311A" w:rsidRPr="007A0C92" w:rsidRDefault="00E7311A" w:rsidP="00F417C1">
            <w:pPr>
              <w:rPr>
                <w:sz w:val="18"/>
                <w:szCs w:val="18"/>
              </w:rPr>
            </w:pPr>
            <w:r w:rsidRPr="007A0C92">
              <w:rPr>
                <w:sz w:val="18"/>
                <w:szCs w:val="18"/>
              </w:rPr>
              <w:t>Readmissions to treatment with primary SUD diagnosis in days 8 to 30 days after discharge</w:t>
            </w:r>
          </w:p>
        </w:tc>
        <w:tc>
          <w:tcPr>
            <w:tcW w:w="2870" w:type="dxa"/>
          </w:tcPr>
          <w:p w14:paraId="4798EB05" w14:textId="555783EC" w:rsidR="00E7311A" w:rsidRPr="007A0C92" w:rsidRDefault="004D2CC4" w:rsidP="00F417C1">
            <w:pPr>
              <w:rPr>
                <w:sz w:val="18"/>
                <w:szCs w:val="18"/>
              </w:rPr>
            </w:pPr>
            <w:r>
              <w:rPr>
                <w:sz w:val="18"/>
                <w:szCs w:val="18"/>
              </w:rPr>
              <w:t>Hospitals</w:t>
            </w:r>
            <w:r w:rsidR="00E7311A" w:rsidRPr="007A0C92">
              <w:rPr>
                <w:sz w:val="18"/>
                <w:szCs w:val="18"/>
              </w:rPr>
              <w:t xml:space="preserve"> with a larger percentage of patients with a community mental health center (CMHC) follow up </w:t>
            </w:r>
            <w:r>
              <w:rPr>
                <w:sz w:val="18"/>
                <w:szCs w:val="18"/>
              </w:rPr>
              <w:t>visit after discharge had a</w:t>
            </w:r>
            <w:r w:rsidR="00E7311A" w:rsidRPr="007A0C92">
              <w:rPr>
                <w:sz w:val="18"/>
                <w:szCs w:val="18"/>
              </w:rPr>
              <w:t xml:space="preserve"> low</w:t>
            </w:r>
            <w:r w:rsidR="00E7311A">
              <w:rPr>
                <w:sz w:val="18"/>
                <w:szCs w:val="18"/>
              </w:rPr>
              <w:t xml:space="preserve">er probability of readmission. </w:t>
            </w:r>
            <w:r w:rsidR="00E7311A" w:rsidRPr="007A0C92">
              <w:rPr>
                <w:sz w:val="18"/>
                <w:szCs w:val="18"/>
              </w:rPr>
              <w:t>A 1 percent increase in a hospital’s percent of patients receiving post-discharge continuity of care in a CMHS within 7 days was associated with a 5 percent reduction in the probability of being readmitted.</w:t>
            </w:r>
          </w:p>
        </w:tc>
      </w:tr>
      <w:tr w:rsidR="00E7311A" w:rsidRPr="00145756" w14:paraId="2C0A7079" w14:textId="77777777" w:rsidTr="00142402">
        <w:trPr>
          <w:jc w:val="center"/>
        </w:trPr>
        <w:tc>
          <w:tcPr>
            <w:tcW w:w="998" w:type="dxa"/>
          </w:tcPr>
          <w:p w14:paraId="67AC3C0F" w14:textId="77777777" w:rsidR="00E7311A" w:rsidRPr="007A0C92" w:rsidRDefault="00E7311A" w:rsidP="00F417C1">
            <w:pPr>
              <w:rPr>
                <w:sz w:val="18"/>
                <w:szCs w:val="18"/>
              </w:rPr>
            </w:pPr>
            <w:r w:rsidRPr="007A0C92">
              <w:rPr>
                <w:sz w:val="18"/>
                <w:szCs w:val="18"/>
              </w:rPr>
              <w:t>DeMarce et al. 2008</w:t>
            </w:r>
          </w:p>
        </w:tc>
        <w:tc>
          <w:tcPr>
            <w:tcW w:w="2425" w:type="dxa"/>
          </w:tcPr>
          <w:p w14:paraId="55890641" w14:textId="77777777" w:rsidR="00E7311A" w:rsidRPr="007A0C92" w:rsidRDefault="00E7311A" w:rsidP="00F417C1">
            <w:pPr>
              <w:rPr>
                <w:sz w:val="18"/>
                <w:szCs w:val="18"/>
              </w:rPr>
            </w:pPr>
            <w:r w:rsidRPr="007A0C92">
              <w:rPr>
                <w:sz w:val="18"/>
                <w:szCs w:val="18"/>
              </w:rPr>
              <w:t>Randomized controlled study, 150 participants randomized to receive behavioral continuing care adherence intervention or standard treatment. The intervention included meeting with therapist during last week of residential care to develop a behavioral continuing care contract, and meeting again 9 weeks after discharge. The intervention group received attendance prompts, feedback prior to aftercare therapy sessions, certificates for treatment attendance, and AA/NA meetings.</w:t>
            </w:r>
          </w:p>
        </w:tc>
        <w:tc>
          <w:tcPr>
            <w:tcW w:w="1662" w:type="dxa"/>
          </w:tcPr>
          <w:p w14:paraId="04C1E0A8" w14:textId="77777777" w:rsidR="00E7311A" w:rsidRPr="007A0C92" w:rsidRDefault="00E7311A" w:rsidP="00F417C1">
            <w:pPr>
              <w:rPr>
                <w:sz w:val="18"/>
                <w:szCs w:val="18"/>
              </w:rPr>
            </w:pPr>
            <w:r w:rsidRPr="007A0C92">
              <w:rPr>
                <w:sz w:val="18"/>
                <w:szCs w:val="18"/>
              </w:rPr>
              <w:t xml:space="preserve">Beginning aftercare after residential treatment and completing 3-, 7-, and 12- month treatment.  Beginning aftercare defined as attending at least two treatment sessions per month. </w:t>
            </w:r>
          </w:p>
        </w:tc>
        <w:tc>
          <w:tcPr>
            <w:tcW w:w="1846" w:type="dxa"/>
          </w:tcPr>
          <w:p w14:paraId="1CD435DF" w14:textId="77777777" w:rsidR="00E7311A" w:rsidRPr="007A0C92" w:rsidRDefault="00E7311A" w:rsidP="00F417C1">
            <w:pPr>
              <w:rPr>
                <w:sz w:val="18"/>
                <w:szCs w:val="18"/>
              </w:rPr>
            </w:pPr>
            <w:r w:rsidRPr="007A0C92">
              <w:rPr>
                <w:sz w:val="18"/>
                <w:szCs w:val="18"/>
              </w:rPr>
              <w:t>Retention/length of stay in aftercare, abstinence</w:t>
            </w:r>
          </w:p>
        </w:tc>
        <w:tc>
          <w:tcPr>
            <w:tcW w:w="2870" w:type="dxa"/>
          </w:tcPr>
          <w:p w14:paraId="14235F44" w14:textId="217F362A" w:rsidR="00E7311A" w:rsidRPr="007A0C92" w:rsidRDefault="00E7311A" w:rsidP="00F417C1">
            <w:pPr>
              <w:rPr>
                <w:sz w:val="18"/>
                <w:szCs w:val="18"/>
              </w:rPr>
            </w:pPr>
            <w:r w:rsidRPr="007A0C92">
              <w:rPr>
                <w:sz w:val="18"/>
                <w:szCs w:val="18"/>
              </w:rPr>
              <w:t xml:space="preserve">Continuity of care support </w:t>
            </w:r>
            <w:r w:rsidR="004D2CC4">
              <w:rPr>
                <w:sz w:val="18"/>
                <w:szCs w:val="18"/>
              </w:rPr>
              <w:t>after residential treatment was associated with</w:t>
            </w:r>
            <w:r w:rsidRPr="007A0C92">
              <w:rPr>
                <w:sz w:val="18"/>
                <w:szCs w:val="18"/>
              </w:rPr>
              <w:t xml:space="preserve"> longer stay in aftercare and higher 1-year abstinence rate</w:t>
            </w:r>
          </w:p>
        </w:tc>
      </w:tr>
      <w:tr w:rsidR="00C509C9" w:rsidRPr="00145756" w14:paraId="0D4CC0F6" w14:textId="77777777" w:rsidTr="00142402">
        <w:trPr>
          <w:jc w:val="center"/>
        </w:trPr>
        <w:tc>
          <w:tcPr>
            <w:tcW w:w="998" w:type="dxa"/>
          </w:tcPr>
          <w:p w14:paraId="37C0636A" w14:textId="6DEF43D8" w:rsidR="00C509C9" w:rsidRPr="007A0C92" w:rsidRDefault="00C509C9" w:rsidP="00C509C9">
            <w:pPr>
              <w:rPr>
                <w:sz w:val="18"/>
                <w:szCs w:val="18"/>
              </w:rPr>
            </w:pPr>
            <w:r>
              <w:rPr>
                <w:sz w:val="18"/>
                <w:szCs w:val="18"/>
              </w:rPr>
              <w:lastRenderedPageBreak/>
              <w:t>Naeger, et al., 2016</w:t>
            </w:r>
          </w:p>
        </w:tc>
        <w:tc>
          <w:tcPr>
            <w:tcW w:w="2425" w:type="dxa"/>
          </w:tcPr>
          <w:p w14:paraId="6AB29AB1" w14:textId="7BA3B30C" w:rsidR="00C509C9" w:rsidRPr="007A0C92" w:rsidRDefault="00C509C9" w:rsidP="00C509C9">
            <w:pPr>
              <w:rPr>
                <w:sz w:val="18"/>
                <w:szCs w:val="18"/>
              </w:rPr>
            </w:pPr>
            <w:r>
              <w:rPr>
                <w:sz w:val="18"/>
                <w:szCs w:val="18"/>
              </w:rPr>
              <w:t xml:space="preserve">Truven Health Analytics </w:t>
            </w:r>
            <w:r w:rsidRPr="007A0C92">
              <w:rPr>
                <w:sz w:val="18"/>
                <w:szCs w:val="18"/>
              </w:rPr>
              <w:t xml:space="preserve">MarketScan® </w:t>
            </w:r>
            <w:r>
              <w:rPr>
                <w:sz w:val="18"/>
                <w:szCs w:val="18"/>
              </w:rPr>
              <w:t xml:space="preserve">Commercial Claims and Encounters data (2010-2014); retrospective multivariate analysis </w:t>
            </w:r>
          </w:p>
        </w:tc>
        <w:tc>
          <w:tcPr>
            <w:tcW w:w="1662" w:type="dxa"/>
          </w:tcPr>
          <w:p w14:paraId="60E5798D" w14:textId="4E5AFE0F" w:rsidR="00C509C9" w:rsidRPr="007A0C92" w:rsidRDefault="00AE563C" w:rsidP="00C509C9">
            <w:pPr>
              <w:rPr>
                <w:sz w:val="18"/>
                <w:szCs w:val="18"/>
              </w:rPr>
            </w:pPr>
            <w:r>
              <w:rPr>
                <w:sz w:val="18"/>
                <w:szCs w:val="18"/>
              </w:rPr>
              <w:t>Within 30 days of discharge</w:t>
            </w:r>
          </w:p>
        </w:tc>
        <w:tc>
          <w:tcPr>
            <w:tcW w:w="1846" w:type="dxa"/>
          </w:tcPr>
          <w:p w14:paraId="5E74FCB9" w14:textId="043E0BA2" w:rsidR="00C509C9" w:rsidRPr="007A0C92" w:rsidRDefault="00AE563C" w:rsidP="00C509C9">
            <w:pPr>
              <w:rPr>
                <w:sz w:val="18"/>
                <w:szCs w:val="18"/>
              </w:rPr>
            </w:pPr>
            <w:r>
              <w:rPr>
                <w:sz w:val="18"/>
                <w:szCs w:val="18"/>
              </w:rPr>
              <w:t>Engagement in at least two unique SUD outpatient treatment visits within 30 days of discharge</w:t>
            </w:r>
          </w:p>
        </w:tc>
        <w:tc>
          <w:tcPr>
            <w:tcW w:w="2870" w:type="dxa"/>
          </w:tcPr>
          <w:p w14:paraId="54686868" w14:textId="79CC8EB9" w:rsidR="00AE563C" w:rsidRPr="00AE563C" w:rsidRDefault="00AE563C" w:rsidP="00AE563C">
            <w:pPr>
              <w:rPr>
                <w:sz w:val="18"/>
                <w:szCs w:val="18"/>
              </w:rPr>
            </w:pPr>
            <w:r w:rsidRPr="00AE563C">
              <w:rPr>
                <w:sz w:val="18"/>
                <w:szCs w:val="18"/>
              </w:rPr>
              <w:t>17% of patients engaged in SUD treatment within 30 days of hospital discharge. A behavioral health outpatient visit prior to SUD admission increased odds of treatment by 1.34 (CI: 1.25–1.45), an antidepressant prescription drug fill prior to admission increased odds by 1.14 (CI: 1.07–1.21), a benzodiazepine fill prior to admission increased odds by 1.14 (CI: 1.07–1.21), a principal diagnosis for an SUD at index admission increased odds by 2.13 (CI: 1.97–2.30), an alcohol</w:t>
            </w:r>
            <w:r>
              <w:rPr>
                <w:sz w:val="18"/>
                <w:szCs w:val="18"/>
              </w:rPr>
              <w:t>-</w:t>
            </w:r>
            <w:r w:rsidRPr="00AE563C">
              <w:rPr>
                <w:sz w:val="18"/>
                <w:szCs w:val="18"/>
              </w:rPr>
              <w:t>related disorder diagnosis at index admission increased odds by 3.13 (CI: 2.87–3.42), an additional SUD diagnosis at index admission increased odds by 2.72 (CI: 2.48–2.98).</w:t>
            </w:r>
          </w:p>
          <w:p w14:paraId="491031A1" w14:textId="77777777" w:rsidR="00C509C9" w:rsidRPr="007A0C92" w:rsidRDefault="00C509C9" w:rsidP="00C509C9">
            <w:pPr>
              <w:rPr>
                <w:sz w:val="18"/>
                <w:szCs w:val="18"/>
              </w:rPr>
            </w:pPr>
          </w:p>
        </w:tc>
      </w:tr>
      <w:tr w:rsidR="00F96074" w:rsidRPr="00145756" w14:paraId="10126E79" w14:textId="77777777" w:rsidTr="00142402">
        <w:trPr>
          <w:jc w:val="center"/>
        </w:trPr>
        <w:tc>
          <w:tcPr>
            <w:tcW w:w="998" w:type="dxa"/>
          </w:tcPr>
          <w:p w14:paraId="7B06F251" w14:textId="44E7386F" w:rsidR="00F96074" w:rsidRPr="007A0C92" w:rsidRDefault="00F96074" w:rsidP="00F96074">
            <w:pPr>
              <w:rPr>
                <w:sz w:val="18"/>
                <w:szCs w:val="18"/>
              </w:rPr>
            </w:pPr>
            <w:r>
              <w:rPr>
                <w:sz w:val="18"/>
                <w:szCs w:val="18"/>
              </w:rPr>
              <w:t>Ali &amp; Mutter, 2016</w:t>
            </w:r>
          </w:p>
        </w:tc>
        <w:tc>
          <w:tcPr>
            <w:tcW w:w="2425" w:type="dxa"/>
          </w:tcPr>
          <w:p w14:paraId="548B08D5" w14:textId="00EC3F8D" w:rsidR="00F96074" w:rsidRPr="007A0C92" w:rsidRDefault="00F96074" w:rsidP="00F96074">
            <w:pPr>
              <w:rPr>
                <w:sz w:val="18"/>
                <w:szCs w:val="18"/>
              </w:rPr>
            </w:pPr>
            <w:r>
              <w:rPr>
                <w:sz w:val="18"/>
                <w:szCs w:val="18"/>
              </w:rPr>
              <w:t xml:space="preserve">Truven Health Analytics </w:t>
            </w:r>
            <w:r w:rsidRPr="007A0C92">
              <w:rPr>
                <w:sz w:val="18"/>
                <w:szCs w:val="18"/>
              </w:rPr>
              <w:t xml:space="preserve">MarketScan® </w:t>
            </w:r>
            <w:r>
              <w:rPr>
                <w:sz w:val="18"/>
                <w:szCs w:val="18"/>
              </w:rPr>
              <w:t xml:space="preserve">Commercial Claims and Encounters data (2010-2014); retrospective analysis </w:t>
            </w:r>
          </w:p>
        </w:tc>
        <w:tc>
          <w:tcPr>
            <w:tcW w:w="1662" w:type="dxa"/>
          </w:tcPr>
          <w:p w14:paraId="74DEB382" w14:textId="1EB3D92E" w:rsidR="00F96074" w:rsidRPr="007A0C92" w:rsidRDefault="00F96074" w:rsidP="00F96074">
            <w:pPr>
              <w:rPr>
                <w:sz w:val="18"/>
                <w:szCs w:val="18"/>
              </w:rPr>
            </w:pPr>
            <w:r>
              <w:rPr>
                <w:sz w:val="18"/>
                <w:szCs w:val="18"/>
              </w:rPr>
              <w:t>Within 30 days of discharge</w:t>
            </w:r>
          </w:p>
        </w:tc>
        <w:tc>
          <w:tcPr>
            <w:tcW w:w="1846" w:type="dxa"/>
          </w:tcPr>
          <w:p w14:paraId="1E998428" w14:textId="5EC7F9DE" w:rsidR="00F96074" w:rsidRPr="007A0C92" w:rsidRDefault="00F96074" w:rsidP="00F96074">
            <w:pPr>
              <w:rPr>
                <w:sz w:val="18"/>
                <w:szCs w:val="18"/>
              </w:rPr>
            </w:pPr>
            <w:r>
              <w:rPr>
                <w:sz w:val="18"/>
                <w:szCs w:val="18"/>
              </w:rPr>
              <w:t>Engagement with follow-up services within 30 days following opioid-related hospitalization</w:t>
            </w:r>
          </w:p>
        </w:tc>
        <w:tc>
          <w:tcPr>
            <w:tcW w:w="2870" w:type="dxa"/>
          </w:tcPr>
          <w:p w14:paraId="026FA4D0" w14:textId="5EF93214" w:rsidR="00F96074" w:rsidRPr="007A0C92" w:rsidRDefault="00F96074" w:rsidP="00F96074">
            <w:pPr>
              <w:rPr>
                <w:sz w:val="18"/>
                <w:szCs w:val="18"/>
              </w:rPr>
            </w:pPr>
            <w:r>
              <w:rPr>
                <w:sz w:val="18"/>
                <w:szCs w:val="18"/>
              </w:rPr>
              <w:t>40% of patients do not receive any follow-up services within 30 days of opioid-related hospitalization. Only 10.7% received the recommended combination of both medication and therapeutic service, while 43.3% received only therapeutic services and 6.0% received solely SUD medications.</w:t>
            </w:r>
          </w:p>
        </w:tc>
      </w:tr>
      <w:tr w:rsidR="00F96074" w:rsidRPr="00145756" w14:paraId="50839149" w14:textId="77777777" w:rsidTr="00142402">
        <w:trPr>
          <w:jc w:val="center"/>
        </w:trPr>
        <w:tc>
          <w:tcPr>
            <w:tcW w:w="998" w:type="dxa"/>
          </w:tcPr>
          <w:p w14:paraId="163AE116" w14:textId="1FEB2760" w:rsidR="00F96074" w:rsidRPr="007A0C92" w:rsidRDefault="001526D5" w:rsidP="00F96074">
            <w:pPr>
              <w:rPr>
                <w:sz w:val="18"/>
                <w:szCs w:val="18"/>
              </w:rPr>
            </w:pPr>
            <w:r>
              <w:rPr>
                <w:sz w:val="18"/>
                <w:szCs w:val="18"/>
              </w:rPr>
              <w:t>Paddock, et al. 201</w:t>
            </w:r>
            <w:r w:rsidR="00237126">
              <w:rPr>
                <w:sz w:val="18"/>
                <w:szCs w:val="18"/>
              </w:rPr>
              <w:t>7</w:t>
            </w:r>
          </w:p>
        </w:tc>
        <w:tc>
          <w:tcPr>
            <w:tcW w:w="2425" w:type="dxa"/>
          </w:tcPr>
          <w:p w14:paraId="6BD9BB31" w14:textId="7369CEEB" w:rsidR="00F96074" w:rsidRPr="007A0C92" w:rsidRDefault="00CA76D8" w:rsidP="00F96074">
            <w:pPr>
              <w:rPr>
                <w:sz w:val="18"/>
                <w:szCs w:val="18"/>
              </w:rPr>
            </w:pPr>
            <w:r>
              <w:rPr>
                <w:sz w:val="18"/>
                <w:szCs w:val="18"/>
              </w:rPr>
              <w:t>Retrospective cohort study of veterans who received care for SUDs during October 2006-September 2007</w:t>
            </w:r>
          </w:p>
        </w:tc>
        <w:tc>
          <w:tcPr>
            <w:tcW w:w="1662" w:type="dxa"/>
          </w:tcPr>
          <w:p w14:paraId="1AEF3B77" w14:textId="09E6906B" w:rsidR="00F96074" w:rsidRPr="007A0C92" w:rsidRDefault="002E581D" w:rsidP="00F96074">
            <w:pPr>
              <w:rPr>
                <w:sz w:val="18"/>
                <w:szCs w:val="18"/>
              </w:rPr>
            </w:pPr>
            <w:r>
              <w:rPr>
                <w:sz w:val="18"/>
                <w:szCs w:val="18"/>
              </w:rPr>
              <w:t>Within 30 days of discharge</w:t>
            </w:r>
          </w:p>
        </w:tc>
        <w:tc>
          <w:tcPr>
            <w:tcW w:w="1846" w:type="dxa"/>
          </w:tcPr>
          <w:p w14:paraId="66C91706" w14:textId="63798763" w:rsidR="00F96074" w:rsidRPr="007A0C92" w:rsidRDefault="00CA76D8" w:rsidP="00F96074">
            <w:pPr>
              <w:rPr>
                <w:sz w:val="18"/>
                <w:szCs w:val="18"/>
              </w:rPr>
            </w:pPr>
            <w:r>
              <w:rPr>
                <w:sz w:val="18"/>
                <w:szCs w:val="18"/>
              </w:rPr>
              <w:t>Morality 12 and 24 months after the end of the observation period</w:t>
            </w:r>
          </w:p>
        </w:tc>
        <w:tc>
          <w:tcPr>
            <w:tcW w:w="2870" w:type="dxa"/>
          </w:tcPr>
          <w:p w14:paraId="4B85365E" w14:textId="70D3BC68" w:rsidR="00F96074" w:rsidRPr="007A0C92" w:rsidRDefault="00BE18D4" w:rsidP="00141A54">
            <w:pPr>
              <w:rPr>
                <w:sz w:val="18"/>
                <w:szCs w:val="18"/>
              </w:rPr>
            </w:pPr>
            <w:r>
              <w:rPr>
                <w:sz w:val="18"/>
                <w:szCs w:val="18"/>
              </w:rPr>
              <w:t>Patients who had two or more diagnosis-related encounters in the inpatient setting within the 30 days of the start of an index episode had an adjusted OR of 0.65 [CI: 0.58, 0.74] and 0.78 [CI: 0.71, 0.85] for 12- and 24- month mortality, respectively.</w:t>
            </w:r>
          </w:p>
        </w:tc>
      </w:tr>
      <w:tr w:rsidR="00F106E8" w:rsidRPr="00145756" w14:paraId="45E5C457" w14:textId="77777777" w:rsidTr="00142402">
        <w:trPr>
          <w:jc w:val="center"/>
        </w:trPr>
        <w:tc>
          <w:tcPr>
            <w:tcW w:w="998" w:type="dxa"/>
          </w:tcPr>
          <w:p w14:paraId="2966F37A" w14:textId="06DDCB7C" w:rsidR="00F106E8" w:rsidRDefault="00237126" w:rsidP="00F96074">
            <w:pPr>
              <w:rPr>
                <w:sz w:val="18"/>
                <w:szCs w:val="18"/>
              </w:rPr>
            </w:pPr>
            <w:r>
              <w:rPr>
                <w:sz w:val="18"/>
                <w:szCs w:val="18"/>
              </w:rPr>
              <w:t>Schmidt, et al., 2017</w:t>
            </w:r>
          </w:p>
        </w:tc>
        <w:tc>
          <w:tcPr>
            <w:tcW w:w="2425" w:type="dxa"/>
          </w:tcPr>
          <w:p w14:paraId="6D9763E9" w14:textId="5AB288EF" w:rsidR="00F106E8" w:rsidRDefault="00947C01" w:rsidP="00F96074">
            <w:pPr>
              <w:rPr>
                <w:sz w:val="18"/>
                <w:szCs w:val="18"/>
              </w:rPr>
            </w:pPr>
            <w:r>
              <w:rPr>
                <w:sz w:val="18"/>
                <w:szCs w:val="18"/>
              </w:rPr>
              <w:t xml:space="preserve">Retrospective study </w:t>
            </w:r>
            <w:r w:rsidR="003E5B60">
              <w:rPr>
                <w:sz w:val="18"/>
                <w:szCs w:val="18"/>
              </w:rPr>
              <w:t xml:space="preserve">of veterans who received SUD detoxification treatment </w:t>
            </w:r>
            <w:r>
              <w:rPr>
                <w:sz w:val="18"/>
                <w:szCs w:val="18"/>
              </w:rPr>
              <w:t xml:space="preserve">utilizing data from </w:t>
            </w:r>
            <w:r w:rsidR="003E5B60">
              <w:rPr>
                <w:sz w:val="18"/>
                <w:szCs w:val="18"/>
              </w:rPr>
              <w:t>National Patient Care Database (NCPD)</w:t>
            </w:r>
          </w:p>
        </w:tc>
        <w:tc>
          <w:tcPr>
            <w:tcW w:w="1662" w:type="dxa"/>
          </w:tcPr>
          <w:p w14:paraId="63E0E49E" w14:textId="663A3FDF" w:rsidR="00F106E8" w:rsidRDefault="00E867B7" w:rsidP="00F96074">
            <w:pPr>
              <w:rPr>
                <w:sz w:val="18"/>
                <w:szCs w:val="18"/>
              </w:rPr>
            </w:pPr>
            <w:r>
              <w:rPr>
                <w:sz w:val="18"/>
                <w:szCs w:val="18"/>
              </w:rPr>
              <w:t>Within 7 days of end date of either patient’s detoxification procedure or the end date of a patient’s detoxification-related prescription</w:t>
            </w:r>
          </w:p>
        </w:tc>
        <w:tc>
          <w:tcPr>
            <w:tcW w:w="1846" w:type="dxa"/>
          </w:tcPr>
          <w:p w14:paraId="45AF6EB8" w14:textId="552AAE7F" w:rsidR="00F106E8" w:rsidRDefault="00E867B7" w:rsidP="00F96074">
            <w:pPr>
              <w:rPr>
                <w:sz w:val="18"/>
                <w:szCs w:val="18"/>
              </w:rPr>
            </w:pPr>
            <w:r>
              <w:rPr>
                <w:sz w:val="18"/>
                <w:szCs w:val="18"/>
              </w:rPr>
              <w:t>Two year mortality</w:t>
            </w:r>
          </w:p>
        </w:tc>
        <w:tc>
          <w:tcPr>
            <w:tcW w:w="2870" w:type="dxa"/>
          </w:tcPr>
          <w:p w14:paraId="76376334" w14:textId="77354936" w:rsidR="00F106E8" w:rsidRDefault="00EF7C36" w:rsidP="00EF7C36">
            <w:pPr>
              <w:rPr>
                <w:sz w:val="18"/>
                <w:szCs w:val="18"/>
              </w:rPr>
            </w:pPr>
            <w:r>
              <w:rPr>
                <w:sz w:val="18"/>
                <w:szCs w:val="18"/>
              </w:rPr>
              <w:t>39.58% of patients who received detoxification services met the 7-day outpatient follow-up after detoxification criteria. Of these patients, 6.73% died in the 2 years after detoxification, while 12.22% of patients who did not meet this criteria had died.</w:t>
            </w:r>
            <w:r>
              <w:t xml:space="preserve"> </w:t>
            </w:r>
            <w:r w:rsidRPr="00EF7C36">
              <w:rPr>
                <w:sz w:val="18"/>
                <w:szCs w:val="18"/>
              </w:rPr>
              <w:t>After adjustment,</w:t>
            </w:r>
            <w:r>
              <w:rPr>
                <w:sz w:val="18"/>
                <w:szCs w:val="18"/>
              </w:rPr>
              <w:t xml:space="preserve"> </w:t>
            </w:r>
            <w:r w:rsidRPr="00EF7C36">
              <w:rPr>
                <w:sz w:val="18"/>
                <w:szCs w:val="18"/>
              </w:rPr>
              <w:t>meeting the</w:t>
            </w:r>
            <w:r>
              <w:rPr>
                <w:sz w:val="18"/>
                <w:szCs w:val="18"/>
              </w:rPr>
              <w:t xml:space="preserve"> </w:t>
            </w:r>
            <w:r w:rsidRPr="00EF7C36">
              <w:rPr>
                <w:sz w:val="18"/>
                <w:szCs w:val="18"/>
              </w:rPr>
              <w:t>numerator criteria was associated with 53.32% lower odds of 2-</w:t>
            </w:r>
            <w:r>
              <w:rPr>
                <w:sz w:val="18"/>
                <w:szCs w:val="18"/>
              </w:rPr>
              <w:t xml:space="preserve"> </w:t>
            </w:r>
            <w:r w:rsidRPr="00EF7C36">
              <w:rPr>
                <w:sz w:val="18"/>
                <w:szCs w:val="18"/>
              </w:rPr>
              <w:t>year mortality (odds ratio [OR] 0.65</w:t>
            </w:r>
            <w:r>
              <w:rPr>
                <w:sz w:val="18"/>
                <w:szCs w:val="18"/>
              </w:rPr>
              <w:t xml:space="preserve">, </w:t>
            </w:r>
            <w:r w:rsidRPr="00EF7C36">
              <w:rPr>
                <w:sz w:val="18"/>
                <w:szCs w:val="18"/>
              </w:rPr>
              <w:t>[CI] 0.60–0.71, P&lt;0.001).</w:t>
            </w:r>
          </w:p>
        </w:tc>
      </w:tr>
      <w:tr w:rsidR="00EF7C36" w:rsidRPr="00145756" w14:paraId="5F3B239D" w14:textId="77777777" w:rsidTr="00142402">
        <w:trPr>
          <w:jc w:val="center"/>
        </w:trPr>
        <w:tc>
          <w:tcPr>
            <w:tcW w:w="998" w:type="dxa"/>
          </w:tcPr>
          <w:p w14:paraId="0C3850AC" w14:textId="0A04E90F" w:rsidR="00EF7C36" w:rsidRDefault="00EF7C36" w:rsidP="00F96074">
            <w:pPr>
              <w:rPr>
                <w:sz w:val="18"/>
                <w:szCs w:val="18"/>
              </w:rPr>
            </w:pPr>
            <w:r>
              <w:rPr>
                <w:sz w:val="18"/>
                <w:szCs w:val="18"/>
              </w:rPr>
              <w:t>Liu, et al., 2020</w:t>
            </w:r>
          </w:p>
        </w:tc>
        <w:tc>
          <w:tcPr>
            <w:tcW w:w="2425" w:type="dxa"/>
          </w:tcPr>
          <w:p w14:paraId="677B8DA1" w14:textId="6744E592" w:rsidR="00EF7C36" w:rsidRDefault="00EF7C36" w:rsidP="00F96074">
            <w:pPr>
              <w:rPr>
                <w:sz w:val="18"/>
                <w:szCs w:val="18"/>
              </w:rPr>
            </w:pPr>
            <w:r>
              <w:rPr>
                <w:sz w:val="18"/>
                <w:szCs w:val="18"/>
              </w:rPr>
              <w:t>Study of commercial and Medicaid health plans of over 163 million beneficiaries from 2010 to 2016</w:t>
            </w:r>
          </w:p>
        </w:tc>
        <w:tc>
          <w:tcPr>
            <w:tcW w:w="1662" w:type="dxa"/>
          </w:tcPr>
          <w:p w14:paraId="09F54DB5" w14:textId="78E6E188" w:rsidR="00EF7C36" w:rsidRDefault="00EF7C36" w:rsidP="00F96074">
            <w:pPr>
              <w:rPr>
                <w:sz w:val="18"/>
                <w:szCs w:val="18"/>
              </w:rPr>
            </w:pPr>
          </w:p>
        </w:tc>
        <w:tc>
          <w:tcPr>
            <w:tcW w:w="1846" w:type="dxa"/>
          </w:tcPr>
          <w:p w14:paraId="22B2C1AB" w14:textId="77777777" w:rsidR="00EF7C36" w:rsidRDefault="00EF7C36" w:rsidP="00F96074">
            <w:pPr>
              <w:rPr>
                <w:sz w:val="18"/>
                <w:szCs w:val="18"/>
              </w:rPr>
            </w:pPr>
          </w:p>
        </w:tc>
        <w:tc>
          <w:tcPr>
            <w:tcW w:w="2870" w:type="dxa"/>
          </w:tcPr>
          <w:p w14:paraId="48F39B5F" w14:textId="05C5C93E" w:rsidR="00EF7C36" w:rsidRPr="00EF7C36" w:rsidRDefault="00EF7C36" w:rsidP="00EF7C36">
            <w:pPr>
              <w:rPr>
                <w:sz w:val="18"/>
                <w:szCs w:val="18"/>
              </w:rPr>
            </w:pPr>
            <w:r w:rsidRPr="00EF7C36">
              <w:rPr>
                <w:sz w:val="18"/>
                <w:szCs w:val="18"/>
              </w:rPr>
              <w:t>80% of members who initiated substance</w:t>
            </w:r>
            <w:r>
              <w:rPr>
                <w:sz w:val="18"/>
                <w:szCs w:val="18"/>
              </w:rPr>
              <w:t xml:space="preserve"> </w:t>
            </w:r>
            <w:r w:rsidRPr="00EF7C36">
              <w:rPr>
                <w:sz w:val="18"/>
                <w:szCs w:val="18"/>
              </w:rPr>
              <w:t>use disorder treatment dropped out of treatment after</w:t>
            </w:r>
          </w:p>
          <w:p w14:paraId="3EBC7757" w14:textId="449C6221" w:rsidR="00EF7C36" w:rsidRDefault="00EF7C36" w:rsidP="00EF7C36">
            <w:pPr>
              <w:rPr>
                <w:sz w:val="18"/>
                <w:szCs w:val="18"/>
              </w:rPr>
            </w:pPr>
            <w:r w:rsidRPr="00EF7C36">
              <w:rPr>
                <w:sz w:val="18"/>
                <w:szCs w:val="18"/>
              </w:rPr>
              <w:t>the initial one or two visits.</w:t>
            </w:r>
          </w:p>
        </w:tc>
      </w:tr>
      <w:tr w:rsidR="00142402" w:rsidRPr="00145756" w14:paraId="2CBBB8A4" w14:textId="77777777" w:rsidTr="00142402">
        <w:trPr>
          <w:jc w:val="center"/>
        </w:trPr>
        <w:tc>
          <w:tcPr>
            <w:tcW w:w="998" w:type="dxa"/>
          </w:tcPr>
          <w:p w14:paraId="1499D8B9" w14:textId="7C19A81B" w:rsidR="00142402" w:rsidRDefault="00142402" w:rsidP="00142402">
            <w:pPr>
              <w:rPr>
                <w:sz w:val="18"/>
                <w:szCs w:val="18"/>
              </w:rPr>
            </w:pPr>
            <w:r>
              <w:rPr>
                <w:sz w:val="18"/>
                <w:szCs w:val="18"/>
              </w:rPr>
              <w:lastRenderedPageBreak/>
              <w:t>Englander, et al., 2019</w:t>
            </w:r>
          </w:p>
        </w:tc>
        <w:tc>
          <w:tcPr>
            <w:tcW w:w="2425" w:type="dxa"/>
          </w:tcPr>
          <w:p w14:paraId="34D726CA" w14:textId="6BC9019B" w:rsidR="00142402" w:rsidRPr="00EF7C36" w:rsidRDefault="00142402" w:rsidP="00142402">
            <w:pPr>
              <w:rPr>
                <w:sz w:val="18"/>
                <w:szCs w:val="18"/>
              </w:rPr>
            </w:pPr>
            <w:r w:rsidRPr="00EF7C36">
              <w:rPr>
                <w:sz w:val="18"/>
                <w:szCs w:val="18"/>
              </w:rPr>
              <w:t>Cohort study using</w:t>
            </w:r>
            <w:r>
              <w:rPr>
                <w:sz w:val="18"/>
                <w:szCs w:val="18"/>
              </w:rPr>
              <w:t xml:space="preserve"> </w:t>
            </w:r>
            <w:r w:rsidRPr="00EF7C36">
              <w:rPr>
                <w:sz w:val="18"/>
                <w:szCs w:val="18"/>
              </w:rPr>
              <w:t>multivariable analysis of</w:t>
            </w:r>
          </w:p>
          <w:p w14:paraId="6D1BE92D" w14:textId="38A23294" w:rsidR="00142402" w:rsidRDefault="00142402" w:rsidP="00142402">
            <w:pPr>
              <w:rPr>
                <w:sz w:val="18"/>
                <w:szCs w:val="18"/>
              </w:rPr>
            </w:pPr>
            <w:r w:rsidRPr="00EF7C36">
              <w:rPr>
                <w:sz w:val="18"/>
                <w:szCs w:val="18"/>
              </w:rPr>
              <w:t>Oregon Medicaid claims</w:t>
            </w:r>
            <w:r>
              <w:rPr>
                <w:sz w:val="18"/>
                <w:szCs w:val="18"/>
              </w:rPr>
              <w:t xml:space="preserve"> </w:t>
            </w:r>
            <w:r w:rsidRPr="00EF7C36">
              <w:rPr>
                <w:sz w:val="18"/>
                <w:szCs w:val="18"/>
              </w:rPr>
              <w:t>comparing</w:t>
            </w:r>
            <w:r>
              <w:rPr>
                <w:sz w:val="18"/>
                <w:szCs w:val="18"/>
              </w:rPr>
              <w:t xml:space="preserve"> Improving Addiction Care Team</w:t>
            </w:r>
            <w:r w:rsidRPr="00EF7C36">
              <w:rPr>
                <w:sz w:val="18"/>
                <w:szCs w:val="18"/>
              </w:rPr>
              <w:t xml:space="preserve"> </w:t>
            </w:r>
            <w:r>
              <w:rPr>
                <w:sz w:val="18"/>
                <w:szCs w:val="18"/>
              </w:rPr>
              <w:t>(</w:t>
            </w:r>
            <w:r w:rsidRPr="00EF7C36">
              <w:rPr>
                <w:sz w:val="18"/>
                <w:szCs w:val="18"/>
              </w:rPr>
              <w:t>IMPACT</w:t>
            </w:r>
            <w:r>
              <w:rPr>
                <w:sz w:val="18"/>
                <w:szCs w:val="18"/>
              </w:rPr>
              <w:t>)</w:t>
            </w:r>
            <w:r w:rsidRPr="00EF7C36">
              <w:rPr>
                <w:sz w:val="18"/>
                <w:szCs w:val="18"/>
              </w:rPr>
              <w:t xml:space="preserve"> patients with</w:t>
            </w:r>
            <w:r>
              <w:rPr>
                <w:sz w:val="18"/>
                <w:szCs w:val="18"/>
              </w:rPr>
              <w:t xml:space="preserve"> </w:t>
            </w:r>
            <w:r w:rsidRPr="00EF7C36">
              <w:rPr>
                <w:sz w:val="18"/>
                <w:szCs w:val="18"/>
              </w:rPr>
              <w:t>propensity-matched controls.</w:t>
            </w:r>
          </w:p>
        </w:tc>
        <w:tc>
          <w:tcPr>
            <w:tcW w:w="1662" w:type="dxa"/>
          </w:tcPr>
          <w:p w14:paraId="62CD577C" w14:textId="0046209A" w:rsidR="00142402" w:rsidRDefault="00142402" w:rsidP="00142402">
            <w:pPr>
              <w:rPr>
                <w:sz w:val="18"/>
                <w:szCs w:val="18"/>
              </w:rPr>
            </w:pPr>
            <w:r>
              <w:rPr>
                <w:sz w:val="18"/>
                <w:szCs w:val="18"/>
              </w:rPr>
              <w:t>Within 34 days of discharge</w:t>
            </w:r>
          </w:p>
        </w:tc>
        <w:tc>
          <w:tcPr>
            <w:tcW w:w="1846" w:type="dxa"/>
          </w:tcPr>
          <w:p w14:paraId="7AA21EDD" w14:textId="653B2E63" w:rsidR="00142402" w:rsidRDefault="00142402" w:rsidP="00142402">
            <w:pPr>
              <w:rPr>
                <w:sz w:val="18"/>
                <w:szCs w:val="18"/>
              </w:rPr>
            </w:pPr>
            <w:r>
              <w:rPr>
                <w:sz w:val="18"/>
                <w:szCs w:val="18"/>
              </w:rPr>
              <w:t>Engagement in at least two unique SUD outpatient treatment visits within 34 days of discharge</w:t>
            </w:r>
          </w:p>
        </w:tc>
        <w:tc>
          <w:tcPr>
            <w:tcW w:w="2870" w:type="dxa"/>
          </w:tcPr>
          <w:p w14:paraId="3886F6ED" w14:textId="1006E0C9" w:rsidR="00142402" w:rsidRPr="00EF7C36" w:rsidRDefault="00142402" w:rsidP="00142402">
            <w:pPr>
              <w:rPr>
                <w:sz w:val="18"/>
                <w:szCs w:val="18"/>
              </w:rPr>
            </w:pPr>
            <w:r w:rsidRPr="00142402">
              <w:rPr>
                <w:sz w:val="18"/>
                <w:szCs w:val="18"/>
              </w:rPr>
              <w:t>IMPACT patients</w:t>
            </w:r>
            <w:r>
              <w:rPr>
                <w:sz w:val="18"/>
                <w:szCs w:val="18"/>
              </w:rPr>
              <w:t xml:space="preserve"> </w:t>
            </w:r>
            <w:r w:rsidRPr="00142402">
              <w:rPr>
                <w:sz w:val="18"/>
                <w:szCs w:val="18"/>
              </w:rPr>
              <w:t>engaged in SUD treatment following discharge more frequently</w:t>
            </w:r>
            <w:r>
              <w:rPr>
                <w:sz w:val="18"/>
                <w:szCs w:val="18"/>
              </w:rPr>
              <w:t xml:space="preserve"> </w:t>
            </w:r>
            <w:r w:rsidRPr="00142402">
              <w:rPr>
                <w:sz w:val="18"/>
                <w:szCs w:val="18"/>
              </w:rPr>
              <w:t>than controls (38.9% vs. 23.3%, p &lt; 0.01; aOR</w:t>
            </w:r>
            <w:r>
              <w:rPr>
                <w:sz w:val="18"/>
                <w:szCs w:val="18"/>
              </w:rPr>
              <w:t xml:space="preserve"> </w:t>
            </w:r>
            <w:r w:rsidRPr="00142402">
              <w:rPr>
                <w:sz w:val="18"/>
                <w:szCs w:val="18"/>
              </w:rPr>
              <w:t>2.15, 95% confidence interval [CI] 1.29–3.58). IMPACT</w:t>
            </w:r>
            <w:r>
              <w:rPr>
                <w:sz w:val="18"/>
                <w:szCs w:val="18"/>
              </w:rPr>
              <w:t xml:space="preserve"> </w:t>
            </w:r>
            <w:r w:rsidRPr="00142402">
              <w:rPr>
                <w:sz w:val="18"/>
                <w:szCs w:val="18"/>
              </w:rPr>
              <w:t>participation remained associated with SUD treatment</w:t>
            </w:r>
            <w:r>
              <w:rPr>
                <w:sz w:val="18"/>
                <w:szCs w:val="18"/>
              </w:rPr>
              <w:t xml:space="preserve"> </w:t>
            </w:r>
            <w:r w:rsidRPr="00142402">
              <w:rPr>
                <w:sz w:val="18"/>
                <w:szCs w:val="18"/>
              </w:rPr>
              <w:t>engagement when limiting the sample to people who were</w:t>
            </w:r>
            <w:r>
              <w:rPr>
                <w:sz w:val="18"/>
                <w:szCs w:val="18"/>
              </w:rPr>
              <w:t xml:space="preserve"> </w:t>
            </w:r>
            <w:r w:rsidRPr="00142402">
              <w:rPr>
                <w:sz w:val="18"/>
                <w:szCs w:val="18"/>
              </w:rPr>
              <w:t>not engaged in treatment prior to hospitalization (aOR</w:t>
            </w:r>
            <w:r>
              <w:rPr>
                <w:sz w:val="18"/>
                <w:szCs w:val="18"/>
              </w:rPr>
              <w:t xml:space="preserve"> </w:t>
            </w:r>
            <w:r w:rsidRPr="00142402">
              <w:rPr>
                <w:sz w:val="18"/>
                <w:szCs w:val="18"/>
              </w:rPr>
              <w:t>2.63; 95% CI 1.46–4.72).</w:t>
            </w:r>
          </w:p>
        </w:tc>
      </w:tr>
      <w:tr w:rsidR="00025E61" w:rsidRPr="00145756" w14:paraId="6929BA82" w14:textId="77777777" w:rsidTr="00142402">
        <w:trPr>
          <w:jc w:val="center"/>
        </w:trPr>
        <w:tc>
          <w:tcPr>
            <w:tcW w:w="998" w:type="dxa"/>
          </w:tcPr>
          <w:p w14:paraId="6C10945C" w14:textId="515C9B2C" w:rsidR="00025E61" w:rsidRDefault="00025E61" w:rsidP="00142402">
            <w:pPr>
              <w:rPr>
                <w:sz w:val="18"/>
                <w:szCs w:val="18"/>
              </w:rPr>
            </w:pPr>
            <w:r>
              <w:rPr>
                <w:sz w:val="18"/>
                <w:szCs w:val="18"/>
              </w:rPr>
              <w:t>Rubinsky, et al., 2017</w:t>
            </w:r>
          </w:p>
        </w:tc>
        <w:tc>
          <w:tcPr>
            <w:tcW w:w="2425" w:type="dxa"/>
          </w:tcPr>
          <w:p w14:paraId="5318895A" w14:textId="73861647" w:rsidR="00025E61" w:rsidRPr="00EF7C36" w:rsidRDefault="00025E61" w:rsidP="00142402">
            <w:pPr>
              <w:rPr>
                <w:sz w:val="18"/>
                <w:szCs w:val="18"/>
              </w:rPr>
            </w:pPr>
            <w:r>
              <w:rPr>
                <w:sz w:val="18"/>
                <w:szCs w:val="18"/>
              </w:rPr>
              <w:t xml:space="preserve">Study of patients </w:t>
            </w:r>
            <w:r w:rsidR="00486004">
              <w:rPr>
                <w:sz w:val="18"/>
                <w:szCs w:val="18"/>
              </w:rPr>
              <w:t>receiving treatment in Veterans Health Administration (VHA) SUD Residential Rehabilitation Treatment Programs (SUD RRTPs) and Mental Health Residential Rehabilitation Treatment Programs (MH RRTPs) in fiscal year 2012.</w:t>
            </w:r>
          </w:p>
        </w:tc>
        <w:tc>
          <w:tcPr>
            <w:tcW w:w="1662" w:type="dxa"/>
          </w:tcPr>
          <w:p w14:paraId="6F5A2C51" w14:textId="2AC9AEE0" w:rsidR="00025E61" w:rsidRDefault="00486004" w:rsidP="00142402">
            <w:pPr>
              <w:rPr>
                <w:sz w:val="18"/>
                <w:szCs w:val="18"/>
              </w:rPr>
            </w:pPr>
            <w:r>
              <w:rPr>
                <w:sz w:val="18"/>
                <w:szCs w:val="18"/>
              </w:rPr>
              <w:t xml:space="preserve">Within 7 and 30 days of completion of </w:t>
            </w:r>
            <w:r w:rsidR="003F630F">
              <w:rPr>
                <w:sz w:val="18"/>
                <w:szCs w:val="18"/>
              </w:rPr>
              <w:t>treatment</w:t>
            </w:r>
          </w:p>
        </w:tc>
        <w:tc>
          <w:tcPr>
            <w:tcW w:w="1846" w:type="dxa"/>
          </w:tcPr>
          <w:p w14:paraId="71630B78" w14:textId="344B3C1F" w:rsidR="00025E61" w:rsidRDefault="003F630F" w:rsidP="00142402">
            <w:pPr>
              <w:rPr>
                <w:sz w:val="18"/>
                <w:szCs w:val="18"/>
              </w:rPr>
            </w:pPr>
            <w:r>
              <w:rPr>
                <w:sz w:val="18"/>
                <w:szCs w:val="18"/>
              </w:rPr>
              <w:t>Engagement with continuing care within 7 days and 30 days of end of treatment.</w:t>
            </w:r>
          </w:p>
        </w:tc>
        <w:tc>
          <w:tcPr>
            <w:tcW w:w="2870" w:type="dxa"/>
          </w:tcPr>
          <w:p w14:paraId="7FBBF818" w14:textId="18F066D7" w:rsidR="00025E61" w:rsidRPr="00142402" w:rsidRDefault="00025E61" w:rsidP="00142402">
            <w:pPr>
              <w:rPr>
                <w:sz w:val="18"/>
                <w:szCs w:val="18"/>
              </w:rPr>
            </w:pPr>
            <w:r w:rsidRPr="00025E61">
              <w:rPr>
                <w:sz w:val="18"/>
                <w:szCs w:val="18"/>
              </w:rPr>
              <w:t>Among SUD RRTPs, the mean rate of outpatient SUD/MH continuing care was 59% within 7 days and 80% within 30 days, and the mean rate of SUD continuing care was 63% within 30 days. Among MH RRTPs with a SUD track, these rates were 56%, 75%, and 36%, respectively. There was substantial variability in continuing care rates across the 97 programs: 21%–93% for SUD/MH care within 7 days, 36%–100% for SUD/MH care within 30 days, and 4%–91% for SUD care within 30 days.</w:t>
            </w:r>
          </w:p>
        </w:tc>
      </w:tr>
    </w:tbl>
    <w:p w14:paraId="50253D84" w14:textId="77777777" w:rsidR="003B2349" w:rsidRDefault="003B2349" w:rsidP="00E7311A">
      <w:pPr>
        <w:rPr>
          <w:b/>
          <w:color w:val="0000FF"/>
        </w:rPr>
      </w:pPr>
      <w:bookmarkStart w:id="3" w:name="_Hlk49524806"/>
    </w:p>
    <w:p w14:paraId="4D9F8EE4" w14:textId="2807D93A" w:rsidR="00E7311A" w:rsidRPr="00C41533" w:rsidRDefault="00E7311A" w:rsidP="00E7311A">
      <w:pPr>
        <w:rPr>
          <w:b/>
          <w:color w:val="0000FF"/>
        </w:rPr>
      </w:pPr>
      <w:r w:rsidRPr="00C41533">
        <w:rPr>
          <w:b/>
          <w:color w:val="0000FF"/>
        </w:rPr>
        <w:t>Performance Gap</w:t>
      </w:r>
    </w:p>
    <w:p w14:paraId="7D3998A4" w14:textId="0FCFFA32" w:rsidR="00E7311A" w:rsidRPr="00C41533" w:rsidRDefault="00E5739E" w:rsidP="00E7311A">
      <w:pPr>
        <w:rPr>
          <w:color w:val="0000FF"/>
        </w:rPr>
      </w:pPr>
      <w:r>
        <w:rPr>
          <w:color w:val="0000FF"/>
        </w:rPr>
        <w:t>Studies have documented low rates of</w:t>
      </w:r>
      <w:r w:rsidR="003B2349">
        <w:rPr>
          <w:color w:val="0000FF"/>
        </w:rPr>
        <w:t xml:space="preserve"> post discharge follow up </w:t>
      </w:r>
      <w:r>
        <w:rPr>
          <w:color w:val="0000FF"/>
        </w:rPr>
        <w:t>after</w:t>
      </w:r>
      <w:r w:rsidR="00B43154">
        <w:rPr>
          <w:color w:val="0000FF"/>
        </w:rPr>
        <w:t xml:space="preserve"> </w:t>
      </w:r>
      <w:r w:rsidR="003B2349">
        <w:rPr>
          <w:color w:val="0000FF"/>
        </w:rPr>
        <w:t>inpatient</w:t>
      </w:r>
      <w:r>
        <w:rPr>
          <w:color w:val="0000FF"/>
        </w:rPr>
        <w:t xml:space="preserve"> or residential </w:t>
      </w:r>
      <w:r w:rsidR="00167D6E">
        <w:rPr>
          <w:color w:val="0000FF"/>
        </w:rPr>
        <w:t xml:space="preserve">SUD </w:t>
      </w:r>
      <w:r w:rsidR="00B43154">
        <w:rPr>
          <w:color w:val="0000FF"/>
        </w:rPr>
        <w:t>treatment</w:t>
      </w:r>
      <w:r>
        <w:rPr>
          <w:color w:val="0000FF"/>
        </w:rPr>
        <w:t>:</w:t>
      </w:r>
    </w:p>
    <w:p w14:paraId="25A1C749" w14:textId="1DECAAE2" w:rsidR="00E7311A" w:rsidRDefault="00B43154" w:rsidP="003174B0">
      <w:pPr>
        <w:numPr>
          <w:ilvl w:val="0"/>
          <w:numId w:val="15"/>
        </w:numPr>
        <w:spacing w:after="0" w:line="240" w:lineRule="auto"/>
        <w:ind w:left="360"/>
        <w:rPr>
          <w:color w:val="0000FF"/>
        </w:rPr>
      </w:pPr>
      <w:r>
        <w:rPr>
          <w:color w:val="0000FF"/>
        </w:rPr>
        <w:t>A</w:t>
      </w:r>
      <w:r w:rsidRPr="00C41533">
        <w:rPr>
          <w:color w:val="0000FF"/>
        </w:rPr>
        <w:t xml:space="preserve"> </w:t>
      </w:r>
      <w:r w:rsidR="00E7311A" w:rsidRPr="00C41533">
        <w:rPr>
          <w:color w:val="0000FF"/>
        </w:rPr>
        <w:t>claims</w:t>
      </w:r>
      <w:r>
        <w:rPr>
          <w:color w:val="0000FF"/>
        </w:rPr>
        <w:t xml:space="preserve">-based study of </w:t>
      </w:r>
      <w:r w:rsidR="00E7311A" w:rsidRPr="00C41533">
        <w:rPr>
          <w:color w:val="0000FF"/>
        </w:rPr>
        <w:t>Medicaid enrollees ages 18 to 64 who had an inpatient hospital or residential detox admission for SUD</w:t>
      </w:r>
      <w:r>
        <w:rPr>
          <w:color w:val="0000FF"/>
        </w:rPr>
        <w:t xml:space="preserve"> </w:t>
      </w:r>
      <w:r w:rsidR="00E7311A" w:rsidRPr="00C41533">
        <w:rPr>
          <w:color w:val="0000FF"/>
        </w:rPr>
        <w:t xml:space="preserve">found that </w:t>
      </w:r>
      <w:r w:rsidR="00E65832">
        <w:rPr>
          <w:color w:val="0000FF"/>
        </w:rPr>
        <w:t xml:space="preserve">33 </w:t>
      </w:r>
      <w:r w:rsidR="00E7311A" w:rsidRPr="00C41533">
        <w:rPr>
          <w:color w:val="0000FF"/>
        </w:rPr>
        <w:t xml:space="preserve">percent of </w:t>
      </w:r>
      <w:r>
        <w:rPr>
          <w:color w:val="0000FF"/>
        </w:rPr>
        <w:t>participants</w:t>
      </w:r>
      <w:r w:rsidR="00E7311A" w:rsidRPr="00C41533">
        <w:rPr>
          <w:color w:val="0000FF"/>
        </w:rPr>
        <w:t xml:space="preserve"> received outpatient or pharmacotherapy</w:t>
      </w:r>
      <w:r w:rsidR="00D2245C">
        <w:rPr>
          <w:color w:val="0000FF"/>
        </w:rPr>
        <w:t xml:space="preserve"> treatment</w:t>
      </w:r>
      <w:r w:rsidR="00E7311A" w:rsidRPr="00C41533">
        <w:rPr>
          <w:color w:val="0000FF"/>
        </w:rPr>
        <w:t xml:space="preserve"> within 14 days of discharge</w:t>
      </w:r>
      <w:r w:rsidR="004853E9">
        <w:rPr>
          <w:color w:val="0000FF"/>
        </w:rPr>
        <w:t xml:space="preserve"> (Reif et al., 2017)</w:t>
      </w:r>
      <w:r w:rsidR="00E7311A" w:rsidRPr="00C41533">
        <w:rPr>
          <w:color w:val="0000FF"/>
        </w:rPr>
        <w:t xml:space="preserve">. </w:t>
      </w:r>
    </w:p>
    <w:p w14:paraId="6FB31DB7" w14:textId="06D19ED2" w:rsidR="00E5300A" w:rsidRPr="00C41533" w:rsidRDefault="00E5300A" w:rsidP="003174B0">
      <w:pPr>
        <w:numPr>
          <w:ilvl w:val="0"/>
          <w:numId w:val="15"/>
        </w:numPr>
        <w:spacing w:after="0" w:line="240" w:lineRule="auto"/>
        <w:ind w:left="360"/>
        <w:rPr>
          <w:color w:val="0000FF"/>
        </w:rPr>
      </w:pPr>
      <w:r>
        <w:rPr>
          <w:color w:val="0000FF"/>
        </w:rPr>
        <w:t>I</w:t>
      </w:r>
      <w:r w:rsidRPr="00E5300A">
        <w:rPr>
          <w:color w:val="0000FF"/>
        </w:rPr>
        <w:t>n a study with veterans, 32</w:t>
      </w:r>
      <w:r w:rsidR="00E6785D">
        <w:rPr>
          <w:color w:val="0000FF"/>
        </w:rPr>
        <w:t xml:space="preserve"> percent</w:t>
      </w:r>
      <w:r w:rsidRPr="00E5300A">
        <w:rPr>
          <w:color w:val="0000FF"/>
        </w:rPr>
        <w:t xml:space="preserve"> of patients had two or more continuing care visits during the month after discharge (Schaefer et al., 2005).</w:t>
      </w:r>
    </w:p>
    <w:p w14:paraId="7F2F5A4A" w14:textId="5C1AF2C1" w:rsidR="003174B0" w:rsidRDefault="003174B0" w:rsidP="003174B0">
      <w:pPr>
        <w:numPr>
          <w:ilvl w:val="0"/>
          <w:numId w:val="15"/>
        </w:numPr>
        <w:spacing w:after="0" w:line="240" w:lineRule="auto"/>
        <w:ind w:left="360"/>
        <w:rPr>
          <w:color w:val="0000FF"/>
        </w:rPr>
      </w:pPr>
      <w:r>
        <w:rPr>
          <w:color w:val="0000FF"/>
        </w:rPr>
        <w:t>A</w:t>
      </w:r>
      <w:r w:rsidR="00E7311A" w:rsidRPr="00C41533">
        <w:rPr>
          <w:color w:val="0000FF"/>
        </w:rPr>
        <w:t xml:space="preserve"> study of VHA residential treatment programs </w:t>
      </w:r>
      <w:r w:rsidR="0024629D">
        <w:rPr>
          <w:color w:val="0000FF"/>
        </w:rPr>
        <w:t>found that 41 percen</w:t>
      </w:r>
      <w:r w:rsidR="00E5300A">
        <w:rPr>
          <w:color w:val="0000FF"/>
        </w:rPr>
        <w:t>t</w:t>
      </w:r>
      <w:r w:rsidR="00E7311A" w:rsidRPr="00C41533">
        <w:rPr>
          <w:color w:val="0000FF"/>
        </w:rPr>
        <w:t xml:space="preserve"> of patients </w:t>
      </w:r>
      <w:r w:rsidR="00B302EA">
        <w:rPr>
          <w:color w:val="0000FF"/>
        </w:rPr>
        <w:t>participated in</w:t>
      </w:r>
      <w:r w:rsidR="00E7311A" w:rsidRPr="00C41533">
        <w:rPr>
          <w:color w:val="0000FF"/>
        </w:rPr>
        <w:t xml:space="preserve"> two or more outpatient SUD treatment visits during the first month after discharge </w:t>
      </w:r>
      <w:r w:rsidR="00E7311A" w:rsidRPr="00C41533">
        <w:rPr>
          <w:color w:val="0000FF"/>
        </w:rPr>
        <w:fldChar w:fldCharType="begin">
          <w:fldData xml:space="preserve">PEVuZE5vdGU+PENpdGU+PEF1dGhvcj5IYXJyaXM8L0F1dGhvcj48WWVhcj4yMDA2PC9ZZWFyPjxS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</w:fldData>
        </w:fldChar>
      </w:r>
      <w:r w:rsidR="00E7311A" w:rsidRPr="00C41533">
        <w:rPr>
          <w:color w:val="0000FF"/>
        </w:rPr>
        <w:instrText xml:space="preserve"> ADDIN EN.CITE </w:instrText>
      </w:r>
      <w:r w:rsidR="00E7311A" w:rsidRPr="00C41533">
        <w:rPr>
          <w:color w:val="0000FF"/>
        </w:rPr>
        <w:fldChar w:fldCharType="begin">
          <w:fldData xml:space="preserve">PEVuZE5vdGU+PENpdGU+PEF1dGhvcj5IYXJyaXM8L0F1dGhvcj48WWVhcj4yMDA2PC9ZZWFyPjxS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</w:fldData>
        </w:fldChar>
      </w:r>
      <w:r w:rsidR="00E7311A" w:rsidRPr="00C41533">
        <w:rPr>
          <w:color w:val="0000FF"/>
        </w:rPr>
        <w:instrText xml:space="preserve"> ADDIN EN.CITE.DATA </w:instrText>
      </w:r>
      <w:r w:rsidR="00E7311A" w:rsidRPr="00C41533">
        <w:rPr>
          <w:color w:val="0000FF"/>
        </w:rPr>
      </w:r>
      <w:r w:rsidR="00E7311A" w:rsidRPr="00C41533">
        <w:rPr>
          <w:color w:val="0000FF"/>
        </w:rPr>
        <w:fldChar w:fldCharType="end"/>
      </w:r>
      <w:r w:rsidR="00E7311A" w:rsidRPr="00C41533">
        <w:rPr>
          <w:color w:val="0000FF"/>
        </w:rPr>
      </w:r>
      <w:r w:rsidR="00E7311A" w:rsidRPr="00C41533">
        <w:rPr>
          <w:color w:val="0000FF"/>
        </w:rPr>
        <w:fldChar w:fldCharType="separate"/>
      </w:r>
      <w:r w:rsidR="00E7311A" w:rsidRPr="00C41533">
        <w:rPr>
          <w:noProof/>
          <w:color w:val="0000FF"/>
        </w:rPr>
        <w:t>(Harris et al., 2006)</w:t>
      </w:r>
      <w:r w:rsidR="00E7311A" w:rsidRPr="00C41533">
        <w:rPr>
          <w:color w:val="0000FF"/>
        </w:rPr>
        <w:fldChar w:fldCharType="end"/>
      </w:r>
      <w:r w:rsidR="00E7311A" w:rsidRPr="00C41533">
        <w:rPr>
          <w:color w:val="0000FF"/>
        </w:rPr>
        <w:t>.</w:t>
      </w:r>
    </w:p>
    <w:p w14:paraId="30BB607B" w14:textId="5169EE82" w:rsidR="003174B0" w:rsidRPr="00C41533" w:rsidRDefault="003174B0" w:rsidP="003174B0">
      <w:pPr>
        <w:numPr>
          <w:ilvl w:val="0"/>
          <w:numId w:val="15"/>
        </w:numPr>
        <w:spacing w:after="0" w:line="240" w:lineRule="auto"/>
        <w:ind w:left="360"/>
        <w:rPr>
          <w:color w:val="0000FF"/>
        </w:rPr>
      </w:pPr>
      <w:r>
        <w:rPr>
          <w:color w:val="0000FF"/>
        </w:rPr>
        <w:t>Another</w:t>
      </w:r>
      <w:r w:rsidRPr="00C41533">
        <w:rPr>
          <w:color w:val="0000FF"/>
        </w:rPr>
        <w:t xml:space="preserve"> study </w:t>
      </w:r>
      <w:r>
        <w:rPr>
          <w:color w:val="0000FF"/>
        </w:rPr>
        <w:t>found</w:t>
      </w:r>
      <w:r w:rsidRPr="00C41533">
        <w:rPr>
          <w:color w:val="0000FF"/>
        </w:rPr>
        <w:t xml:space="preserve"> that among 63</w:t>
      </w:r>
      <w:r>
        <w:rPr>
          <w:color w:val="0000FF"/>
        </w:rPr>
        <w:t xml:space="preserve"> </w:t>
      </w:r>
      <w:r w:rsidRPr="00C41533">
        <w:rPr>
          <w:color w:val="0000FF"/>
        </w:rPr>
        <w:t>Veterans Health Administration (VHA)</w:t>
      </w:r>
      <w:r>
        <w:rPr>
          <w:color w:val="0000FF"/>
        </w:rPr>
        <w:t>-funded</w:t>
      </w:r>
      <w:r w:rsidRPr="00C41533">
        <w:rPr>
          <w:color w:val="0000FF"/>
        </w:rPr>
        <w:t xml:space="preserve"> residential</w:t>
      </w:r>
      <w:r>
        <w:rPr>
          <w:color w:val="0000FF"/>
        </w:rPr>
        <w:t xml:space="preserve"> SUD</w:t>
      </w:r>
      <w:r w:rsidRPr="00C41533">
        <w:rPr>
          <w:color w:val="0000FF"/>
        </w:rPr>
        <w:t xml:space="preserve"> treatment programs, </w:t>
      </w:r>
      <w:r>
        <w:rPr>
          <w:color w:val="0000FF"/>
        </w:rPr>
        <w:t xml:space="preserve">63 percent of patients engaged in at least one outpatient SUD or mental health visit within 30 days of </w:t>
      </w:r>
      <w:r w:rsidRPr="00C41533">
        <w:rPr>
          <w:color w:val="0000FF"/>
        </w:rPr>
        <w:t xml:space="preserve">discharge </w:t>
      </w:r>
      <w:r w:rsidRPr="00C41533">
        <w:rPr>
          <w:color w:val="0000FF"/>
        </w:rPr>
        <w:fldChar w:fldCharType="begin"/>
      </w:r>
      <w:r w:rsidRPr="00C41533">
        <w:rPr>
          <w:color w:val="0000FF"/>
        </w:rPr>
        <w:instrText xml:space="preserve"> ADDIN EN.CITE &lt;EndNote&gt;&lt;Cite&gt;&lt;Author&gt;Rubinsky&lt;/Author&gt;&lt;Year&gt;2017&lt;/Year&gt;&lt;RecNum&gt;431&lt;/RecNum&gt;&lt;DisplayText&gt;(Rubinsky et al., 2017)&lt;/DisplayText&gt;&lt;record&gt;&lt;rec-number&gt;431&lt;/rec-number&gt;&lt;foreign-keys&gt;&lt;key app="EN" db-id="5wxraezd9pev2pe5ervx2rfh5dv0ss52tf2z" timestamp="1509653252"&gt;431&lt;/key&gt;&lt;/foreign-keys&gt;&lt;ref-type name="Journal Article"&gt;17&lt;/ref-type&gt;&lt;contributors&gt;&lt;authors&gt;&lt;author&gt;Rubinsky, A. D.&lt;/author&gt;&lt;author&gt;Ellerbe, L. S.&lt;/author&gt;&lt;author&gt;Gupta, S.&lt;/author&gt;&lt;author&gt;Phelps, T. E.&lt;/author&gt;&lt;author&gt;Bowe, T.&lt;/author&gt;&lt;author&gt;Burden, J. L.&lt;/author&gt;&lt;author&gt;Harris, A. H. S.&lt;/author&gt;&lt;/authors&gt;&lt;/contributors&gt;&lt;auth-address&gt;a Kidney Health Research Collaborative , University of California, San Francisco and Department of Veterans Affairs San Francisco Health Care System , San Francisco , California.&amp;#xD;b Center for Innovation to Implementation, Department of Veterans Affairs Palo Alto Health Care System , Menlo Park , California.&amp;#xD;c Department of Veterans Affairs, Veterans Health Administration , Washington , DC .&lt;/auth-address&gt;&lt;titles&gt;&lt;title&gt;Outpatient Continuing Care after Residential Substance Use Disorder Treatment in the U.S. Veterans Health Administration: Facilitators and Challenges&lt;/title&gt;&lt;secondary-title&gt;Subst Abus&lt;/secondary-title&gt;&lt;/titles&gt;&lt;periodical&gt;&lt;full-title&gt;Subst Abus&lt;/full-title&gt;&lt;/periodical&gt;&lt;pages&gt;0&lt;/pages&gt;&lt;keywords&gt;&lt;keyword&gt;Quality Improvement&lt;/keyword&gt;&lt;keyword&gt;Quality Measurement&lt;/keyword&gt;&lt;keyword&gt;Residential Treatment&lt;/keyword&gt;&lt;keyword&gt;Standards of Care&lt;/keyword&gt;&lt;keyword&gt;Substance Use Disorders&lt;/keyword&gt;&lt;/keywords&gt;&lt;dates&gt;&lt;year&gt;2017&lt;/year&gt;&lt;pub-dates&gt;&lt;date&gt;Oct 18&lt;/date&gt;&lt;/pub-dates&gt;&lt;/dates&gt;&lt;isbn&gt;1547-0164 (Electronic)&amp;#xD;0889-7077 (Linking)&lt;/isbn&gt;&lt;accession-num&gt;29043947&lt;/accession-num&gt;&lt;urls&gt;&lt;related-urls&gt;&lt;url&gt;https://www.ncbi.nlm.nih.gov/pubmed/29043947&lt;/url&gt;&lt;/related-urls&gt;&lt;/urls&gt;&lt;electronic-resource-num&gt;10.1080/08897077.2017.1391923&lt;/electronic-resource-num&gt;&lt;/record&gt;&lt;/Cite&gt;&lt;/EndNote&gt;</w:instrText>
      </w:r>
      <w:r w:rsidRPr="00C41533">
        <w:rPr>
          <w:color w:val="0000FF"/>
        </w:rPr>
        <w:fldChar w:fldCharType="separate"/>
      </w:r>
      <w:r w:rsidRPr="00C41533">
        <w:rPr>
          <w:noProof/>
          <w:color w:val="0000FF"/>
        </w:rPr>
        <w:t>(Rubinsky et al., 2017)</w:t>
      </w:r>
      <w:r w:rsidRPr="00C41533">
        <w:rPr>
          <w:color w:val="0000FF"/>
        </w:rPr>
        <w:fldChar w:fldCharType="end"/>
      </w:r>
      <w:r w:rsidRPr="00C41533">
        <w:rPr>
          <w:color w:val="0000FF"/>
        </w:rPr>
        <w:t xml:space="preserve">. </w:t>
      </w:r>
    </w:p>
    <w:p w14:paraId="47292242" w14:textId="4B35DD49" w:rsidR="003174B0" w:rsidRDefault="003174B0" w:rsidP="003174B0">
      <w:pPr>
        <w:numPr>
          <w:ilvl w:val="0"/>
          <w:numId w:val="15"/>
        </w:numPr>
        <w:spacing w:after="0" w:line="240" w:lineRule="auto"/>
        <w:ind w:left="0" w:firstLine="0"/>
        <w:rPr>
          <w:color w:val="0000FF"/>
        </w:rPr>
      </w:pPr>
      <w:r w:rsidRPr="003174B0">
        <w:rPr>
          <w:color w:val="0000FF"/>
        </w:rPr>
        <w:t>In a study of five states’ public-sector SUD treatment systems, rates of continuity of care within 14 days of residential discharge ranged from 15 to 60 percent, and continuity rates after an inpatient hospital stay were from 27 to 47 percent (Garnick et al., 2009).</w:t>
      </w:r>
    </w:p>
    <w:p w14:paraId="6C771228" w14:textId="46461B0F" w:rsidR="00E5300A" w:rsidRDefault="00E5300A" w:rsidP="003174B0">
      <w:pPr>
        <w:numPr>
          <w:ilvl w:val="0"/>
          <w:numId w:val="15"/>
        </w:numPr>
        <w:spacing w:after="0" w:line="240" w:lineRule="auto"/>
        <w:ind w:left="0" w:firstLine="0"/>
        <w:rPr>
          <w:color w:val="0000FF"/>
        </w:rPr>
      </w:pPr>
      <w:r>
        <w:rPr>
          <w:color w:val="0000FF"/>
        </w:rPr>
        <w:t>In a study using private insurance claims data, Smith and Mark (2014), found that 66</w:t>
      </w:r>
      <w:r w:rsidR="00E6785D">
        <w:rPr>
          <w:color w:val="0000FF"/>
        </w:rPr>
        <w:t xml:space="preserve"> percent</w:t>
      </w:r>
      <w:r>
        <w:rPr>
          <w:color w:val="0000FF"/>
        </w:rPr>
        <w:t xml:space="preserve"> of patients discharged from inpatient SUD treatment received follow-up SUD outpatient treatment within 30 days of discharge.</w:t>
      </w:r>
    </w:p>
    <w:p w14:paraId="0A88F362" w14:textId="4792D586" w:rsidR="00E6785D" w:rsidRPr="003174B0" w:rsidRDefault="00E6785D" w:rsidP="003174B0">
      <w:pPr>
        <w:numPr>
          <w:ilvl w:val="0"/>
          <w:numId w:val="15"/>
        </w:numPr>
        <w:spacing w:after="0" w:line="240" w:lineRule="auto"/>
        <w:ind w:left="0" w:firstLine="0"/>
        <w:rPr>
          <w:color w:val="0000FF"/>
        </w:rPr>
      </w:pPr>
      <w:r>
        <w:rPr>
          <w:color w:val="0000FF"/>
        </w:rPr>
        <w:lastRenderedPageBreak/>
        <w:t>A study using Medicaid claims and public behavioral health agency data found that 27 percent of individuals who were treated for withdrawal management in an inpatient setting received follow-up outpatient treatment within 30 days of discharge (Mark et al., 2006).</w:t>
      </w:r>
    </w:p>
    <w:p w14:paraId="26B7D094" w14:textId="77777777" w:rsidR="003174B0" w:rsidRPr="00C41533" w:rsidRDefault="003174B0" w:rsidP="003174B0">
      <w:pPr>
        <w:spacing w:after="0" w:line="240" w:lineRule="auto"/>
        <w:rPr>
          <w:color w:val="0000FF"/>
        </w:rPr>
      </w:pPr>
    </w:p>
    <w:p w14:paraId="0502FB1F" w14:textId="77777777" w:rsidR="00E7311A" w:rsidRPr="00C41533" w:rsidRDefault="00E7311A" w:rsidP="00E7311A">
      <w:pPr>
        <w:pStyle w:val="H3Alpha"/>
        <w:spacing w:after="0"/>
        <w:rPr>
          <w:rFonts w:asciiTheme="minorHAnsi" w:hAnsiTheme="minorHAnsi"/>
          <w:color w:val="0000FF"/>
          <w:sz w:val="22"/>
          <w:szCs w:val="22"/>
        </w:rPr>
      </w:pPr>
      <w:r w:rsidRPr="00C41533">
        <w:rPr>
          <w:rFonts w:asciiTheme="minorHAnsi" w:hAnsiTheme="minorHAnsi"/>
          <w:color w:val="0000FF"/>
          <w:sz w:val="22"/>
          <w:szCs w:val="22"/>
        </w:rPr>
        <w:t>Potential Uninten</w:t>
      </w:r>
      <w:r>
        <w:rPr>
          <w:rFonts w:asciiTheme="minorHAnsi" w:hAnsiTheme="minorHAnsi"/>
          <w:color w:val="0000FF"/>
          <w:sz w:val="22"/>
          <w:szCs w:val="22"/>
        </w:rPr>
        <w:t>ded Consequences of the Measure</w:t>
      </w:r>
    </w:p>
    <w:p w14:paraId="6AECF22D" w14:textId="2CB087E5" w:rsidR="00E7311A" w:rsidRPr="00C41533" w:rsidRDefault="00E7311A" w:rsidP="00BE63D0">
      <w:pPr>
        <w:pStyle w:val="NormalSS"/>
        <w:spacing w:after="0"/>
        <w:ind w:left="0"/>
        <w:rPr>
          <w:rFonts w:asciiTheme="minorHAnsi" w:hAnsiTheme="minorHAnsi"/>
          <w:color w:val="0000FF"/>
          <w:sz w:val="22"/>
          <w:szCs w:val="22"/>
        </w:rPr>
      </w:pPr>
      <w:r w:rsidRPr="00C41533">
        <w:rPr>
          <w:rFonts w:asciiTheme="minorHAnsi" w:hAnsiTheme="minorHAnsi"/>
          <w:color w:val="0000FF"/>
          <w:sz w:val="22"/>
          <w:szCs w:val="22"/>
        </w:rPr>
        <w:t>The implementation of the</w:t>
      </w:r>
      <w:r w:rsidR="00CF40F8">
        <w:rPr>
          <w:rFonts w:asciiTheme="minorHAnsi" w:hAnsiTheme="minorHAnsi"/>
          <w:color w:val="0000FF"/>
          <w:sz w:val="22"/>
          <w:szCs w:val="22"/>
        </w:rPr>
        <w:t xml:space="preserve"> </w:t>
      </w:r>
      <w:bookmarkStart w:id="4" w:name="_Hlk47295782"/>
      <w:r w:rsidR="00CF40F8" w:rsidRPr="00CF40F8">
        <w:rPr>
          <w:rFonts w:asciiTheme="minorHAnsi" w:hAnsiTheme="minorHAnsi"/>
          <w:i/>
          <w:iCs/>
          <w:color w:val="0000FF"/>
          <w:sz w:val="22"/>
          <w:szCs w:val="22"/>
        </w:rPr>
        <w:t>Continuity of Care After Receiving Hospital or Residential SUD Treatment</w:t>
      </w:r>
      <w:r w:rsidRPr="00C41533">
        <w:rPr>
          <w:rFonts w:asciiTheme="minorHAnsi" w:hAnsiTheme="minorHAnsi"/>
          <w:color w:val="0000FF"/>
          <w:sz w:val="22"/>
          <w:szCs w:val="22"/>
        </w:rPr>
        <w:t xml:space="preserve"> </w:t>
      </w:r>
      <w:bookmarkEnd w:id="4"/>
      <w:r w:rsidRPr="00C41533">
        <w:rPr>
          <w:rFonts w:asciiTheme="minorHAnsi" w:hAnsiTheme="minorHAnsi"/>
          <w:color w:val="0000FF"/>
          <w:sz w:val="22"/>
          <w:szCs w:val="22"/>
        </w:rPr>
        <w:t xml:space="preserve">measure may </w:t>
      </w:r>
      <w:r w:rsidR="00BE63D0">
        <w:rPr>
          <w:rFonts w:asciiTheme="minorHAnsi" w:hAnsiTheme="minorHAnsi"/>
          <w:color w:val="0000FF"/>
          <w:sz w:val="22"/>
          <w:szCs w:val="22"/>
        </w:rPr>
        <w:t>lead</w:t>
      </w:r>
      <w:r w:rsidRPr="00C41533">
        <w:rPr>
          <w:rFonts w:asciiTheme="minorHAnsi" w:hAnsiTheme="minorHAnsi"/>
          <w:color w:val="0000FF"/>
          <w:sz w:val="22"/>
          <w:szCs w:val="22"/>
        </w:rPr>
        <w:t xml:space="preserve"> </w:t>
      </w:r>
      <w:r w:rsidR="00B302EA">
        <w:rPr>
          <w:rFonts w:asciiTheme="minorHAnsi" w:hAnsiTheme="minorHAnsi"/>
          <w:color w:val="0000FF"/>
          <w:sz w:val="22"/>
          <w:szCs w:val="22"/>
        </w:rPr>
        <w:t xml:space="preserve">providers </w:t>
      </w:r>
      <w:r w:rsidR="00BE63D0">
        <w:rPr>
          <w:rFonts w:asciiTheme="minorHAnsi" w:hAnsiTheme="minorHAnsi"/>
          <w:color w:val="0000FF"/>
          <w:sz w:val="22"/>
          <w:szCs w:val="22"/>
        </w:rPr>
        <w:t xml:space="preserve">to </w:t>
      </w:r>
      <w:r w:rsidRPr="00C41533">
        <w:rPr>
          <w:rFonts w:asciiTheme="minorHAnsi" w:hAnsiTheme="minorHAnsi"/>
          <w:color w:val="0000FF"/>
          <w:sz w:val="22"/>
          <w:szCs w:val="22"/>
        </w:rPr>
        <w:t xml:space="preserve">avoid </w:t>
      </w:r>
      <w:r w:rsidR="00BE63D0">
        <w:rPr>
          <w:rFonts w:asciiTheme="minorHAnsi" w:hAnsiTheme="minorHAnsi"/>
          <w:color w:val="0000FF"/>
          <w:sz w:val="22"/>
          <w:szCs w:val="22"/>
        </w:rPr>
        <w:t xml:space="preserve">treating </w:t>
      </w:r>
      <w:r w:rsidRPr="00C41533">
        <w:rPr>
          <w:rFonts w:asciiTheme="minorHAnsi" w:hAnsiTheme="minorHAnsi"/>
          <w:color w:val="0000FF"/>
          <w:sz w:val="22"/>
          <w:szCs w:val="22"/>
        </w:rPr>
        <w:t xml:space="preserve">clients </w:t>
      </w:r>
      <w:r w:rsidR="00B302EA">
        <w:rPr>
          <w:rFonts w:asciiTheme="minorHAnsi" w:hAnsiTheme="minorHAnsi"/>
          <w:color w:val="0000FF"/>
          <w:sz w:val="22"/>
          <w:szCs w:val="22"/>
        </w:rPr>
        <w:t xml:space="preserve">whom </w:t>
      </w:r>
      <w:r w:rsidRPr="00C41533">
        <w:rPr>
          <w:rFonts w:asciiTheme="minorHAnsi" w:hAnsiTheme="minorHAnsi"/>
          <w:color w:val="0000FF"/>
          <w:sz w:val="22"/>
          <w:szCs w:val="22"/>
        </w:rPr>
        <w:t>they consider less likely or difficult to achieve continuity of care, such as people who are homeless</w:t>
      </w:r>
      <w:r w:rsidR="00BE63D0">
        <w:rPr>
          <w:rFonts w:asciiTheme="minorHAnsi" w:hAnsiTheme="minorHAnsi"/>
          <w:color w:val="0000FF"/>
          <w:sz w:val="22"/>
          <w:szCs w:val="22"/>
        </w:rPr>
        <w:t>, or to reduce the use of inpatient and residential treatment. These unintended consequences maybe more likely to occur if there are significant financial penalties imposed on providers with low follow-up rates.</w:t>
      </w:r>
    </w:p>
    <w:p w14:paraId="7CC314EC" w14:textId="77777777" w:rsidR="00E7311A" w:rsidRPr="00C41533" w:rsidRDefault="00E7311A" w:rsidP="00E7311A">
      <w:pPr>
        <w:keepNext/>
        <w:tabs>
          <w:tab w:val="left" w:pos="432"/>
        </w:tabs>
        <w:spacing w:before="240" w:line="276" w:lineRule="auto"/>
        <w:ind w:left="432" w:hanging="432"/>
        <w:outlineLvl w:val="2"/>
        <w:rPr>
          <w:rFonts w:eastAsia="Times New Roman" w:cs="Times New Roman"/>
          <w:b/>
          <w:color w:val="0000FF"/>
        </w:rPr>
      </w:pPr>
      <w:r w:rsidRPr="00C41533">
        <w:rPr>
          <w:rFonts w:eastAsia="Times New Roman" w:cs="Times New Roman"/>
          <w:b/>
          <w:color w:val="0000FF"/>
        </w:rPr>
        <w:t>Net benefit</w:t>
      </w:r>
    </w:p>
    <w:p w14:paraId="6306A681" w14:textId="465E6E5F" w:rsidR="00E7311A" w:rsidRPr="00C41533" w:rsidRDefault="00E7311A" w:rsidP="00E7311A">
      <w:pPr>
        <w:spacing w:after="120"/>
        <w:rPr>
          <w:rFonts w:eastAsiaTheme="minorEastAsia" w:cs="Times New Roman"/>
          <w:color w:val="0000FF"/>
          <w:kern w:val="24"/>
        </w:rPr>
      </w:pPr>
      <w:r w:rsidRPr="00CF40F8">
        <w:rPr>
          <w:rFonts w:eastAsia="Times New Roman" w:cs="Times New Roman"/>
          <w:color w:val="0000FF"/>
        </w:rPr>
        <w:t xml:space="preserve">Overall, the evidence suggests that the potential benefits of implementing </w:t>
      </w:r>
      <w:r w:rsidR="00CF40F8" w:rsidRPr="00CF40F8">
        <w:rPr>
          <w:rFonts w:eastAsia="Times New Roman" w:cs="Times New Roman"/>
          <w:i/>
          <w:iCs/>
          <w:color w:val="0000FF"/>
        </w:rPr>
        <w:t>Continuity of Care After Receiving Hospital or Residential SUD Treatment</w:t>
      </w:r>
      <w:r w:rsidR="00CF40F8" w:rsidRPr="00CF40F8">
        <w:rPr>
          <w:rFonts w:eastAsia="Times New Roman" w:cs="Times New Roman"/>
          <w:color w:val="0000FF"/>
        </w:rPr>
        <w:t xml:space="preserve"> </w:t>
      </w:r>
      <w:r w:rsidR="008F3DB8" w:rsidRPr="00CF40F8">
        <w:rPr>
          <w:rFonts w:eastAsia="Times New Roman" w:cs="Times New Roman"/>
          <w:color w:val="0000FF"/>
        </w:rPr>
        <w:t>measure</w:t>
      </w:r>
      <w:r w:rsidRPr="00CF40F8">
        <w:rPr>
          <w:rFonts w:eastAsia="Times New Roman" w:cs="Times New Roman"/>
          <w:color w:val="0000FF"/>
        </w:rPr>
        <w:t xml:space="preserve"> outweigh the potential costs or unintended consequences. Benefits to Medicaid beneficiaries who have a SUD and receive follow-up within 7 or </w:t>
      </w:r>
      <w:r w:rsidR="00F84B34" w:rsidRPr="00CF40F8">
        <w:rPr>
          <w:rFonts w:eastAsia="Times New Roman" w:cs="Times New Roman"/>
          <w:color w:val="0000FF"/>
        </w:rPr>
        <w:t>30</w:t>
      </w:r>
      <w:r w:rsidRPr="00CF40F8">
        <w:rPr>
          <w:rFonts w:eastAsia="Times New Roman" w:cs="Times New Roman"/>
          <w:color w:val="0000FF"/>
        </w:rPr>
        <w:t xml:space="preserve"> days following discharge from inpatient or residential </w:t>
      </w:r>
      <w:r w:rsidR="00950541">
        <w:rPr>
          <w:rFonts w:eastAsia="Times New Roman" w:cs="Times New Roman"/>
          <w:color w:val="0000FF"/>
        </w:rPr>
        <w:t>SUD treatment</w:t>
      </w:r>
      <w:r w:rsidR="00950541" w:rsidRPr="00CF40F8">
        <w:rPr>
          <w:rFonts w:eastAsia="Times New Roman" w:cs="Times New Roman"/>
          <w:color w:val="0000FF"/>
        </w:rPr>
        <w:t xml:space="preserve"> </w:t>
      </w:r>
      <w:r w:rsidRPr="00CF40F8">
        <w:rPr>
          <w:rFonts w:eastAsia="Times New Roman" w:cs="Times New Roman"/>
          <w:color w:val="0000FF"/>
        </w:rPr>
        <w:t xml:space="preserve">include </w:t>
      </w:r>
      <w:r w:rsidR="00950541">
        <w:rPr>
          <w:rFonts w:eastAsia="Times New Roman" w:cs="Times New Roman"/>
          <w:color w:val="0000FF"/>
        </w:rPr>
        <w:t>decreased</w:t>
      </w:r>
      <w:r w:rsidR="00950541">
        <w:rPr>
          <w:rFonts w:eastAsiaTheme="minorEastAsia" w:cs="Times New Roman"/>
          <w:color w:val="0000FF"/>
          <w:kern w:val="24"/>
        </w:rPr>
        <w:t xml:space="preserve"> rates of</w:t>
      </w:r>
      <w:r w:rsidRPr="00CF40F8">
        <w:rPr>
          <w:rFonts w:eastAsiaTheme="minorEastAsia" w:cs="Times New Roman"/>
          <w:color w:val="0000FF"/>
          <w:kern w:val="24"/>
        </w:rPr>
        <w:t xml:space="preserve"> substance use and relapse, fewer readmissions </w:t>
      </w:r>
      <w:r w:rsidR="00950541">
        <w:rPr>
          <w:rFonts w:eastAsiaTheme="minorEastAsia" w:cs="Times New Roman"/>
          <w:color w:val="0000FF"/>
          <w:kern w:val="24"/>
        </w:rPr>
        <w:t>for</w:t>
      </w:r>
      <w:r w:rsidR="00950541" w:rsidRPr="00CF40F8">
        <w:rPr>
          <w:rFonts w:eastAsiaTheme="minorEastAsia" w:cs="Times New Roman"/>
          <w:color w:val="0000FF"/>
          <w:kern w:val="24"/>
        </w:rPr>
        <w:t xml:space="preserve"> </w:t>
      </w:r>
      <w:r w:rsidRPr="00CF40F8">
        <w:rPr>
          <w:rFonts w:eastAsiaTheme="minorEastAsia" w:cs="Times New Roman"/>
          <w:color w:val="0000FF"/>
          <w:kern w:val="24"/>
        </w:rPr>
        <w:t xml:space="preserve">inpatient </w:t>
      </w:r>
      <w:r w:rsidR="00950541">
        <w:rPr>
          <w:rFonts w:eastAsiaTheme="minorEastAsia" w:cs="Times New Roman"/>
          <w:color w:val="0000FF"/>
          <w:kern w:val="24"/>
        </w:rPr>
        <w:t>treatment</w:t>
      </w:r>
      <w:r w:rsidRPr="00CF40F8">
        <w:rPr>
          <w:rFonts w:eastAsiaTheme="minorEastAsia" w:cs="Times New Roman"/>
          <w:color w:val="0000FF"/>
          <w:kern w:val="24"/>
        </w:rPr>
        <w:t xml:space="preserve">, less involvement in criminal justice, and improved employment </w:t>
      </w:r>
      <w:r w:rsidR="00950541">
        <w:rPr>
          <w:rFonts w:eastAsiaTheme="minorEastAsia" w:cs="Times New Roman"/>
          <w:color w:val="0000FF"/>
          <w:kern w:val="24"/>
        </w:rPr>
        <w:t>outcomes</w:t>
      </w:r>
      <w:r w:rsidRPr="00CF40F8">
        <w:rPr>
          <w:rFonts w:eastAsiaTheme="minorEastAsia" w:cs="Times New Roman"/>
          <w:color w:val="0000FF"/>
          <w:kern w:val="24"/>
        </w:rPr>
        <w:t xml:space="preserve">. </w:t>
      </w:r>
      <w:r w:rsidR="00950541">
        <w:rPr>
          <w:rFonts w:eastAsiaTheme="minorEastAsia" w:cs="Times New Roman"/>
          <w:color w:val="0000FF"/>
          <w:kern w:val="24"/>
        </w:rPr>
        <w:t>Additionally</w:t>
      </w:r>
      <w:r w:rsidRPr="00CF40F8">
        <w:rPr>
          <w:rFonts w:eastAsiaTheme="minorEastAsia" w:cs="Times New Roman"/>
          <w:color w:val="0000FF"/>
          <w:kern w:val="24"/>
        </w:rPr>
        <w:t xml:space="preserve">, the benefits to society include lower costs related to criminal activity and health care. Health care costs for Medicaid could </w:t>
      </w:r>
      <w:r w:rsidR="00950541">
        <w:rPr>
          <w:rFonts w:eastAsiaTheme="minorEastAsia" w:cs="Times New Roman"/>
          <w:color w:val="0000FF"/>
          <w:kern w:val="24"/>
        </w:rPr>
        <w:t>decrease as</w:t>
      </w:r>
      <w:r w:rsidRPr="00CF40F8">
        <w:rPr>
          <w:rFonts w:eastAsiaTheme="minorEastAsia" w:cs="Times New Roman"/>
          <w:color w:val="0000FF"/>
          <w:kern w:val="24"/>
        </w:rPr>
        <w:t xml:space="preserve"> continuity of care helps sustain beneficiaries’ gains from the initial treatment and prevents </w:t>
      </w:r>
      <w:r w:rsidR="00950541" w:rsidRPr="00CF40F8">
        <w:rPr>
          <w:rFonts w:eastAsiaTheme="minorEastAsia" w:cs="Times New Roman"/>
          <w:color w:val="0000FF"/>
          <w:kern w:val="24"/>
        </w:rPr>
        <w:t>readmission</w:t>
      </w:r>
      <w:r w:rsidR="00950541">
        <w:rPr>
          <w:rFonts w:eastAsiaTheme="minorEastAsia" w:cs="Times New Roman"/>
          <w:color w:val="0000FF"/>
          <w:kern w:val="24"/>
        </w:rPr>
        <w:t xml:space="preserve"> into high-cost levels of care</w:t>
      </w:r>
      <w:r w:rsidRPr="00CF40F8">
        <w:rPr>
          <w:rFonts w:eastAsiaTheme="minorEastAsia" w:cs="Times New Roman"/>
          <w:color w:val="0000FF"/>
          <w:kern w:val="24"/>
        </w:rPr>
        <w:t>.</w:t>
      </w:r>
    </w:p>
    <w:p w14:paraId="6D4CD5E7" w14:textId="7753AA62" w:rsidR="007A74C2" w:rsidRPr="00E7311A" w:rsidRDefault="00950541" w:rsidP="00E7311A">
      <w:pPr>
        <w:spacing w:after="240"/>
        <w:rPr>
          <w:rFonts w:eastAsia="Times New Roman" w:cs="Times New Roman"/>
          <w:color w:val="0000FF"/>
        </w:rPr>
      </w:pPr>
      <w:r>
        <w:rPr>
          <w:rFonts w:eastAsia="Times New Roman" w:cs="Times New Roman"/>
          <w:color w:val="0000FF"/>
        </w:rPr>
        <w:t>The cost to adopt the measure is relatively low, as the measure is based on claims data</w:t>
      </w:r>
      <w:r w:rsidR="00E7311A" w:rsidRPr="00C41533">
        <w:rPr>
          <w:rFonts w:eastAsia="Times New Roman" w:cs="Times New Roman"/>
          <w:color w:val="0000FF"/>
        </w:rPr>
        <w:t xml:space="preserve">. </w:t>
      </w:r>
      <w:r>
        <w:rPr>
          <w:rFonts w:eastAsia="Times New Roman" w:cs="Times New Roman"/>
          <w:color w:val="0000FF"/>
        </w:rPr>
        <w:t xml:space="preserve">However, facilities will need to take added effort to support increasing rates </w:t>
      </w:r>
      <w:r w:rsidR="00E7311A" w:rsidRPr="00CF40F8">
        <w:rPr>
          <w:rFonts w:eastAsia="Times New Roman" w:cs="Times New Roman"/>
          <w:color w:val="0000FF"/>
        </w:rPr>
        <w:t xml:space="preserve">continuity of care </w:t>
      </w:r>
      <w:r>
        <w:rPr>
          <w:rFonts w:eastAsia="Times New Roman" w:cs="Times New Roman"/>
          <w:color w:val="0000FF"/>
        </w:rPr>
        <w:t xml:space="preserve">among clients </w:t>
      </w:r>
      <w:r w:rsidR="00E7311A" w:rsidRPr="00CF40F8">
        <w:rPr>
          <w:rFonts w:eastAsia="Times New Roman" w:cs="Times New Roman"/>
          <w:color w:val="0000FF"/>
        </w:rPr>
        <w:t xml:space="preserve">and to </w:t>
      </w:r>
      <w:r>
        <w:rPr>
          <w:rFonts w:eastAsia="Times New Roman" w:cs="Times New Roman"/>
          <w:color w:val="0000FF"/>
        </w:rPr>
        <w:t>ensure</w:t>
      </w:r>
      <w:r w:rsidRPr="00CF40F8">
        <w:rPr>
          <w:rFonts w:eastAsia="Times New Roman" w:cs="Times New Roman"/>
          <w:color w:val="0000FF"/>
        </w:rPr>
        <w:t xml:space="preserve"> </w:t>
      </w:r>
      <w:r w:rsidR="00E7311A" w:rsidRPr="00CF40F8">
        <w:rPr>
          <w:rFonts w:eastAsia="Times New Roman" w:cs="Times New Roman"/>
          <w:color w:val="0000FF"/>
        </w:rPr>
        <w:t xml:space="preserve">the treatment system’s capacity to provide this care. </w:t>
      </w:r>
      <w:r>
        <w:rPr>
          <w:rFonts w:eastAsia="Times New Roman" w:cs="Times New Roman"/>
          <w:color w:val="0000FF"/>
        </w:rPr>
        <w:t>In addition</w:t>
      </w:r>
      <w:r w:rsidR="00E7311A" w:rsidRPr="00CF40F8">
        <w:rPr>
          <w:rFonts w:eastAsia="Times New Roman" w:cs="Times New Roman"/>
          <w:color w:val="0000FF"/>
        </w:rPr>
        <w:t xml:space="preserve">, any improvement in the </w:t>
      </w:r>
      <w:r w:rsidR="00CF40F8" w:rsidRPr="00CF40F8">
        <w:rPr>
          <w:rFonts w:eastAsia="Times New Roman" w:cs="Times New Roman"/>
          <w:i/>
          <w:iCs/>
          <w:color w:val="0000FF"/>
        </w:rPr>
        <w:t>Continuity of Care After Receiving Hospital or Residential SUD Treatment</w:t>
      </w:r>
      <w:r w:rsidR="00CF40F8" w:rsidRPr="00CF40F8">
        <w:rPr>
          <w:rFonts w:eastAsia="Times New Roman" w:cs="Times New Roman"/>
          <w:color w:val="0000FF"/>
        </w:rPr>
        <w:t xml:space="preserve"> </w:t>
      </w:r>
      <w:r w:rsidR="00E7311A" w:rsidRPr="00CF40F8">
        <w:rPr>
          <w:rFonts w:eastAsia="Times New Roman" w:cs="Times New Roman"/>
          <w:color w:val="0000FF"/>
        </w:rPr>
        <w:t xml:space="preserve">measure implies a cost to Medicaid for the continuity of care services. However, the benefits of continuity of care to Medicaid beneficiaries and to society, including those described previously, </w:t>
      </w:r>
      <w:r>
        <w:rPr>
          <w:rFonts w:eastAsia="Times New Roman" w:cs="Times New Roman"/>
          <w:color w:val="0000FF"/>
        </w:rPr>
        <w:t>are greater than</w:t>
      </w:r>
      <w:r w:rsidRPr="00CF40F8">
        <w:rPr>
          <w:rFonts w:eastAsia="Times New Roman" w:cs="Times New Roman"/>
          <w:color w:val="0000FF"/>
        </w:rPr>
        <w:t xml:space="preserve"> </w:t>
      </w:r>
      <w:r w:rsidR="00E7311A" w:rsidRPr="00CF40F8">
        <w:rPr>
          <w:rFonts w:eastAsia="Times New Roman" w:cs="Times New Roman"/>
          <w:color w:val="0000FF"/>
        </w:rPr>
        <w:t>the costs of implementing and using this measure.</w:t>
      </w:r>
      <w:bookmarkEnd w:id="3"/>
    </w:p>
    <w:p w14:paraId="37B6E07A" w14:textId="77777777" w:rsidR="007A74C2" w:rsidRDefault="00184A5C">
      <w:pPr>
        <w:spacing w:after="5" w:line="249" w:lineRule="auto"/>
        <w:ind w:left="350" w:right="209" w:hanging="10"/>
      </w:pPr>
      <w:r>
        <w:rPr>
          <w:b/>
        </w:rPr>
        <w:t>1a.4.2</w:t>
      </w:r>
      <w:r>
        <w:rPr>
          <w:b/>
          <w:color w:val="234060"/>
        </w:rPr>
        <w:t xml:space="preserve"> </w:t>
      </w:r>
      <w:r>
        <w:rPr>
          <w:b/>
        </w:rPr>
        <w:t>What process was used to identify the evidence?</w:t>
      </w:r>
      <w:r>
        <w:t xml:space="preserve"> </w:t>
      </w:r>
    </w:p>
    <w:p w14:paraId="7DCE6EF9" w14:textId="2DDC6C8E" w:rsidR="007A74C2" w:rsidRPr="00E7311A" w:rsidRDefault="00E7311A" w:rsidP="00E7311A">
      <w:pPr>
        <w:spacing w:after="240"/>
        <w:ind w:left="340" w:firstLine="10"/>
        <w:rPr>
          <w:color w:val="0000FF"/>
        </w:rPr>
      </w:pPr>
      <w:bookmarkStart w:id="5" w:name="_Hlk46991043"/>
      <w:r w:rsidRPr="00C41533">
        <w:rPr>
          <w:color w:val="0000FF"/>
        </w:rPr>
        <w:t>PubMed searches were conducted using keywords: continuity of care, follow-up treatment, residential, inpatient, substance use disorder, treatment, for any type of study since 2000. We focused on the extent to which continuity of care occurs after discharge and the benefits of receiving additional care after leaving inpatient and residential care for SUD.</w:t>
      </w:r>
    </w:p>
    <w:bookmarkEnd w:id="5"/>
    <w:p w14:paraId="738451AC" w14:textId="0C678C12" w:rsidR="007A74C2" w:rsidRDefault="00184A5C">
      <w:pPr>
        <w:spacing w:after="5" w:line="249" w:lineRule="auto"/>
        <w:ind w:left="350" w:right="209" w:hanging="10"/>
      </w:pPr>
      <w:r>
        <w:rPr>
          <w:b/>
        </w:rPr>
        <w:t>1a.4.3.</w:t>
      </w:r>
      <w:r>
        <w:rPr>
          <w:color w:val="006FC0"/>
        </w:rPr>
        <w:t xml:space="preserve"> </w:t>
      </w:r>
      <w:r>
        <w:rPr>
          <w:b/>
        </w:rPr>
        <w:t>Provide the citation(s) for the evidence.</w:t>
      </w:r>
    </w:p>
    <w:p w14:paraId="0300D016" w14:textId="4A8ABC3F" w:rsidR="00493C8D" w:rsidRDefault="00493C8D" w:rsidP="00E7311A">
      <w:pPr>
        <w:pStyle w:val="EndNoteBibliography"/>
        <w:ind w:left="1060" w:hanging="720"/>
        <w:rPr>
          <w:rFonts w:asciiTheme="minorHAnsi" w:hAnsiTheme="minorHAnsi"/>
        </w:rPr>
      </w:pPr>
      <w:r w:rsidRPr="00493C8D">
        <w:rPr>
          <w:rFonts w:asciiTheme="minorHAnsi" w:hAnsiTheme="minorHAnsi"/>
        </w:rPr>
        <w:t>Ali, M. M., &amp; Mutter, R. (201</w:t>
      </w:r>
      <w:r w:rsidR="00956DAA">
        <w:rPr>
          <w:rFonts w:asciiTheme="minorHAnsi" w:hAnsiTheme="minorHAnsi"/>
        </w:rPr>
        <w:t>6</w:t>
      </w:r>
      <w:r w:rsidRPr="00493C8D">
        <w:rPr>
          <w:rFonts w:asciiTheme="minorHAnsi" w:hAnsiTheme="minorHAnsi"/>
        </w:rPr>
        <w:t xml:space="preserve">). Patients Who Are Privately Insured Receive Limited Follow-Up Services After Opioid-Related Hospitalizations. In </w:t>
      </w:r>
      <w:r w:rsidRPr="00F64939">
        <w:rPr>
          <w:rFonts w:asciiTheme="minorHAnsi" w:hAnsiTheme="minorHAnsi"/>
          <w:i/>
          <w:iCs/>
        </w:rPr>
        <w:t>The CBHSQ Report</w:t>
      </w:r>
      <w:r w:rsidRPr="00493C8D">
        <w:rPr>
          <w:rFonts w:asciiTheme="minorHAnsi" w:hAnsiTheme="minorHAnsi"/>
        </w:rPr>
        <w:t xml:space="preserve">. Substance Abuse and Mental Health Services Administration (US). </w:t>
      </w:r>
      <w:hyperlink r:id="rId30" w:history="1">
        <w:r w:rsidR="00770B92" w:rsidRPr="006F29CF">
          <w:rPr>
            <w:rStyle w:val="Hyperlink"/>
            <w:rFonts w:asciiTheme="minorHAnsi" w:hAnsiTheme="minorHAnsi"/>
          </w:rPr>
          <w:t>http://www.ncbi.nlm.nih.gov/books/NBK355361/</w:t>
        </w:r>
      </w:hyperlink>
    </w:p>
    <w:p w14:paraId="3EC3AA7B" w14:textId="28DB7248" w:rsidR="00770B92" w:rsidRDefault="00770B92" w:rsidP="00E7311A">
      <w:pPr>
        <w:pStyle w:val="EndNoteBibliography"/>
        <w:ind w:left="1060" w:hanging="720"/>
        <w:rPr>
          <w:rFonts w:asciiTheme="minorHAnsi" w:hAnsiTheme="minorHAnsi"/>
        </w:rPr>
      </w:pPr>
      <w:r w:rsidRPr="00770B92">
        <w:rPr>
          <w:rFonts w:asciiTheme="minorHAnsi" w:hAnsiTheme="minorHAnsi"/>
        </w:rPr>
        <w:t>Bassuk EL, Hanson J, Greene RN, Richard M, Laudet A. Peer-Delivered Recovery Support Services for Addictions in the United States: A Systematic Review. J Subst Abuse Treat. 2016 Apr;63:1-9. doi: 10.1016/j.jsat.2016.01.003. Epub 2016 Jan 13.</w:t>
      </w:r>
    </w:p>
    <w:p w14:paraId="16674179" w14:textId="61319B9B" w:rsidR="00AE7F09" w:rsidRPr="00C41533" w:rsidRDefault="00AE7F09" w:rsidP="00AE7F09">
      <w:pPr>
        <w:pStyle w:val="EndNoteBibliography"/>
        <w:ind w:left="1060" w:hanging="720"/>
        <w:rPr>
          <w:rFonts w:asciiTheme="minorHAnsi" w:hAnsiTheme="minorHAnsi"/>
        </w:rPr>
      </w:pPr>
      <w:r>
        <w:rPr>
          <w:rFonts w:asciiTheme="minorHAnsi" w:hAnsiTheme="minorHAnsi"/>
        </w:rPr>
        <w:t xml:space="preserve">CMS, CMCS Information Bulletin. </w:t>
      </w:r>
      <w:r w:rsidRPr="00AE7F09">
        <w:rPr>
          <w:rFonts w:asciiTheme="minorHAnsi" w:hAnsiTheme="minorHAnsi"/>
        </w:rPr>
        <w:t>New Reporting Measures for Substance Use Disorder (SUD)-focused Health</w:t>
      </w:r>
      <w:r>
        <w:rPr>
          <w:rFonts w:asciiTheme="minorHAnsi" w:hAnsiTheme="minorHAnsi"/>
        </w:rPr>
        <w:t xml:space="preserve"> </w:t>
      </w:r>
      <w:r w:rsidRPr="00AE7F09">
        <w:rPr>
          <w:rFonts w:asciiTheme="minorHAnsi" w:hAnsiTheme="minorHAnsi"/>
        </w:rPr>
        <w:t>Homes</w:t>
      </w:r>
      <w:r>
        <w:rPr>
          <w:rFonts w:asciiTheme="minorHAnsi" w:hAnsiTheme="minorHAnsi"/>
        </w:rPr>
        <w:t xml:space="preserve">, November 17, 2019. </w:t>
      </w:r>
      <w:hyperlink r:id="rId31" w:history="1">
        <w:r w:rsidRPr="006F29CF">
          <w:rPr>
            <w:rStyle w:val="Hyperlink"/>
            <w:rFonts w:asciiTheme="minorHAnsi" w:hAnsiTheme="minorHAnsi"/>
          </w:rPr>
          <w:t>https://www.medicaid.gov/federal-policy-guidance/downloads/cib112719.pdf</w:t>
        </w:r>
      </w:hyperlink>
    </w:p>
    <w:p w14:paraId="6F1259E5" w14:textId="77777777"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lastRenderedPageBreak/>
        <w:t xml:space="preserve">DeMarce, J. M., Lash, S. J., Stephens, R. S., Grambow, S. C., &amp; Burden, J. L. (2008). Promoting continuing care adherence among substance abusers with co-occurring psychiatric disorders following residential treatment. </w:t>
      </w:r>
      <w:r w:rsidRPr="00C41533">
        <w:rPr>
          <w:rFonts w:asciiTheme="minorHAnsi" w:hAnsiTheme="minorHAnsi"/>
          <w:i/>
        </w:rPr>
        <w:t>Addict Behav, 33</w:t>
      </w:r>
      <w:r w:rsidRPr="00C41533">
        <w:rPr>
          <w:rFonts w:asciiTheme="minorHAnsi" w:hAnsiTheme="minorHAnsi"/>
        </w:rPr>
        <w:t>(9), 1104-1112. doi: 10.1016/j.addbeh.2008.02.008</w:t>
      </w:r>
    </w:p>
    <w:p w14:paraId="2E6230C3" w14:textId="41E98AAF" w:rsidR="00493C8D" w:rsidRDefault="00493C8D" w:rsidP="00E7311A">
      <w:pPr>
        <w:pStyle w:val="EndNoteBibliography"/>
        <w:ind w:left="1060" w:hanging="720"/>
        <w:rPr>
          <w:rFonts w:asciiTheme="minorHAnsi" w:hAnsiTheme="minorHAnsi"/>
        </w:rPr>
      </w:pPr>
      <w:r w:rsidRPr="00493C8D">
        <w:rPr>
          <w:rFonts w:asciiTheme="minorHAnsi" w:hAnsiTheme="minorHAnsi"/>
        </w:rPr>
        <w:t xml:space="preserve">Englander, H., Dobbertin, K., Lind, B. K., Nicolaidis, C., Graven, P., Dorfman, C., &amp; Korthuis, P. T. (2019). Inpatient Addiction Medicine Consultation and Post-Hospital Substance Use Disorder Treatment Engagement: A Propensity-Matched Analysis. </w:t>
      </w:r>
      <w:r w:rsidRPr="00F64939">
        <w:rPr>
          <w:rFonts w:asciiTheme="minorHAnsi" w:hAnsiTheme="minorHAnsi"/>
          <w:i/>
          <w:iCs/>
        </w:rPr>
        <w:t>Journal of General Internal Medicine, 34</w:t>
      </w:r>
      <w:r w:rsidRPr="00493C8D">
        <w:rPr>
          <w:rFonts w:asciiTheme="minorHAnsi" w:hAnsiTheme="minorHAnsi"/>
        </w:rPr>
        <w:t>(12), 2796–2803. https://doi.org/10.1007/s11606-019-05251-9</w:t>
      </w:r>
    </w:p>
    <w:p w14:paraId="2E0F9CA8" w14:textId="5E2E3989"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Garner, B. R., Godley, M. D., Funk, R. R., Lee, M. T., &amp; Garnick, D. W. (2010). The Washington Circle continuity of care performance measure: predictive validity with adolescents discharged from residential treatment. </w:t>
      </w:r>
      <w:r w:rsidRPr="00C41533">
        <w:rPr>
          <w:rFonts w:asciiTheme="minorHAnsi" w:hAnsiTheme="minorHAnsi"/>
          <w:i/>
        </w:rPr>
        <w:t>J Subst Abuse Treat, 38</w:t>
      </w:r>
      <w:r w:rsidRPr="00C41533">
        <w:rPr>
          <w:rFonts w:asciiTheme="minorHAnsi" w:hAnsiTheme="minorHAnsi"/>
        </w:rPr>
        <w:t>(1), 3-11. doi: 10.1016/j.jsat.2009.05.008</w:t>
      </w:r>
    </w:p>
    <w:p w14:paraId="27F99341" w14:textId="77777777"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Garnick, D. W., Lee, M. T., Horgan, C. M., Acevedo, A., &amp; Washington Circle Public Sector, Workgroup. (2009). Adapting Washington Circle performance measures for public sector substance abuse treatment systems. </w:t>
      </w:r>
      <w:r w:rsidRPr="00C41533">
        <w:rPr>
          <w:rFonts w:asciiTheme="minorHAnsi" w:hAnsiTheme="minorHAnsi"/>
          <w:i/>
        </w:rPr>
        <w:t>J Subst Abuse Treat, 36</w:t>
      </w:r>
      <w:r w:rsidRPr="00C41533">
        <w:rPr>
          <w:rFonts w:asciiTheme="minorHAnsi" w:hAnsiTheme="minorHAnsi"/>
        </w:rPr>
        <w:t>(3), 265-277. doi: 10.1016/j.jsat.2008.06.008</w:t>
      </w:r>
    </w:p>
    <w:p w14:paraId="2C92DD43" w14:textId="77777777"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Harris, A. H., Gupta, S., Bowe, T., Ellerbe, L. S., Phelps, T. E., Rubinsky, A. D., . . . Trafton, J. (2015). Predictive validity of two process-of-care quality measures for residential substance use disorder treatment. </w:t>
      </w:r>
      <w:r w:rsidRPr="00C41533">
        <w:rPr>
          <w:rFonts w:asciiTheme="minorHAnsi" w:hAnsiTheme="minorHAnsi"/>
          <w:i/>
        </w:rPr>
        <w:t>Addict Sci Clin Pract, 10</w:t>
      </w:r>
      <w:r w:rsidRPr="00C41533">
        <w:rPr>
          <w:rFonts w:asciiTheme="minorHAnsi" w:hAnsiTheme="minorHAnsi"/>
        </w:rPr>
        <w:t>, 22. doi: 10.1186/s13722-015-0042-5</w:t>
      </w:r>
    </w:p>
    <w:p w14:paraId="193F131B" w14:textId="77777777"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Harris, A. H., McKellar, J. D., Moos, R. H., Schaefer, J. A., &amp; Cronkite, R. C. (2006). Predictors of engagement in continuing care following residential substance use disorder treatment. </w:t>
      </w:r>
      <w:r w:rsidRPr="00C41533">
        <w:rPr>
          <w:rFonts w:asciiTheme="minorHAnsi" w:hAnsiTheme="minorHAnsi"/>
          <w:i/>
        </w:rPr>
        <w:t>Drug Alcohol Depend, 84</w:t>
      </w:r>
      <w:r w:rsidRPr="00C41533">
        <w:rPr>
          <w:rFonts w:asciiTheme="minorHAnsi" w:hAnsiTheme="minorHAnsi"/>
        </w:rPr>
        <w:t>(1), 93-101. doi: 10.1016/j.drugalcdep.2005.12.010</w:t>
      </w:r>
    </w:p>
    <w:p w14:paraId="23CCBC64" w14:textId="2D5E9F99" w:rsidR="00E7311A" w:rsidRDefault="00E7311A" w:rsidP="00E7311A">
      <w:pPr>
        <w:pStyle w:val="EndNoteBibliography"/>
        <w:ind w:left="1060" w:hanging="720"/>
        <w:rPr>
          <w:rStyle w:val="Hyperlink"/>
          <w:rFonts w:asciiTheme="minorHAnsi" w:hAnsiTheme="minorHAnsi"/>
        </w:rPr>
      </w:pPr>
      <w:r w:rsidRPr="00C41533">
        <w:rPr>
          <w:rFonts w:asciiTheme="minorHAnsi" w:hAnsiTheme="minorHAnsi"/>
        </w:rPr>
        <w:t xml:space="preserve">Heslin, K.C., Elixhauser, A., &amp; Steiner, C.A. (2015). Hospitalizations Involving Mental and Substance Use Disorders Among Adults, 2012. </w:t>
      </w:r>
      <w:r w:rsidRPr="00C41533">
        <w:rPr>
          <w:rFonts w:asciiTheme="minorHAnsi" w:hAnsiTheme="minorHAnsi"/>
          <w:i/>
        </w:rPr>
        <w:t>HCUP Statistical Brief #191. June 2015. Agency for Healthcare Research and Quality, Rockville, MD.</w:t>
      </w:r>
      <w:r w:rsidRPr="00C41533">
        <w:rPr>
          <w:rFonts w:asciiTheme="minorHAnsi" w:hAnsiTheme="minorHAnsi"/>
        </w:rPr>
        <w:t xml:space="preserve">  Retrieved August 6, 2018, from </w:t>
      </w:r>
      <w:hyperlink r:id="rId32" w:history="1">
        <w:r w:rsidRPr="00C41533">
          <w:rPr>
            <w:rStyle w:val="Hyperlink"/>
            <w:rFonts w:asciiTheme="minorHAnsi" w:hAnsiTheme="minorHAnsi"/>
          </w:rPr>
          <w:t>http://www.hcup-us.ahrq.gov/reports/statbriefs/sb191-Hospitalization-Mental-Substance-Use-Disorders-2012.pdf</w:t>
        </w:r>
      </w:hyperlink>
    </w:p>
    <w:p w14:paraId="221D6E1A" w14:textId="2D9FA424" w:rsidR="00966269" w:rsidRDefault="00966269" w:rsidP="00E7311A">
      <w:pPr>
        <w:pStyle w:val="EndNoteBibliography"/>
        <w:ind w:left="1060" w:hanging="720"/>
        <w:rPr>
          <w:rFonts w:asciiTheme="minorHAnsi" w:hAnsiTheme="minorHAnsi"/>
        </w:rPr>
      </w:pPr>
      <w:bookmarkStart w:id="6" w:name="_Hlk54363337"/>
      <w:r w:rsidRPr="00966269">
        <w:rPr>
          <w:rFonts w:asciiTheme="minorHAnsi" w:hAnsiTheme="minorHAnsi"/>
        </w:rPr>
        <w:t xml:space="preserve">Liebschutz </w:t>
      </w:r>
      <w:bookmarkEnd w:id="6"/>
      <w:r w:rsidRPr="00966269">
        <w:rPr>
          <w:rFonts w:asciiTheme="minorHAnsi" w:hAnsiTheme="minorHAnsi"/>
        </w:rPr>
        <w:t>JM, Crooks D, Herman D, Anderson B, Tsui J, Meshesha LZ, Dossabhoy S, Stein M. Buprenorphine treatment for hospitalized, opioid-dependent patients: a randomized clinical trial. JAMA Intern Med. 2014 Aug;174(8):1369-76. doi: 10.1001/jamainternmed.2014.2556.</w:t>
      </w:r>
    </w:p>
    <w:p w14:paraId="0D8B6087" w14:textId="73BC09A9" w:rsidR="00493C8D" w:rsidRDefault="00493C8D" w:rsidP="00493C8D">
      <w:pPr>
        <w:pStyle w:val="EndNoteBibliography"/>
        <w:ind w:left="1060" w:hanging="720"/>
        <w:rPr>
          <w:rStyle w:val="Hyperlink"/>
          <w:rFonts w:asciiTheme="minorHAnsi" w:hAnsiTheme="minorHAnsi"/>
        </w:rPr>
      </w:pPr>
      <w:r w:rsidRPr="00493C8D">
        <w:rPr>
          <w:rFonts w:asciiTheme="minorHAnsi" w:hAnsiTheme="minorHAnsi"/>
        </w:rPr>
        <w:t xml:space="preserve">Liu, J., Storfer-Isser, A., Mark, T. L., Oberlander, T., Horgan, C., Garnick, D. W., &amp; Scholle, S. H. (2020). Access to and Engagement in Substance Use Disorder Treatment Over Time. </w:t>
      </w:r>
      <w:r w:rsidRPr="00493C8D">
        <w:rPr>
          <w:rFonts w:asciiTheme="minorHAnsi" w:hAnsiTheme="minorHAnsi"/>
          <w:i/>
          <w:iCs/>
        </w:rPr>
        <w:t>Psychiatric Services (Washington, D.C.)</w:t>
      </w:r>
      <w:r w:rsidRPr="00493C8D">
        <w:rPr>
          <w:rFonts w:asciiTheme="minorHAnsi" w:hAnsiTheme="minorHAnsi"/>
        </w:rPr>
        <w:t xml:space="preserve">, appips201800461. </w:t>
      </w:r>
      <w:hyperlink r:id="rId33" w:history="1">
        <w:r w:rsidRPr="00493C8D">
          <w:rPr>
            <w:rStyle w:val="Hyperlink"/>
            <w:rFonts w:asciiTheme="minorHAnsi" w:hAnsiTheme="minorHAnsi"/>
          </w:rPr>
          <w:t>https://doi.org/10.1176/appi.ps.201800461</w:t>
        </w:r>
      </w:hyperlink>
    </w:p>
    <w:p w14:paraId="4128AB63" w14:textId="5043BF25" w:rsidR="0021143B" w:rsidRDefault="0021143B" w:rsidP="00493C8D">
      <w:pPr>
        <w:pStyle w:val="EndNoteBibliography"/>
        <w:ind w:left="1060" w:hanging="720"/>
        <w:rPr>
          <w:rFonts w:asciiTheme="minorHAnsi" w:hAnsiTheme="minorHAnsi"/>
        </w:rPr>
      </w:pPr>
      <w:r w:rsidRPr="0021143B">
        <w:rPr>
          <w:rFonts w:asciiTheme="minorHAnsi" w:hAnsiTheme="minorHAnsi"/>
        </w:rPr>
        <w:t xml:space="preserve">Manuel JI, Yuan Y, Herman DB, Svikis DS, Nichols O, Palmer E, Deren S. Barriers and facilitators to successful transition from long-term residential substance abuse treatment. J Subst Abuse Treat. 2017 Mar;74:16-22. doi: 10.1016/j.jsat.2016.12.001. </w:t>
      </w:r>
    </w:p>
    <w:p w14:paraId="00640A0B" w14:textId="75422521" w:rsidR="00E7311A" w:rsidRDefault="00E7311A" w:rsidP="00E7311A">
      <w:pPr>
        <w:pStyle w:val="EndNoteBibliography"/>
        <w:ind w:left="1060" w:hanging="720"/>
        <w:rPr>
          <w:rFonts w:asciiTheme="minorHAnsi" w:hAnsiTheme="minorHAnsi"/>
        </w:rPr>
      </w:pPr>
      <w:r w:rsidRPr="00C41533">
        <w:rPr>
          <w:rFonts w:asciiTheme="minorHAnsi" w:hAnsiTheme="minorHAnsi"/>
        </w:rPr>
        <w:t xml:space="preserve">Mark, T. L., Tomic, K. S., Kowlessar, N., Chu, B. C., Vandivort-Warren, R., &amp; Smith, S. (2013). Hospital readmission among medicaid patients with an index hospitalization for mental and/or substance use disorder. </w:t>
      </w:r>
      <w:r w:rsidRPr="00C41533">
        <w:rPr>
          <w:rFonts w:asciiTheme="minorHAnsi" w:hAnsiTheme="minorHAnsi"/>
          <w:i/>
        </w:rPr>
        <w:t>J Behav Health Serv Res, 40</w:t>
      </w:r>
      <w:r w:rsidRPr="00C41533">
        <w:rPr>
          <w:rFonts w:asciiTheme="minorHAnsi" w:hAnsiTheme="minorHAnsi"/>
        </w:rPr>
        <w:t>(2), 207-221. doi: 10.1007/s11414-013-9323-5</w:t>
      </w:r>
    </w:p>
    <w:p w14:paraId="6EC6DBDC" w14:textId="77777777" w:rsidR="00AB2AA9" w:rsidRPr="00AB2AA9" w:rsidRDefault="00AB2AA9" w:rsidP="00AB2AA9">
      <w:pPr>
        <w:pStyle w:val="EndNoteBibliography"/>
        <w:ind w:left="1060" w:hanging="720"/>
        <w:rPr>
          <w:rFonts w:asciiTheme="minorHAnsi" w:hAnsiTheme="minorHAnsi"/>
        </w:rPr>
      </w:pPr>
      <w:r w:rsidRPr="00AB2AA9">
        <w:rPr>
          <w:rFonts w:asciiTheme="minorHAnsi" w:hAnsiTheme="minorHAnsi"/>
        </w:rPr>
        <w:t xml:space="preserve">Mark, T. L., Vandivort-Warren, R., &amp; Montejano, L. B. (2006). Factors affecting detoxification readmission: Analysis of public sector data from three states. </w:t>
      </w:r>
      <w:r w:rsidRPr="00AB2AA9">
        <w:rPr>
          <w:rFonts w:asciiTheme="minorHAnsi" w:hAnsiTheme="minorHAnsi"/>
          <w:i/>
          <w:iCs/>
        </w:rPr>
        <w:t>Journal of Substance Abuse Treatment</w:t>
      </w:r>
      <w:r w:rsidRPr="00AB2AA9">
        <w:rPr>
          <w:rFonts w:asciiTheme="minorHAnsi" w:hAnsiTheme="minorHAnsi"/>
        </w:rPr>
        <w:t xml:space="preserve">, </w:t>
      </w:r>
      <w:r w:rsidRPr="00AB2AA9">
        <w:rPr>
          <w:rFonts w:asciiTheme="minorHAnsi" w:hAnsiTheme="minorHAnsi"/>
          <w:i/>
          <w:iCs/>
        </w:rPr>
        <w:t>31</w:t>
      </w:r>
      <w:r w:rsidRPr="00AB2AA9">
        <w:rPr>
          <w:rFonts w:asciiTheme="minorHAnsi" w:hAnsiTheme="minorHAnsi"/>
        </w:rPr>
        <w:t xml:space="preserve">(4), 439–445. </w:t>
      </w:r>
      <w:hyperlink r:id="rId34" w:history="1">
        <w:r w:rsidRPr="00AB2AA9">
          <w:rPr>
            <w:rStyle w:val="Hyperlink"/>
            <w:rFonts w:asciiTheme="minorHAnsi" w:hAnsiTheme="minorHAnsi"/>
          </w:rPr>
          <w:t>https://doi.org/10.1016/j.jsat.2006.05.019</w:t>
        </w:r>
      </w:hyperlink>
    </w:p>
    <w:p w14:paraId="18E206F0" w14:textId="77777777"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McKay, J. R. (2005). Is there a case for extended interventions for alcohol and drug use disorders? </w:t>
      </w:r>
      <w:r w:rsidRPr="00C41533">
        <w:rPr>
          <w:rFonts w:asciiTheme="minorHAnsi" w:hAnsiTheme="minorHAnsi"/>
          <w:i/>
        </w:rPr>
        <w:t>Addiction, 100</w:t>
      </w:r>
      <w:r w:rsidRPr="00C41533">
        <w:rPr>
          <w:rFonts w:asciiTheme="minorHAnsi" w:hAnsiTheme="minorHAnsi"/>
        </w:rPr>
        <w:t>(11), 1594-1610. doi: 10.1111/j.1360-0443.2005.01208.x</w:t>
      </w:r>
    </w:p>
    <w:p w14:paraId="7715E6E1" w14:textId="1906B761" w:rsidR="00493C8D" w:rsidRDefault="00493C8D" w:rsidP="00493C8D">
      <w:pPr>
        <w:pStyle w:val="EndNoteBibliography"/>
        <w:ind w:left="1060" w:hanging="720"/>
        <w:rPr>
          <w:rStyle w:val="Hyperlink"/>
          <w:rFonts w:asciiTheme="minorHAnsi" w:hAnsiTheme="minorHAnsi"/>
        </w:rPr>
      </w:pPr>
      <w:r w:rsidRPr="00493C8D">
        <w:rPr>
          <w:rFonts w:asciiTheme="minorHAnsi" w:hAnsiTheme="minorHAnsi"/>
        </w:rPr>
        <w:t xml:space="preserve">Naeger, S., Mutter, R., Ali, M. M., Mark, T., &amp; Hughey, L. (2016). Post-Discharge Treatment Engagement Among Patients with an Opioid-Use Disorder. </w:t>
      </w:r>
      <w:r w:rsidRPr="00493C8D">
        <w:rPr>
          <w:rFonts w:asciiTheme="minorHAnsi" w:hAnsiTheme="minorHAnsi"/>
          <w:i/>
          <w:iCs/>
        </w:rPr>
        <w:t>Journal of Substance Abuse Treatment</w:t>
      </w:r>
      <w:r w:rsidRPr="00493C8D">
        <w:rPr>
          <w:rFonts w:asciiTheme="minorHAnsi" w:hAnsiTheme="minorHAnsi"/>
        </w:rPr>
        <w:t xml:space="preserve">, </w:t>
      </w:r>
      <w:r w:rsidRPr="00493C8D">
        <w:rPr>
          <w:rFonts w:asciiTheme="minorHAnsi" w:hAnsiTheme="minorHAnsi"/>
          <w:i/>
          <w:iCs/>
        </w:rPr>
        <w:t>69</w:t>
      </w:r>
      <w:r w:rsidRPr="00493C8D">
        <w:rPr>
          <w:rFonts w:asciiTheme="minorHAnsi" w:hAnsiTheme="minorHAnsi"/>
        </w:rPr>
        <w:t xml:space="preserve">, 64–71. </w:t>
      </w:r>
      <w:hyperlink r:id="rId35" w:history="1">
        <w:r w:rsidRPr="00493C8D">
          <w:rPr>
            <w:rStyle w:val="Hyperlink"/>
            <w:rFonts w:asciiTheme="minorHAnsi" w:hAnsiTheme="minorHAnsi"/>
          </w:rPr>
          <w:t>https://doi.org/10.1016/j.jsat.2016.07.004</w:t>
        </w:r>
      </w:hyperlink>
    </w:p>
    <w:p w14:paraId="1EEB625B" w14:textId="379E1E13" w:rsidR="005A0801" w:rsidRPr="005A0801" w:rsidRDefault="005A0801" w:rsidP="005A0801">
      <w:pPr>
        <w:pStyle w:val="EndNoteBibliography"/>
        <w:ind w:left="1060" w:hanging="720"/>
        <w:rPr>
          <w:rFonts w:asciiTheme="minorHAnsi" w:hAnsiTheme="minorHAnsi"/>
        </w:rPr>
      </w:pPr>
      <w:r w:rsidRPr="005A0801">
        <w:rPr>
          <w:rStyle w:val="Hyperlink"/>
          <w:rFonts w:asciiTheme="minorHAnsi" w:hAnsiTheme="minorHAnsi"/>
          <w:color w:val="auto"/>
          <w:u w:val="none"/>
        </w:rPr>
        <w:t>National Institute on Drug Abuse. Principles of Drug Addiction Treatment: A</w:t>
      </w:r>
      <w:r>
        <w:rPr>
          <w:rStyle w:val="Hyperlink"/>
          <w:rFonts w:asciiTheme="minorHAnsi" w:hAnsiTheme="minorHAnsi"/>
          <w:color w:val="auto"/>
          <w:u w:val="none"/>
        </w:rPr>
        <w:t xml:space="preserve"> </w:t>
      </w:r>
      <w:r w:rsidRPr="005A0801">
        <w:rPr>
          <w:rStyle w:val="Hyperlink"/>
          <w:rFonts w:asciiTheme="minorHAnsi" w:hAnsiTheme="minorHAnsi"/>
          <w:color w:val="auto"/>
          <w:u w:val="none"/>
        </w:rPr>
        <w:t>Research-Based Guide (Third Edition)</w:t>
      </w:r>
      <w:r>
        <w:rPr>
          <w:rStyle w:val="Hyperlink"/>
          <w:rFonts w:asciiTheme="minorHAnsi" w:hAnsiTheme="minorHAnsi"/>
          <w:color w:val="auto"/>
          <w:u w:val="none"/>
        </w:rPr>
        <w:t xml:space="preserve">. January, 2018. </w:t>
      </w:r>
      <w:hyperlink r:id="rId36" w:history="1">
        <w:r w:rsidRPr="00324BA0">
          <w:rPr>
            <w:rStyle w:val="Hyperlink"/>
            <w:rFonts w:asciiTheme="minorHAnsi" w:hAnsiTheme="minorHAnsi"/>
          </w:rPr>
          <w:t>https://www.drugabuse.gov/publications/principles-drug-addiction-treatment-research-based-guide-third-edition/principles-effective-treatment</w:t>
        </w:r>
      </w:hyperlink>
    </w:p>
    <w:p w14:paraId="4C394D20" w14:textId="642B3E04" w:rsidR="00AB2AA9" w:rsidRDefault="00AB2AA9" w:rsidP="00AB2AA9">
      <w:pPr>
        <w:pStyle w:val="EndNoteBibliography"/>
        <w:ind w:left="1060" w:hanging="720"/>
        <w:rPr>
          <w:rFonts w:asciiTheme="minorHAnsi" w:hAnsiTheme="minorHAnsi"/>
        </w:rPr>
      </w:pPr>
      <w:r w:rsidRPr="00AB2AA9">
        <w:rPr>
          <w:rFonts w:asciiTheme="minorHAnsi" w:hAnsiTheme="minorHAnsi"/>
        </w:rPr>
        <w:lastRenderedPageBreak/>
        <w:t xml:space="preserve">Popovici, I., French, M. T., &amp; McKay, J. R. (2008). Economic evaluation of continuing care interventions in the treatment of substance abuse: Recommendations for future research. </w:t>
      </w:r>
      <w:r w:rsidRPr="00AB2AA9">
        <w:rPr>
          <w:rFonts w:asciiTheme="minorHAnsi" w:hAnsiTheme="minorHAnsi"/>
          <w:i/>
          <w:iCs/>
        </w:rPr>
        <w:t>Evaluation Review</w:t>
      </w:r>
      <w:r w:rsidRPr="00AB2AA9">
        <w:rPr>
          <w:rFonts w:asciiTheme="minorHAnsi" w:hAnsiTheme="minorHAnsi"/>
        </w:rPr>
        <w:t xml:space="preserve">, </w:t>
      </w:r>
      <w:r w:rsidRPr="00AB2AA9">
        <w:rPr>
          <w:rFonts w:asciiTheme="minorHAnsi" w:hAnsiTheme="minorHAnsi"/>
          <w:i/>
          <w:iCs/>
        </w:rPr>
        <w:t>32</w:t>
      </w:r>
      <w:r w:rsidRPr="00AB2AA9">
        <w:rPr>
          <w:rFonts w:asciiTheme="minorHAnsi" w:hAnsiTheme="minorHAnsi"/>
        </w:rPr>
        <w:t xml:space="preserve">(6), 547–568. </w:t>
      </w:r>
      <w:hyperlink r:id="rId37" w:history="1">
        <w:r w:rsidRPr="00AB2AA9">
          <w:rPr>
            <w:rStyle w:val="Hyperlink"/>
            <w:rFonts w:asciiTheme="minorHAnsi" w:hAnsiTheme="minorHAnsi"/>
          </w:rPr>
          <w:t>https://doi.org/10.1177/0193841X08316311</w:t>
        </w:r>
      </w:hyperlink>
    </w:p>
    <w:p w14:paraId="6FFF8B70" w14:textId="78400CD5" w:rsidR="00E7311A" w:rsidRPr="00C41533" w:rsidRDefault="00E7311A" w:rsidP="00E7311A">
      <w:pPr>
        <w:pStyle w:val="EndNoteBibliography"/>
        <w:ind w:left="1060" w:hanging="720"/>
        <w:rPr>
          <w:rFonts w:asciiTheme="minorHAnsi" w:hAnsiTheme="minorHAnsi"/>
        </w:rPr>
      </w:pPr>
      <w:r w:rsidRPr="00C41533">
        <w:rPr>
          <w:rFonts w:asciiTheme="minorHAnsi" w:hAnsiTheme="minorHAnsi"/>
        </w:rPr>
        <w:t xml:space="preserve">Reif, S., Acevedo, A., Garnick, D. W., &amp; Fullerton, C. A. (2017). Reducing Behavioral Health Inpatient Readmissions for People With Substance Use Disorders: Do Follow-Up Services Matter? </w:t>
      </w:r>
      <w:r w:rsidRPr="00C41533">
        <w:rPr>
          <w:rFonts w:asciiTheme="minorHAnsi" w:hAnsiTheme="minorHAnsi"/>
          <w:i/>
        </w:rPr>
        <w:t>Psychiatr Serv, 68</w:t>
      </w:r>
      <w:r w:rsidRPr="00C41533">
        <w:rPr>
          <w:rFonts w:asciiTheme="minorHAnsi" w:hAnsiTheme="minorHAnsi"/>
        </w:rPr>
        <w:t>(8), 810-818. doi: 10.1176/appi.ps.201600339</w:t>
      </w:r>
    </w:p>
    <w:p w14:paraId="6B3CCAEB" w14:textId="6AE913DE" w:rsidR="00B50E85" w:rsidRDefault="00EF2795" w:rsidP="00493C8D">
      <w:pPr>
        <w:pStyle w:val="EndNoteBibliography"/>
        <w:ind w:left="1060" w:hanging="720"/>
        <w:rPr>
          <w:rFonts w:asciiTheme="minorHAnsi" w:hAnsiTheme="minorHAnsi"/>
        </w:rPr>
      </w:pPr>
      <w:r w:rsidRPr="00EF2795">
        <w:rPr>
          <w:rFonts w:asciiTheme="minorHAnsi" w:hAnsiTheme="minorHAnsi"/>
        </w:rPr>
        <w:t>Rubinsky AD, Ellerbe LS, Gupta S, Phelps TE, Bowe T, Burden JL, Harris AHS. Outpatient continuing care after residential substance use disorder treatment in the US Veterans Health Administration: Facilitators and challenges. Subst Abus. 2018;39(3):322-330. doi: 10.1080/08897077.2017.1391923.</w:t>
      </w:r>
    </w:p>
    <w:p w14:paraId="107BE28A" w14:textId="49CA26BC" w:rsidR="00493C8D" w:rsidRDefault="00493C8D" w:rsidP="00493C8D">
      <w:pPr>
        <w:pStyle w:val="EndNoteBibliography"/>
        <w:ind w:left="1060" w:hanging="720"/>
        <w:rPr>
          <w:rStyle w:val="Hyperlink"/>
          <w:rFonts w:asciiTheme="minorHAnsi" w:hAnsiTheme="minorHAnsi"/>
        </w:rPr>
      </w:pPr>
      <w:r w:rsidRPr="00493C8D">
        <w:rPr>
          <w:rFonts w:asciiTheme="minorHAnsi" w:hAnsiTheme="minorHAnsi"/>
        </w:rPr>
        <w:t xml:space="preserve">Schmidt, E. M., Gupta, S., Bowe, T., Ellerbe, L. S., Phelps, T. E., Finney, J. W., Humphreys, K., Trafton, J., Vanneman, M. E., &amp; Harris, A. H. S. (2017). Predictive Validity of Outpatient Follow-up After Detoxification as a Quality Measure. </w:t>
      </w:r>
      <w:r w:rsidRPr="00493C8D">
        <w:rPr>
          <w:rFonts w:asciiTheme="minorHAnsi" w:hAnsiTheme="minorHAnsi"/>
          <w:i/>
          <w:iCs/>
        </w:rPr>
        <w:t>Journal of Addiction Medicine</w:t>
      </w:r>
      <w:r w:rsidRPr="00493C8D">
        <w:rPr>
          <w:rFonts w:asciiTheme="minorHAnsi" w:hAnsiTheme="minorHAnsi"/>
        </w:rPr>
        <w:t xml:space="preserve">, </w:t>
      </w:r>
      <w:r w:rsidRPr="00493C8D">
        <w:rPr>
          <w:rFonts w:asciiTheme="minorHAnsi" w:hAnsiTheme="minorHAnsi"/>
          <w:i/>
          <w:iCs/>
        </w:rPr>
        <w:t>11</w:t>
      </w:r>
      <w:r w:rsidRPr="00493C8D">
        <w:rPr>
          <w:rFonts w:asciiTheme="minorHAnsi" w:hAnsiTheme="minorHAnsi"/>
        </w:rPr>
        <w:t xml:space="preserve">(3), 205–210. </w:t>
      </w:r>
      <w:hyperlink r:id="rId38" w:history="1">
        <w:r w:rsidRPr="00493C8D">
          <w:rPr>
            <w:rStyle w:val="Hyperlink"/>
            <w:rFonts w:asciiTheme="minorHAnsi" w:hAnsiTheme="minorHAnsi"/>
          </w:rPr>
          <w:t>https://doi.org/10.1097/ADM.0000000000000298</w:t>
        </w:r>
      </w:hyperlink>
    </w:p>
    <w:p w14:paraId="462270C1" w14:textId="77777777" w:rsidR="00AB2AA9" w:rsidRPr="00AB2AA9" w:rsidRDefault="00AB2AA9" w:rsidP="00AB2AA9">
      <w:pPr>
        <w:pStyle w:val="EndNoteBibliography"/>
        <w:ind w:left="1060" w:hanging="720"/>
        <w:rPr>
          <w:rFonts w:asciiTheme="minorHAnsi" w:hAnsiTheme="minorHAnsi"/>
        </w:rPr>
      </w:pPr>
      <w:r w:rsidRPr="00AB2AA9">
        <w:rPr>
          <w:rFonts w:asciiTheme="minorHAnsi" w:hAnsiTheme="minorHAnsi"/>
        </w:rPr>
        <w:t xml:space="preserve">Schaefer, J. A., Ingudomnukul, E., Harris, A. H. S., &amp; Cronkite, R. C. (2005). Continuity of care practices and substance use disorder patients’ engagement in continuing care. </w:t>
      </w:r>
      <w:r w:rsidRPr="00AB2AA9">
        <w:rPr>
          <w:rFonts w:asciiTheme="minorHAnsi" w:hAnsiTheme="minorHAnsi"/>
          <w:i/>
          <w:iCs/>
        </w:rPr>
        <w:t>Medical Care</w:t>
      </w:r>
      <w:r w:rsidRPr="00AB2AA9">
        <w:rPr>
          <w:rFonts w:asciiTheme="minorHAnsi" w:hAnsiTheme="minorHAnsi"/>
        </w:rPr>
        <w:t xml:space="preserve">, </w:t>
      </w:r>
      <w:r w:rsidRPr="00AB2AA9">
        <w:rPr>
          <w:rFonts w:asciiTheme="minorHAnsi" w:hAnsiTheme="minorHAnsi"/>
          <w:i/>
          <w:iCs/>
        </w:rPr>
        <w:t>43</w:t>
      </w:r>
      <w:r w:rsidRPr="00AB2AA9">
        <w:rPr>
          <w:rFonts w:asciiTheme="minorHAnsi" w:hAnsiTheme="minorHAnsi"/>
        </w:rPr>
        <w:t xml:space="preserve">(12), 1234–1241. </w:t>
      </w:r>
      <w:hyperlink r:id="rId39" w:history="1">
        <w:r w:rsidRPr="00AB2AA9">
          <w:rPr>
            <w:rStyle w:val="Hyperlink"/>
            <w:rFonts w:asciiTheme="minorHAnsi" w:hAnsiTheme="minorHAnsi"/>
          </w:rPr>
          <w:t>https://doi.org/10.1097/01.mlr.0000185736.45129.95</w:t>
        </w:r>
      </w:hyperlink>
    </w:p>
    <w:p w14:paraId="4666DDCF" w14:textId="0CD266A3" w:rsidR="00AB2AA9" w:rsidRDefault="00AB2AA9" w:rsidP="00AB2AA9">
      <w:pPr>
        <w:pStyle w:val="EndNoteBibliography"/>
        <w:ind w:left="1060" w:hanging="720"/>
        <w:rPr>
          <w:rStyle w:val="Hyperlink"/>
          <w:rFonts w:asciiTheme="minorHAnsi" w:hAnsiTheme="minorHAnsi"/>
        </w:rPr>
      </w:pPr>
      <w:r w:rsidRPr="00AB2AA9">
        <w:rPr>
          <w:rFonts w:asciiTheme="minorHAnsi" w:hAnsiTheme="minorHAnsi"/>
        </w:rPr>
        <w:t xml:space="preserve">Smith, M. W., &amp; Mark, T. L. (2014). Follow-up encounters within 30 days of a substance abuse-related inpatient discharge. </w:t>
      </w:r>
      <w:r w:rsidRPr="00AB2AA9">
        <w:rPr>
          <w:rFonts w:asciiTheme="minorHAnsi" w:hAnsiTheme="minorHAnsi"/>
          <w:i/>
          <w:iCs/>
        </w:rPr>
        <w:t>Psychiatric Services (Washington, D.C.)</w:t>
      </w:r>
      <w:r w:rsidRPr="00AB2AA9">
        <w:rPr>
          <w:rFonts w:asciiTheme="minorHAnsi" w:hAnsiTheme="minorHAnsi"/>
        </w:rPr>
        <w:t xml:space="preserve">, </w:t>
      </w:r>
      <w:r w:rsidRPr="00AB2AA9">
        <w:rPr>
          <w:rFonts w:asciiTheme="minorHAnsi" w:hAnsiTheme="minorHAnsi"/>
          <w:i/>
          <w:iCs/>
        </w:rPr>
        <w:t>65</w:t>
      </w:r>
      <w:r w:rsidRPr="00AB2AA9">
        <w:rPr>
          <w:rFonts w:asciiTheme="minorHAnsi" w:hAnsiTheme="minorHAnsi"/>
        </w:rPr>
        <w:t xml:space="preserve">(9), 1080. </w:t>
      </w:r>
      <w:hyperlink r:id="rId40" w:history="1">
        <w:r w:rsidRPr="00AB2AA9">
          <w:rPr>
            <w:rStyle w:val="Hyperlink"/>
            <w:rFonts w:asciiTheme="minorHAnsi" w:hAnsiTheme="minorHAnsi"/>
          </w:rPr>
          <w:t>https://doi.org/10.1176/appi.ps.201400198</w:t>
        </w:r>
      </w:hyperlink>
    </w:p>
    <w:p w14:paraId="4C74BC39" w14:textId="3565C321" w:rsidR="00A13E2E" w:rsidRPr="00A13E2E" w:rsidRDefault="00A13E2E" w:rsidP="00AB2AA9">
      <w:pPr>
        <w:pStyle w:val="EndNoteBibliography"/>
        <w:ind w:left="1060" w:hanging="720"/>
        <w:rPr>
          <w:rStyle w:val="Hyperlink"/>
          <w:rFonts w:asciiTheme="minorHAnsi" w:hAnsiTheme="minorHAnsi"/>
          <w:color w:val="auto"/>
          <w:u w:val="none"/>
        </w:rPr>
      </w:pPr>
      <w:r w:rsidRPr="00A13E2E">
        <w:rPr>
          <w:rStyle w:val="Hyperlink"/>
          <w:rFonts w:asciiTheme="minorHAnsi" w:hAnsiTheme="minorHAnsi"/>
          <w:color w:val="auto"/>
          <w:u w:val="none"/>
        </w:rPr>
        <w:t>Stein BD, Kogan JN, Sorbero M. Substance abuse detoxification and residential treatment among Medicaid-enrolled adults: rates and duration of subsequent treatment. Drug Alcohol Depend. 2009 Sep 1;104(1-2):100-6. doi: 10.1016/j.drugalcdep.2009.04.008</w:t>
      </w:r>
    </w:p>
    <w:p w14:paraId="61822E6A" w14:textId="3339D1B4" w:rsidR="00541484" w:rsidRDefault="00541484" w:rsidP="00AB2AA9">
      <w:pPr>
        <w:pStyle w:val="EndNoteBibliography"/>
        <w:ind w:left="1060" w:hanging="720"/>
        <w:rPr>
          <w:rFonts w:asciiTheme="minorHAnsi" w:hAnsiTheme="minorHAnsi"/>
        </w:rPr>
      </w:pPr>
      <w:r w:rsidRPr="00541484">
        <w:rPr>
          <w:rFonts w:asciiTheme="minorHAnsi" w:hAnsiTheme="minorHAnsi"/>
        </w:rPr>
        <w:t xml:space="preserve">Wakeman SE, Metlay JP, Chang Y, Herman GE, Rigotti NA. Inpatient Addiction Consultation for Hospitalized Patients Increases Post-Discharge Abstinence and Reduces Addiction Severity. J Gen Intern Med. 2017 Aug;32(8):909-916. doi: 10.1007/s11606-017-4077-z. Epub 2017 May 19. </w:t>
      </w:r>
    </w:p>
    <w:p w14:paraId="4C2EB1D8" w14:textId="0F0148ED" w:rsidR="00634B1F" w:rsidRDefault="00634B1F" w:rsidP="00AB2AA9">
      <w:pPr>
        <w:pStyle w:val="EndNoteBibliography"/>
        <w:ind w:left="1060" w:hanging="720"/>
        <w:rPr>
          <w:rFonts w:asciiTheme="minorHAnsi" w:hAnsiTheme="minorHAnsi"/>
        </w:rPr>
      </w:pPr>
      <w:r w:rsidRPr="00634B1F">
        <w:rPr>
          <w:rFonts w:asciiTheme="minorHAnsi" w:hAnsiTheme="minorHAnsi"/>
        </w:rPr>
        <w:t>Wang SJ, Wade E, Towle J, Hachey T, Rioux J, Samuels O, Bonner C, Kirkpatrick C, O'Loughlin S, Foster K. Effect of Inpatient Medication-Assisted Therapy on Against-Medical-Advice Discharge and Readmission Rates. Am J Med. 2020 May 20:S0002-9343(20)30428-9. doi: 10.1016/j.amjmed.2020.04.025. Epub ahead of print. PMID: 32445720.</w:t>
      </w:r>
    </w:p>
    <w:p w14:paraId="6B034FE5" w14:textId="0B9BBDC9" w:rsidR="00837DA6" w:rsidRDefault="00837DA6" w:rsidP="00493C8D">
      <w:pPr>
        <w:pStyle w:val="EndNoteBibliography"/>
        <w:ind w:left="1060" w:hanging="720"/>
        <w:rPr>
          <w:rFonts w:asciiTheme="minorHAnsi" w:hAnsiTheme="minorHAnsi"/>
        </w:rPr>
      </w:pPr>
      <w:r w:rsidRPr="00837DA6">
        <w:rPr>
          <w:rFonts w:asciiTheme="minorHAnsi" w:hAnsiTheme="minorHAnsi"/>
        </w:rPr>
        <w:t>Watkins, K. E., Paddock, S. M., Hudson, T. J., Ounpraseuth, S., Schrader, A. M., Hepner, K. A., &amp; Sullivan, G. (2016). Association Between Quality Measures and Mortality in Individuals With Co-Occurring Mental Health and Substance Use Disorders. </w:t>
      </w:r>
      <w:r w:rsidRPr="00837DA6">
        <w:rPr>
          <w:rFonts w:asciiTheme="minorHAnsi" w:hAnsiTheme="minorHAnsi"/>
          <w:i/>
          <w:iCs/>
        </w:rPr>
        <w:t xml:space="preserve">Journal of </w:t>
      </w:r>
      <w:r>
        <w:rPr>
          <w:rFonts w:asciiTheme="minorHAnsi" w:hAnsiTheme="minorHAnsi"/>
          <w:i/>
          <w:iCs/>
        </w:rPr>
        <w:t>S</w:t>
      </w:r>
      <w:r w:rsidRPr="00837DA6">
        <w:rPr>
          <w:rFonts w:asciiTheme="minorHAnsi" w:hAnsiTheme="minorHAnsi"/>
          <w:i/>
          <w:iCs/>
        </w:rPr>
        <w:t xml:space="preserve">ubstance </w:t>
      </w:r>
      <w:r>
        <w:rPr>
          <w:rFonts w:asciiTheme="minorHAnsi" w:hAnsiTheme="minorHAnsi"/>
          <w:i/>
          <w:iCs/>
        </w:rPr>
        <w:t>A</w:t>
      </w:r>
      <w:r w:rsidRPr="00837DA6">
        <w:rPr>
          <w:rFonts w:asciiTheme="minorHAnsi" w:hAnsiTheme="minorHAnsi"/>
          <w:i/>
          <w:iCs/>
        </w:rPr>
        <w:t xml:space="preserve">buse </w:t>
      </w:r>
      <w:r>
        <w:rPr>
          <w:rFonts w:asciiTheme="minorHAnsi" w:hAnsiTheme="minorHAnsi"/>
          <w:i/>
          <w:iCs/>
        </w:rPr>
        <w:t>T</w:t>
      </w:r>
      <w:r w:rsidRPr="00837DA6">
        <w:rPr>
          <w:rFonts w:asciiTheme="minorHAnsi" w:hAnsiTheme="minorHAnsi"/>
          <w:i/>
          <w:iCs/>
        </w:rPr>
        <w:t>reatment</w:t>
      </w:r>
      <w:r w:rsidRPr="00837DA6">
        <w:rPr>
          <w:rFonts w:asciiTheme="minorHAnsi" w:hAnsiTheme="minorHAnsi"/>
        </w:rPr>
        <w:t>, </w:t>
      </w:r>
      <w:r w:rsidRPr="00837DA6">
        <w:rPr>
          <w:rFonts w:asciiTheme="minorHAnsi" w:hAnsiTheme="minorHAnsi"/>
          <w:i/>
          <w:iCs/>
        </w:rPr>
        <w:t>69</w:t>
      </w:r>
      <w:r w:rsidRPr="00837DA6">
        <w:rPr>
          <w:rFonts w:asciiTheme="minorHAnsi" w:hAnsiTheme="minorHAnsi"/>
        </w:rPr>
        <w:t xml:space="preserve">, 1–8. </w:t>
      </w:r>
      <w:hyperlink r:id="rId41" w:history="1">
        <w:r w:rsidR="00634B1F" w:rsidRPr="008B5082">
          <w:rPr>
            <w:rStyle w:val="Hyperlink"/>
            <w:rFonts w:asciiTheme="minorHAnsi" w:hAnsiTheme="minorHAnsi"/>
          </w:rPr>
          <w:t>https://doi.org/10.1016/j.jsat.2016.06.001</w:t>
        </w:r>
      </w:hyperlink>
    </w:p>
    <w:p w14:paraId="04DB6A5E" w14:textId="77777777" w:rsidR="00634B1F" w:rsidRPr="000E09F8" w:rsidRDefault="00634B1F" w:rsidP="00493C8D">
      <w:pPr>
        <w:pStyle w:val="EndNoteBibliography"/>
        <w:ind w:left="1060" w:hanging="720"/>
        <w:rPr>
          <w:rFonts w:asciiTheme="minorHAnsi" w:hAnsiTheme="minorHAnsi"/>
        </w:rPr>
      </w:pPr>
    </w:p>
    <w:sectPr w:rsidR="00634B1F" w:rsidRPr="000E09F8">
      <w:pgSz w:w="12240" w:h="15840"/>
      <w:pgMar w:top="1483" w:right="1129" w:bottom="1460" w:left="1085"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6CA76" w14:textId="77777777" w:rsidR="00740F85" w:rsidRDefault="00740F85">
      <w:pPr>
        <w:spacing w:after="0" w:line="240" w:lineRule="auto"/>
      </w:pPr>
      <w:r>
        <w:separator/>
      </w:r>
    </w:p>
  </w:endnote>
  <w:endnote w:type="continuationSeparator" w:id="0">
    <w:p w14:paraId="4FDF91F2" w14:textId="77777777" w:rsidR="00740F85" w:rsidRDefault="00740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C0F99" w14:textId="77777777" w:rsidR="00740F85" w:rsidRDefault="00740F85">
    <w:pPr>
      <w:tabs>
        <w:tab w:val="center" w:pos="1218"/>
        <w:tab w:val="center" w:pos="5035"/>
        <w:tab w:val="center" w:pos="9661"/>
      </w:tabs>
      <w:spacing w:after="0"/>
    </w:pPr>
    <w:r>
      <w:tab/>
      <w:t xml:space="preserve">Version 7.1  9/6/17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BF4E6" w14:textId="2492D14B" w:rsidR="00740F85" w:rsidRDefault="00740F85">
    <w:pPr>
      <w:tabs>
        <w:tab w:val="center" w:pos="1218"/>
        <w:tab w:val="center" w:pos="5035"/>
        <w:tab w:val="center" w:pos="9661"/>
      </w:tabs>
      <w:spacing w:after="0"/>
    </w:pPr>
    <w:r>
      <w:tab/>
      <w:t xml:space="preserve">Version 7.1  </w:t>
    </w:r>
    <w:r w:rsidR="00E647BA">
      <w:t>10</w:t>
    </w:r>
    <w:r>
      <w:t>/</w:t>
    </w:r>
    <w:r w:rsidR="00E647BA">
      <w:t>30</w:t>
    </w:r>
    <w:r>
      <w:t>/</w:t>
    </w:r>
    <w:r w:rsidR="00E647BA">
      <w:t>2020</w:t>
    </w:r>
    <w:r>
      <w:t xml:space="preserve">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2E92" w14:textId="77777777" w:rsidR="00740F85" w:rsidRDefault="00740F85">
    <w:pPr>
      <w:tabs>
        <w:tab w:val="center" w:pos="1218"/>
        <w:tab w:val="center" w:pos="5035"/>
        <w:tab w:val="center" w:pos="9661"/>
      </w:tabs>
      <w:spacing w:after="0"/>
    </w:pPr>
    <w:r>
      <w:tab/>
      <w:t xml:space="preserve">Version 7.1  9/6/17 </w:t>
    </w:r>
    <w:r>
      <w:tab/>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71C24" w14:textId="77777777" w:rsidR="00740F85" w:rsidRDefault="00740F85">
      <w:pPr>
        <w:spacing w:after="0" w:line="240" w:lineRule="auto"/>
      </w:pPr>
      <w:r>
        <w:separator/>
      </w:r>
    </w:p>
  </w:footnote>
  <w:footnote w:type="continuationSeparator" w:id="0">
    <w:p w14:paraId="427E1406" w14:textId="77777777" w:rsidR="00740F85" w:rsidRDefault="00740F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00ADB"/>
    <w:multiLevelType w:val="hybridMultilevel"/>
    <w:tmpl w:val="43DEEC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565347"/>
    <w:multiLevelType w:val="hybridMultilevel"/>
    <w:tmpl w:val="1860768E"/>
    <w:lvl w:ilvl="0" w:tplc="A0880FDC">
      <w:start w:val="1"/>
      <w:numFmt w:val="bullet"/>
      <w:lvlText w:val="•"/>
      <w:lvlJc w:val="left"/>
      <w:pPr>
        <w:tabs>
          <w:tab w:val="num" w:pos="720"/>
        </w:tabs>
        <w:ind w:left="720" w:hanging="360"/>
      </w:pPr>
      <w:rPr>
        <w:rFonts w:ascii="Arial" w:hAnsi="Arial" w:hint="default"/>
      </w:rPr>
    </w:lvl>
    <w:lvl w:ilvl="1" w:tplc="C00E82EC" w:tentative="1">
      <w:start w:val="1"/>
      <w:numFmt w:val="bullet"/>
      <w:lvlText w:val="•"/>
      <w:lvlJc w:val="left"/>
      <w:pPr>
        <w:tabs>
          <w:tab w:val="num" w:pos="1440"/>
        </w:tabs>
        <w:ind w:left="1440" w:hanging="360"/>
      </w:pPr>
      <w:rPr>
        <w:rFonts w:ascii="Arial" w:hAnsi="Arial" w:hint="default"/>
      </w:rPr>
    </w:lvl>
    <w:lvl w:ilvl="2" w:tplc="35DA6F44" w:tentative="1">
      <w:start w:val="1"/>
      <w:numFmt w:val="bullet"/>
      <w:lvlText w:val="•"/>
      <w:lvlJc w:val="left"/>
      <w:pPr>
        <w:tabs>
          <w:tab w:val="num" w:pos="2160"/>
        </w:tabs>
        <w:ind w:left="2160" w:hanging="360"/>
      </w:pPr>
      <w:rPr>
        <w:rFonts w:ascii="Arial" w:hAnsi="Arial" w:hint="default"/>
      </w:rPr>
    </w:lvl>
    <w:lvl w:ilvl="3" w:tplc="F1C81990" w:tentative="1">
      <w:start w:val="1"/>
      <w:numFmt w:val="bullet"/>
      <w:lvlText w:val="•"/>
      <w:lvlJc w:val="left"/>
      <w:pPr>
        <w:tabs>
          <w:tab w:val="num" w:pos="2880"/>
        </w:tabs>
        <w:ind w:left="2880" w:hanging="360"/>
      </w:pPr>
      <w:rPr>
        <w:rFonts w:ascii="Arial" w:hAnsi="Arial" w:hint="default"/>
      </w:rPr>
    </w:lvl>
    <w:lvl w:ilvl="4" w:tplc="F24CE676" w:tentative="1">
      <w:start w:val="1"/>
      <w:numFmt w:val="bullet"/>
      <w:lvlText w:val="•"/>
      <w:lvlJc w:val="left"/>
      <w:pPr>
        <w:tabs>
          <w:tab w:val="num" w:pos="3600"/>
        </w:tabs>
        <w:ind w:left="3600" w:hanging="360"/>
      </w:pPr>
      <w:rPr>
        <w:rFonts w:ascii="Arial" w:hAnsi="Arial" w:hint="default"/>
      </w:rPr>
    </w:lvl>
    <w:lvl w:ilvl="5" w:tplc="B8D43992" w:tentative="1">
      <w:start w:val="1"/>
      <w:numFmt w:val="bullet"/>
      <w:lvlText w:val="•"/>
      <w:lvlJc w:val="left"/>
      <w:pPr>
        <w:tabs>
          <w:tab w:val="num" w:pos="4320"/>
        </w:tabs>
        <w:ind w:left="4320" w:hanging="360"/>
      </w:pPr>
      <w:rPr>
        <w:rFonts w:ascii="Arial" w:hAnsi="Arial" w:hint="default"/>
      </w:rPr>
    </w:lvl>
    <w:lvl w:ilvl="6" w:tplc="EF4A9C3A" w:tentative="1">
      <w:start w:val="1"/>
      <w:numFmt w:val="bullet"/>
      <w:lvlText w:val="•"/>
      <w:lvlJc w:val="left"/>
      <w:pPr>
        <w:tabs>
          <w:tab w:val="num" w:pos="5040"/>
        </w:tabs>
        <w:ind w:left="5040" w:hanging="360"/>
      </w:pPr>
      <w:rPr>
        <w:rFonts w:ascii="Arial" w:hAnsi="Arial" w:hint="default"/>
      </w:rPr>
    </w:lvl>
    <w:lvl w:ilvl="7" w:tplc="C81A1D38" w:tentative="1">
      <w:start w:val="1"/>
      <w:numFmt w:val="bullet"/>
      <w:lvlText w:val="•"/>
      <w:lvlJc w:val="left"/>
      <w:pPr>
        <w:tabs>
          <w:tab w:val="num" w:pos="5760"/>
        </w:tabs>
        <w:ind w:left="5760" w:hanging="360"/>
      </w:pPr>
      <w:rPr>
        <w:rFonts w:ascii="Arial" w:hAnsi="Arial" w:hint="default"/>
      </w:rPr>
    </w:lvl>
    <w:lvl w:ilvl="8" w:tplc="5B3EC9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06AC2"/>
    <w:multiLevelType w:val="hybridMultilevel"/>
    <w:tmpl w:val="B904625E"/>
    <w:lvl w:ilvl="0" w:tplc="1960C7C0">
      <w:start w:val="1"/>
      <w:numFmt w:val="bullet"/>
      <w:lvlText w:val="•"/>
      <w:lvlJc w:val="left"/>
      <w:pPr>
        <w:tabs>
          <w:tab w:val="num" w:pos="720"/>
        </w:tabs>
        <w:ind w:left="720" w:hanging="360"/>
      </w:pPr>
      <w:rPr>
        <w:rFonts w:ascii="Arial" w:hAnsi="Arial" w:hint="default"/>
      </w:rPr>
    </w:lvl>
    <w:lvl w:ilvl="1" w:tplc="8990FD00" w:tentative="1">
      <w:start w:val="1"/>
      <w:numFmt w:val="bullet"/>
      <w:lvlText w:val="•"/>
      <w:lvlJc w:val="left"/>
      <w:pPr>
        <w:tabs>
          <w:tab w:val="num" w:pos="1440"/>
        </w:tabs>
        <w:ind w:left="1440" w:hanging="360"/>
      </w:pPr>
      <w:rPr>
        <w:rFonts w:ascii="Arial" w:hAnsi="Arial" w:hint="default"/>
      </w:rPr>
    </w:lvl>
    <w:lvl w:ilvl="2" w:tplc="887A262E" w:tentative="1">
      <w:start w:val="1"/>
      <w:numFmt w:val="bullet"/>
      <w:lvlText w:val="•"/>
      <w:lvlJc w:val="left"/>
      <w:pPr>
        <w:tabs>
          <w:tab w:val="num" w:pos="2160"/>
        </w:tabs>
        <w:ind w:left="2160" w:hanging="360"/>
      </w:pPr>
      <w:rPr>
        <w:rFonts w:ascii="Arial" w:hAnsi="Arial" w:hint="default"/>
      </w:rPr>
    </w:lvl>
    <w:lvl w:ilvl="3" w:tplc="F8765630" w:tentative="1">
      <w:start w:val="1"/>
      <w:numFmt w:val="bullet"/>
      <w:lvlText w:val="•"/>
      <w:lvlJc w:val="left"/>
      <w:pPr>
        <w:tabs>
          <w:tab w:val="num" w:pos="2880"/>
        </w:tabs>
        <w:ind w:left="2880" w:hanging="360"/>
      </w:pPr>
      <w:rPr>
        <w:rFonts w:ascii="Arial" w:hAnsi="Arial" w:hint="default"/>
      </w:rPr>
    </w:lvl>
    <w:lvl w:ilvl="4" w:tplc="E3D64C66" w:tentative="1">
      <w:start w:val="1"/>
      <w:numFmt w:val="bullet"/>
      <w:lvlText w:val="•"/>
      <w:lvlJc w:val="left"/>
      <w:pPr>
        <w:tabs>
          <w:tab w:val="num" w:pos="3600"/>
        </w:tabs>
        <w:ind w:left="3600" w:hanging="360"/>
      </w:pPr>
      <w:rPr>
        <w:rFonts w:ascii="Arial" w:hAnsi="Arial" w:hint="default"/>
      </w:rPr>
    </w:lvl>
    <w:lvl w:ilvl="5" w:tplc="356240B0" w:tentative="1">
      <w:start w:val="1"/>
      <w:numFmt w:val="bullet"/>
      <w:lvlText w:val="•"/>
      <w:lvlJc w:val="left"/>
      <w:pPr>
        <w:tabs>
          <w:tab w:val="num" w:pos="4320"/>
        </w:tabs>
        <w:ind w:left="4320" w:hanging="360"/>
      </w:pPr>
      <w:rPr>
        <w:rFonts w:ascii="Arial" w:hAnsi="Arial" w:hint="default"/>
      </w:rPr>
    </w:lvl>
    <w:lvl w:ilvl="6" w:tplc="04FECF2C" w:tentative="1">
      <w:start w:val="1"/>
      <w:numFmt w:val="bullet"/>
      <w:lvlText w:val="•"/>
      <w:lvlJc w:val="left"/>
      <w:pPr>
        <w:tabs>
          <w:tab w:val="num" w:pos="5040"/>
        </w:tabs>
        <w:ind w:left="5040" w:hanging="360"/>
      </w:pPr>
      <w:rPr>
        <w:rFonts w:ascii="Arial" w:hAnsi="Arial" w:hint="default"/>
      </w:rPr>
    </w:lvl>
    <w:lvl w:ilvl="7" w:tplc="6D7EE68A" w:tentative="1">
      <w:start w:val="1"/>
      <w:numFmt w:val="bullet"/>
      <w:lvlText w:val="•"/>
      <w:lvlJc w:val="left"/>
      <w:pPr>
        <w:tabs>
          <w:tab w:val="num" w:pos="5760"/>
        </w:tabs>
        <w:ind w:left="5760" w:hanging="360"/>
      </w:pPr>
      <w:rPr>
        <w:rFonts w:ascii="Arial" w:hAnsi="Arial" w:hint="default"/>
      </w:rPr>
    </w:lvl>
    <w:lvl w:ilvl="8" w:tplc="FEF6AC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F7E13"/>
    <w:multiLevelType w:val="hybridMultilevel"/>
    <w:tmpl w:val="D488E9C8"/>
    <w:lvl w:ilvl="0" w:tplc="549A2B70">
      <w:start w:val="1"/>
      <w:numFmt w:val="bullet"/>
      <w:lvlText w:val="•"/>
      <w:lvlJc w:val="left"/>
      <w:pPr>
        <w:tabs>
          <w:tab w:val="num" w:pos="720"/>
        </w:tabs>
        <w:ind w:left="720" w:hanging="360"/>
      </w:pPr>
      <w:rPr>
        <w:rFonts w:ascii="Arial" w:hAnsi="Arial" w:hint="default"/>
      </w:rPr>
    </w:lvl>
    <w:lvl w:ilvl="1" w:tplc="B2AAD43A">
      <w:start w:val="2039"/>
      <w:numFmt w:val="bullet"/>
      <w:lvlText w:val="−"/>
      <w:lvlJc w:val="left"/>
      <w:pPr>
        <w:tabs>
          <w:tab w:val="num" w:pos="1440"/>
        </w:tabs>
        <w:ind w:left="1440" w:hanging="360"/>
      </w:pPr>
      <w:rPr>
        <w:rFonts w:ascii="Arial" w:hAnsi="Arial" w:hint="default"/>
      </w:rPr>
    </w:lvl>
    <w:lvl w:ilvl="2" w:tplc="67E095A8" w:tentative="1">
      <w:start w:val="1"/>
      <w:numFmt w:val="bullet"/>
      <w:lvlText w:val="•"/>
      <w:lvlJc w:val="left"/>
      <w:pPr>
        <w:tabs>
          <w:tab w:val="num" w:pos="2160"/>
        </w:tabs>
        <w:ind w:left="2160" w:hanging="360"/>
      </w:pPr>
      <w:rPr>
        <w:rFonts w:ascii="Arial" w:hAnsi="Arial" w:hint="default"/>
      </w:rPr>
    </w:lvl>
    <w:lvl w:ilvl="3" w:tplc="F10601B6" w:tentative="1">
      <w:start w:val="1"/>
      <w:numFmt w:val="bullet"/>
      <w:lvlText w:val="•"/>
      <w:lvlJc w:val="left"/>
      <w:pPr>
        <w:tabs>
          <w:tab w:val="num" w:pos="2880"/>
        </w:tabs>
        <w:ind w:left="2880" w:hanging="360"/>
      </w:pPr>
      <w:rPr>
        <w:rFonts w:ascii="Arial" w:hAnsi="Arial" w:hint="default"/>
      </w:rPr>
    </w:lvl>
    <w:lvl w:ilvl="4" w:tplc="189213F4" w:tentative="1">
      <w:start w:val="1"/>
      <w:numFmt w:val="bullet"/>
      <w:lvlText w:val="•"/>
      <w:lvlJc w:val="left"/>
      <w:pPr>
        <w:tabs>
          <w:tab w:val="num" w:pos="3600"/>
        </w:tabs>
        <w:ind w:left="3600" w:hanging="360"/>
      </w:pPr>
      <w:rPr>
        <w:rFonts w:ascii="Arial" w:hAnsi="Arial" w:hint="default"/>
      </w:rPr>
    </w:lvl>
    <w:lvl w:ilvl="5" w:tplc="E4E24638" w:tentative="1">
      <w:start w:val="1"/>
      <w:numFmt w:val="bullet"/>
      <w:lvlText w:val="•"/>
      <w:lvlJc w:val="left"/>
      <w:pPr>
        <w:tabs>
          <w:tab w:val="num" w:pos="4320"/>
        </w:tabs>
        <w:ind w:left="4320" w:hanging="360"/>
      </w:pPr>
      <w:rPr>
        <w:rFonts w:ascii="Arial" w:hAnsi="Arial" w:hint="default"/>
      </w:rPr>
    </w:lvl>
    <w:lvl w:ilvl="6" w:tplc="6738554A" w:tentative="1">
      <w:start w:val="1"/>
      <w:numFmt w:val="bullet"/>
      <w:lvlText w:val="•"/>
      <w:lvlJc w:val="left"/>
      <w:pPr>
        <w:tabs>
          <w:tab w:val="num" w:pos="5040"/>
        </w:tabs>
        <w:ind w:left="5040" w:hanging="360"/>
      </w:pPr>
      <w:rPr>
        <w:rFonts w:ascii="Arial" w:hAnsi="Arial" w:hint="default"/>
      </w:rPr>
    </w:lvl>
    <w:lvl w:ilvl="7" w:tplc="8F38D0D2" w:tentative="1">
      <w:start w:val="1"/>
      <w:numFmt w:val="bullet"/>
      <w:lvlText w:val="•"/>
      <w:lvlJc w:val="left"/>
      <w:pPr>
        <w:tabs>
          <w:tab w:val="num" w:pos="5760"/>
        </w:tabs>
        <w:ind w:left="5760" w:hanging="360"/>
      </w:pPr>
      <w:rPr>
        <w:rFonts w:ascii="Arial" w:hAnsi="Arial" w:hint="default"/>
      </w:rPr>
    </w:lvl>
    <w:lvl w:ilvl="8" w:tplc="B9DC9A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9A3961"/>
    <w:multiLevelType w:val="hybridMultilevel"/>
    <w:tmpl w:val="9F12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3F1D2F"/>
    <w:multiLevelType w:val="hybridMultilevel"/>
    <w:tmpl w:val="8BE0A78A"/>
    <w:lvl w:ilvl="0" w:tplc="C764D2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47FA"/>
    <w:multiLevelType w:val="hybridMultilevel"/>
    <w:tmpl w:val="229C180C"/>
    <w:lvl w:ilvl="0" w:tplc="0C7C5C04">
      <w:start w:val="1"/>
      <w:numFmt w:val="bullet"/>
      <w:lvlText w:val="•"/>
      <w:lvlJc w:val="left"/>
      <w:pPr>
        <w:tabs>
          <w:tab w:val="num" w:pos="720"/>
        </w:tabs>
        <w:ind w:left="720" w:hanging="360"/>
      </w:pPr>
      <w:rPr>
        <w:rFonts w:ascii="Arial" w:hAnsi="Arial" w:hint="default"/>
      </w:rPr>
    </w:lvl>
    <w:lvl w:ilvl="1" w:tplc="A11AD378" w:tentative="1">
      <w:start w:val="1"/>
      <w:numFmt w:val="bullet"/>
      <w:lvlText w:val="•"/>
      <w:lvlJc w:val="left"/>
      <w:pPr>
        <w:tabs>
          <w:tab w:val="num" w:pos="1440"/>
        </w:tabs>
        <w:ind w:left="1440" w:hanging="360"/>
      </w:pPr>
      <w:rPr>
        <w:rFonts w:ascii="Arial" w:hAnsi="Arial" w:hint="default"/>
      </w:rPr>
    </w:lvl>
    <w:lvl w:ilvl="2" w:tplc="5934B70E" w:tentative="1">
      <w:start w:val="1"/>
      <w:numFmt w:val="bullet"/>
      <w:lvlText w:val="•"/>
      <w:lvlJc w:val="left"/>
      <w:pPr>
        <w:tabs>
          <w:tab w:val="num" w:pos="2160"/>
        </w:tabs>
        <w:ind w:left="2160" w:hanging="360"/>
      </w:pPr>
      <w:rPr>
        <w:rFonts w:ascii="Arial" w:hAnsi="Arial" w:hint="default"/>
      </w:rPr>
    </w:lvl>
    <w:lvl w:ilvl="3" w:tplc="22FA34EC" w:tentative="1">
      <w:start w:val="1"/>
      <w:numFmt w:val="bullet"/>
      <w:lvlText w:val="•"/>
      <w:lvlJc w:val="left"/>
      <w:pPr>
        <w:tabs>
          <w:tab w:val="num" w:pos="2880"/>
        </w:tabs>
        <w:ind w:left="2880" w:hanging="360"/>
      </w:pPr>
      <w:rPr>
        <w:rFonts w:ascii="Arial" w:hAnsi="Arial" w:hint="default"/>
      </w:rPr>
    </w:lvl>
    <w:lvl w:ilvl="4" w:tplc="C5CA8ECE" w:tentative="1">
      <w:start w:val="1"/>
      <w:numFmt w:val="bullet"/>
      <w:lvlText w:val="•"/>
      <w:lvlJc w:val="left"/>
      <w:pPr>
        <w:tabs>
          <w:tab w:val="num" w:pos="3600"/>
        </w:tabs>
        <w:ind w:left="3600" w:hanging="360"/>
      </w:pPr>
      <w:rPr>
        <w:rFonts w:ascii="Arial" w:hAnsi="Arial" w:hint="default"/>
      </w:rPr>
    </w:lvl>
    <w:lvl w:ilvl="5" w:tplc="EA38F1B4" w:tentative="1">
      <w:start w:val="1"/>
      <w:numFmt w:val="bullet"/>
      <w:lvlText w:val="•"/>
      <w:lvlJc w:val="left"/>
      <w:pPr>
        <w:tabs>
          <w:tab w:val="num" w:pos="4320"/>
        </w:tabs>
        <w:ind w:left="4320" w:hanging="360"/>
      </w:pPr>
      <w:rPr>
        <w:rFonts w:ascii="Arial" w:hAnsi="Arial" w:hint="default"/>
      </w:rPr>
    </w:lvl>
    <w:lvl w:ilvl="6" w:tplc="09D0AD54" w:tentative="1">
      <w:start w:val="1"/>
      <w:numFmt w:val="bullet"/>
      <w:lvlText w:val="•"/>
      <w:lvlJc w:val="left"/>
      <w:pPr>
        <w:tabs>
          <w:tab w:val="num" w:pos="5040"/>
        </w:tabs>
        <w:ind w:left="5040" w:hanging="360"/>
      </w:pPr>
      <w:rPr>
        <w:rFonts w:ascii="Arial" w:hAnsi="Arial" w:hint="default"/>
      </w:rPr>
    </w:lvl>
    <w:lvl w:ilvl="7" w:tplc="E208CE2A" w:tentative="1">
      <w:start w:val="1"/>
      <w:numFmt w:val="bullet"/>
      <w:lvlText w:val="•"/>
      <w:lvlJc w:val="left"/>
      <w:pPr>
        <w:tabs>
          <w:tab w:val="num" w:pos="5760"/>
        </w:tabs>
        <w:ind w:left="5760" w:hanging="360"/>
      </w:pPr>
      <w:rPr>
        <w:rFonts w:ascii="Arial" w:hAnsi="Arial" w:hint="default"/>
      </w:rPr>
    </w:lvl>
    <w:lvl w:ilvl="8" w:tplc="C4B4A3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024D3F"/>
    <w:multiLevelType w:val="hybridMultilevel"/>
    <w:tmpl w:val="DD4E9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D54AE"/>
    <w:multiLevelType w:val="hybridMultilevel"/>
    <w:tmpl w:val="E1029560"/>
    <w:lvl w:ilvl="0" w:tplc="0AD61B5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D81988">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8541970">
      <w:start w:val="1"/>
      <w:numFmt w:val="bullet"/>
      <w:lvlText w:val="▪"/>
      <w:lvlJc w:val="left"/>
      <w:pPr>
        <w:ind w:left="16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4A472EA">
      <w:start w:val="1"/>
      <w:numFmt w:val="bullet"/>
      <w:lvlText w:val="•"/>
      <w:lvlJc w:val="left"/>
      <w:pPr>
        <w:ind w:left="23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E0A84DEE">
      <w:start w:val="1"/>
      <w:numFmt w:val="bullet"/>
      <w:lvlText w:val="o"/>
      <w:lvlJc w:val="left"/>
      <w:pPr>
        <w:ind w:left="30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2CA62C3A">
      <w:start w:val="1"/>
      <w:numFmt w:val="bullet"/>
      <w:lvlText w:val="▪"/>
      <w:lvlJc w:val="left"/>
      <w:pPr>
        <w:ind w:left="37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F0A428C">
      <w:start w:val="1"/>
      <w:numFmt w:val="bullet"/>
      <w:lvlText w:val="•"/>
      <w:lvlJc w:val="left"/>
      <w:pPr>
        <w:ind w:left="45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9BE3E86">
      <w:start w:val="1"/>
      <w:numFmt w:val="bullet"/>
      <w:lvlText w:val="o"/>
      <w:lvlJc w:val="left"/>
      <w:pPr>
        <w:ind w:left="52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6C6FAAE">
      <w:start w:val="1"/>
      <w:numFmt w:val="bullet"/>
      <w:lvlText w:val="▪"/>
      <w:lvlJc w:val="left"/>
      <w:pPr>
        <w:ind w:left="59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62F48FC"/>
    <w:multiLevelType w:val="hybridMultilevel"/>
    <w:tmpl w:val="794A9940"/>
    <w:lvl w:ilvl="0" w:tplc="B140818C">
      <w:start w:val="1"/>
      <w:numFmt w:val="bullet"/>
      <w:lvlText w:val="•"/>
      <w:lvlJc w:val="left"/>
      <w:pPr>
        <w:tabs>
          <w:tab w:val="num" w:pos="720"/>
        </w:tabs>
        <w:ind w:left="720" w:hanging="360"/>
      </w:pPr>
      <w:rPr>
        <w:rFonts w:ascii="Arial" w:hAnsi="Arial" w:hint="default"/>
      </w:rPr>
    </w:lvl>
    <w:lvl w:ilvl="1" w:tplc="7E529586" w:tentative="1">
      <w:start w:val="1"/>
      <w:numFmt w:val="bullet"/>
      <w:lvlText w:val="•"/>
      <w:lvlJc w:val="left"/>
      <w:pPr>
        <w:tabs>
          <w:tab w:val="num" w:pos="1440"/>
        </w:tabs>
        <w:ind w:left="1440" w:hanging="360"/>
      </w:pPr>
      <w:rPr>
        <w:rFonts w:ascii="Arial" w:hAnsi="Arial" w:hint="default"/>
      </w:rPr>
    </w:lvl>
    <w:lvl w:ilvl="2" w:tplc="D0062BD2" w:tentative="1">
      <w:start w:val="1"/>
      <w:numFmt w:val="bullet"/>
      <w:lvlText w:val="•"/>
      <w:lvlJc w:val="left"/>
      <w:pPr>
        <w:tabs>
          <w:tab w:val="num" w:pos="2160"/>
        </w:tabs>
        <w:ind w:left="2160" w:hanging="360"/>
      </w:pPr>
      <w:rPr>
        <w:rFonts w:ascii="Arial" w:hAnsi="Arial" w:hint="default"/>
      </w:rPr>
    </w:lvl>
    <w:lvl w:ilvl="3" w:tplc="99F019EC" w:tentative="1">
      <w:start w:val="1"/>
      <w:numFmt w:val="bullet"/>
      <w:lvlText w:val="•"/>
      <w:lvlJc w:val="left"/>
      <w:pPr>
        <w:tabs>
          <w:tab w:val="num" w:pos="2880"/>
        </w:tabs>
        <w:ind w:left="2880" w:hanging="360"/>
      </w:pPr>
      <w:rPr>
        <w:rFonts w:ascii="Arial" w:hAnsi="Arial" w:hint="default"/>
      </w:rPr>
    </w:lvl>
    <w:lvl w:ilvl="4" w:tplc="D60C0BBE" w:tentative="1">
      <w:start w:val="1"/>
      <w:numFmt w:val="bullet"/>
      <w:lvlText w:val="•"/>
      <w:lvlJc w:val="left"/>
      <w:pPr>
        <w:tabs>
          <w:tab w:val="num" w:pos="3600"/>
        </w:tabs>
        <w:ind w:left="3600" w:hanging="360"/>
      </w:pPr>
      <w:rPr>
        <w:rFonts w:ascii="Arial" w:hAnsi="Arial" w:hint="default"/>
      </w:rPr>
    </w:lvl>
    <w:lvl w:ilvl="5" w:tplc="DAF46EC4" w:tentative="1">
      <w:start w:val="1"/>
      <w:numFmt w:val="bullet"/>
      <w:lvlText w:val="•"/>
      <w:lvlJc w:val="left"/>
      <w:pPr>
        <w:tabs>
          <w:tab w:val="num" w:pos="4320"/>
        </w:tabs>
        <w:ind w:left="4320" w:hanging="360"/>
      </w:pPr>
      <w:rPr>
        <w:rFonts w:ascii="Arial" w:hAnsi="Arial" w:hint="default"/>
      </w:rPr>
    </w:lvl>
    <w:lvl w:ilvl="6" w:tplc="D3ECC08C" w:tentative="1">
      <w:start w:val="1"/>
      <w:numFmt w:val="bullet"/>
      <w:lvlText w:val="•"/>
      <w:lvlJc w:val="left"/>
      <w:pPr>
        <w:tabs>
          <w:tab w:val="num" w:pos="5040"/>
        </w:tabs>
        <w:ind w:left="5040" w:hanging="360"/>
      </w:pPr>
      <w:rPr>
        <w:rFonts w:ascii="Arial" w:hAnsi="Arial" w:hint="default"/>
      </w:rPr>
    </w:lvl>
    <w:lvl w:ilvl="7" w:tplc="3C061956" w:tentative="1">
      <w:start w:val="1"/>
      <w:numFmt w:val="bullet"/>
      <w:lvlText w:val="•"/>
      <w:lvlJc w:val="left"/>
      <w:pPr>
        <w:tabs>
          <w:tab w:val="num" w:pos="5760"/>
        </w:tabs>
        <w:ind w:left="5760" w:hanging="360"/>
      </w:pPr>
      <w:rPr>
        <w:rFonts w:ascii="Arial" w:hAnsi="Arial" w:hint="default"/>
      </w:rPr>
    </w:lvl>
    <w:lvl w:ilvl="8" w:tplc="4CBEAD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1029CE"/>
    <w:multiLevelType w:val="hybridMultilevel"/>
    <w:tmpl w:val="EBD02EE0"/>
    <w:lvl w:ilvl="0" w:tplc="A164F77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B22B5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128E9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480F1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E0EE9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A6C9A9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504C94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247D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E84F4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D754310"/>
    <w:multiLevelType w:val="hybridMultilevel"/>
    <w:tmpl w:val="36081966"/>
    <w:lvl w:ilvl="0" w:tplc="C20A6FFE">
      <w:start w:val="1"/>
      <w:numFmt w:val="bullet"/>
      <w:pStyle w:val="BulletLastS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47F53A4"/>
    <w:multiLevelType w:val="hybridMultilevel"/>
    <w:tmpl w:val="03F4FDA4"/>
    <w:lvl w:ilvl="0" w:tplc="1FA6703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78EBB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46DBB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C2D2B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3C24C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00E8E1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4700242">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CC89B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D6DB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6956385"/>
    <w:multiLevelType w:val="hybridMultilevel"/>
    <w:tmpl w:val="4EEE6908"/>
    <w:lvl w:ilvl="0" w:tplc="ED28BA62">
      <w:start w:val="3"/>
      <w:numFmt w:val="decimal"/>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D916B29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68DC1E7E">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2D7AFEA2">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5BB6C720">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6847FD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6746801E">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DD46A5C">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CA76C484">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74B15A4"/>
    <w:multiLevelType w:val="hybridMultilevel"/>
    <w:tmpl w:val="C6C87E68"/>
    <w:lvl w:ilvl="0" w:tplc="C9F2E95A">
      <w:start w:val="1"/>
      <w:numFmt w:val="bullet"/>
      <w:lvlText w:val="•"/>
      <w:lvlJc w:val="left"/>
      <w:pPr>
        <w:tabs>
          <w:tab w:val="num" w:pos="720"/>
        </w:tabs>
        <w:ind w:left="720" w:hanging="360"/>
      </w:pPr>
      <w:rPr>
        <w:rFonts w:ascii="Arial" w:hAnsi="Arial" w:hint="default"/>
      </w:rPr>
    </w:lvl>
    <w:lvl w:ilvl="1" w:tplc="BF9E806C" w:tentative="1">
      <w:start w:val="1"/>
      <w:numFmt w:val="bullet"/>
      <w:lvlText w:val="•"/>
      <w:lvlJc w:val="left"/>
      <w:pPr>
        <w:tabs>
          <w:tab w:val="num" w:pos="1440"/>
        </w:tabs>
        <w:ind w:left="1440" w:hanging="360"/>
      </w:pPr>
      <w:rPr>
        <w:rFonts w:ascii="Arial" w:hAnsi="Arial" w:hint="default"/>
      </w:rPr>
    </w:lvl>
    <w:lvl w:ilvl="2" w:tplc="40184B92" w:tentative="1">
      <w:start w:val="1"/>
      <w:numFmt w:val="bullet"/>
      <w:lvlText w:val="•"/>
      <w:lvlJc w:val="left"/>
      <w:pPr>
        <w:tabs>
          <w:tab w:val="num" w:pos="2160"/>
        </w:tabs>
        <w:ind w:left="2160" w:hanging="360"/>
      </w:pPr>
      <w:rPr>
        <w:rFonts w:ascii="Arial" w:hAnsi="Arial" w:hint="default"/>
      </w:rPr>
    </w:lvl>
    <w:lvl w:ilvl="3" w:tplc="8E6A223E" w:tentative="1">
      <w:start w:val="1"/>
      <w:numFmt w:val="bullet"/>
      <w:lvlText w:val="•"/>
      <w:lvlJc w:val="left"/>
      <w:pPr>
        <w:tabs>
          <w:tab w:val="num" w:pos="2880"/>
        </w:tabs>
        <w:ind w:left="2880" w:hanging="360"/>
      </w:pPr>
      <w:rPr>
        <w:rFonts w:ascii="Arial" w:hAnsi="Arial" w:hint="default"/>
      </w:rPr>
    </w:lvl>
    <w:lvl w:ilvl="4" w:tplc="17687692" w:tentative="1">
      <w:start w:val="1"/>
      <w:numFmt w:val="bullet"/>
      <w:lvlText w:val="•"/>
      <w:lvlJc w:val="left"/>
      <w:pPr>
        <w:tabs>
          <w:tab w:val="num" w:pos="3600"/>
        </w:tabs>
        <w:ind w:left="3600" w:hanging="360"/>
      </w:pPr>
      <w:rPr>
        <w:rFonts w:ascii="Arial" w:hAnsi="Arial" w:hint="default"/>
      </w:rPr>
    </w:lvl>
    <w:lvl w:ilvl="5" w:tplc="648001E8" w:tentative="1">
      <w:start w:val="1"/>
      <w:numFmt w:val="bullet"/>
      <w:lvlText w:val="•"/>
      <w:lvlJc w:val="left"/>
      <w:pPr>
        <w:tabs>
          <w:tab w:val="num" w:pos="4320"/>
        </w:tabs>
        <w:ind w:left="4320" w:hanging="360"/>
      </w:pPr>
      <w:rPr>
        <w:rFonts w:ascii="Arial" w:hAnsi="Arial" w:hint="default"/>
      </w:rPr>
    </w:lvl>
    <w:lvl w:ilvl="6" w:tplc="6AAE117C" w:tentative="1">
      <w:start w:val="1"/>
      <w:numFmt w:val="bullet"/>
      <w:lvlText w:val="•"/>
      <w:lvlJc w:val="left"/>
      <w:pPr>
        <w:tabs>
          <w:tab w:val="num" w:pos="5040"/>
        </w:tabs>
        <w:ind w:left="5040" w:hanging="360"/>
      </w:pPr>
      <w:rPr>
        <w:rFonts w:ascii="Arial" w:hAnsi="Arial" w:hint="default"/>
      </w:rPr>
    </w:lvl>
    <w:lvl w:ilvl="7" w:tplc="078E4F5C" w:tentative="1">
      <w:start w:val="1"/>
      <w:numFmt w:val="bullet"/>
      <w:lvlText w:val="•"/>
      <w:lvlJc w:val="left"/>
      <w:pPr>
        <w:tabs>
          <w:tab w:val="num" w:pos="5760"/>
        </w:tabs>
        <w:ind w:left="5760" w:hanging="360"/>
      </w:pPr>
      <w:rPr>
        <w:rFonts w:ascii="Arial" w:hAnsi="Arial" w:hint="default"/>
      </w:rPr>
    </w:lvl>
    <w:lvl w:ilvl="8" w:tplc="EFB8F7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7A7916"/>
    <w:multiLevelType w:val="hybridMultilevel"/>
    <w:tmpl w:val="49DE3474"/>
    <w:lvl w:ilvl="0" w:tplc="C764D26A">
      <w:start w:val="1"/>
      <w:numFmt w:val="bullet"/>
      <w:lvlText w:val="•"/>
      <w:lvlJc w:val="left"/>
      <w:pPr>
        <w:tabs>
          <w:tab w:val="num" w:pos="720"/>
        </w:tabs>
        <w:ind w:left="720" w:hanging="360"/>
      </w:pPr>
      <w:rPr>
        <w:rFonts w:ascii="Arial" w:hAnsi="Arial" w:hint="default"/>
      </w:rPr>
    </w:lvl>
    <w:lvl w:ilvl="1" w:tplc="E718407E" w:tentative="1">
      <w:start w:val="1"/>
      <w:numFmt w:val="bullet"/>
      <w:lvlText w:val="•"/>
      <w:lvlJc w:val="left"/>
      <w:pPr>
        <w:tabs>
          <w:tab w:val="num" w:pos="1440"/>
        </w:tabs>
        <w:ind w:left="1440" w:hanging="360"/>
      </w:pPr>
      <w:rPr>
        <w:rFonts w:ascii="Arial" w:hAnsi="Arial" w:hint="default"/>
      </w:rPr>
    </w:lvl>
    <w:lvl w:ilvl="2" w:tplc="6D56E5F8" w:tentative="1">
      <w:start w:val="1"/>
      <w:numFmt w:val="bullet"/>
      <w:lvlText w:val="•"/>
      <w:lvlJc w:val="left"/>
      <w:pPr>
        <w:tabs>
          <w:tab w:val="num" w:pos="2160"/>
        </w:tabs>
        <w:ind w:left="2160" w:hanging="360"/>
      </w:pPr>
      <w:rPr>
        <w:rFonts w:ascii="Arial" w:hAnsi="Arial" w:hint="default"/>
      </w:rPr>
    </w:lvl>
    <w:lvl w:ilvl="3" w:tplc="225EC0B8" w:tentative="1">
      <w:start w:val="1"/>
      <w:numFmt w:val="bullet"/>
      <w:lvlText w:val="•"/>
      <w:lvlJc w:val="left"/>
      <w:pPr>
        <w:tabs>
          <w:tab w:val="num" w:pos="2880"/>
        </w:tabs>
        <w:ind w:left="2880" w:hanging="360"/>
      </w:pPr>
      <w:rPr>
        <w:rFonts w:ascii="Arial" w:hAnsi="Arial" w:hint="default"/>
      </w:rPr>
    </w:lvl>
    <w:lvl w:ilvl="4" w:tplc="DB3C167C" w:tentative="1">
      <w:start w:val="1"/>
      <w:numFmt w:val="bullet"/>
      <w:lvlText w:val="•"/>
      <w:lvlJc w:val="left"/>
      <w:pPr>
        <w:tabs>
          <w:tab w:val="num" w:pos="3600"/>
        </w:tabs>
        <w:ind w:left="3600" w:hanging="360"/>
      </w:pPr>
      <w:rPr>
        <w:rFonts w:ascii="Arial" w:hAnsi="Arial" w:hint="default"/>
      </w:rPr>
    </w:lvl>
    <w:lvl w:ilvl="5" w:tplc="EB941C38" w:tentative="1">
      <w:start w:val="1"/>
      <w:numFmt w:val="bullet"/>
      <w:lvlText w:val="•"/>
      <w:lvlJc w:val="left"/>
      <w:pPr>
        <w:tabs>
          <w:tab w:val="num" w:pos="4320"/>
        </w:tabs>
        <w:ind w:left="4320" w:hanging="360"/>
      </w:pPr>
      <w:rPr>
        <w:rFonts w:ascii="Arial" w:hAnsi="Arial" w:hint="default"/>
      </w:rPr>
    </w:lvl>
    <w:lvl w:ilvl="6" w:tplc="E47880BE" w:tentative="1">
      <w:start w:val="1"/>
      <w:numFmt w:val="bullet"/>
      <w:lvlText w:val="•"/>
      <w:lvlJc w:val="left"/>
      <w:pPr>
        <w:tabs>
          <w:tab w:val="num" w:pos="5040"/>
        </w:tabs>
        <w:ind w:left="5040" w:hanging="360"/>
      </w:pPr>
      <w:rPr>
        <w:rFonts w:ascii="Arial" w:hAnsi="Arial" w:hint="default"/>
      </w:rPr>
    </w:lvl>
    <w:lvl w:ilvl="7" w:tplc="6FEE9B6A" w:tentative="1">
      <w:start w:val="1"/>
      <w:numFmt w:val="bullet"/>
      <w:lvlText w:val="•"/>
      <w:lvlJc w:val="left"/>
      <w:pPr>
        <w:tabs>
          <w:tab w:val="num" w:pos="5760"/>
        </w:tabs>
        <w:ind w:left="5760" w:hanging="360"/>
      </w:pPr>
      <w:rPr>
        <w:rFonts w:ascii="Arial" w:hAnsi="Arial" w:hint="default"/>
      </w:rPr>
    </w:lvl>
    <w:lvl w:ilvl="8" w:tplc="AC4E9E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5861F6"/>
    <w:multiLevelType w:val="hybridMultilevel"/>
    <w:tmpl w:val="DFC08D6E"/>
    <w:lvl w:ilvl="0" w:tplc="5EF0BA3A">
      <w:start w:val="1"/>
      <w:numFmt w:val="bullet"/>
      <w:lvlText w:val="•"/>
      <w:lvlJc w:val="left"/>
      <w:pPr>
        <w:ind w:left="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BC9C1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12F6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482C70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EE8B4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48EF7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46CA02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A4EC7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62B96A">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645148"/>
    <w:multiLevelType w:val="hybridMultilevel"/>
    <w:tmpl w:val="F74CA3AC"/>
    <w:lvl w:ilvl="0" w:tplc="9D3CA49A">
      <w:start w:val="1"/>
      <w:numFmt w:val="bullet"/>
      <w:lvlText w:val="•"/>
      <w:lvlJc w:val="left"/>
      <w:pPr>
        <w:tabs>
          <w:tab w:val="num" w:pos="720"/>
        </w:tabs>
        <w:ind w:left="720" w:hanging="360"/>
      </w:pPr>
      <w:rPr>
        <w:rFonts w:ascii="Arial" w:hAnsi="Arial" w:hint="default"/>
      </w:rPr>
    </w:lvl>
    <w:lvl w:ilvl="1" w:tplc="22BAC298" w:tentative="1">
      <w:start w:val="1"/>
      <w:numFmt w:val="bullet"/>
      <w:lvlText w:val="•"/>
      <w:lvlJc w:val="left"/>
      <w:pPr>
        <w:tabs>
          <w:tab w:val="num" w:pos="1440"/>
        </w:tabs>
        <w:ind w:left="1440" w:hanging="360"/>
      </w:pPr>
      <w:rPr>
        <w:rFonts w:ascii="Arial" w:hAnsi="Arial" w:hint="default"/>
      </w:rPr>
    </w:lvl>
    <w:lvl w:ilvl="2" w:tplc="EC1E0276" w:tentative="1">
      <w:start w:val="1"/>
      <w:numFmt w:val="bullet"/>
      <w:lvlText w:val="•"/>
      <w:lvlJc w:val="left"/>
      <w:pPr>
        <w:tabs>
          <w:tab w:val="num" w:pos="2160"/>
        </w:tabs>
        <w:ind w:left="2160" w:hanging="360"/>
      </w:pPr>
      <w:rPr>
        <w:rFonts w:ascii="Arial" w:hAnsi="Arial" w:hint="default"/>
      </w:rPr>
    </w:lvl>
    <w:lvl w:ilvl="3" w:tplc="C24EA46A" w:tentative="1">
      <w:start w:val="1"/>
      <w:numFmt w:val="bullet"/>
      <w:lvlText w:val="•"/>
      <w:lvlJc w:val="left"/>
      <w:pPr>
        <w:tabs>
          <w:tab w:val="num" w:pos="2880"/>
        </w:tabs>
        <w:ind w:left="2880" w:hanging="360"/>
      </w:pPr>
      <w:rPr>
        <w:rFonts w:ascii="Arial" w:hAnsi="Arial" w:hint="default"/>
      </w:rPr>
    </w:lvl>
    <w:lvl w:ilvl="4" w:tplc="F22C1E50" w:tentative="1">
      <w:start w:val="1"/>
      <w:numFmt w:val="bullet"/>
      <w:lvlText w:val="•"/>
      <w:lvlJc w:val="left"/>
      <w:pPr>
        <w:tabs>
          <w:tab w:val="num" w:pos="3600"/>
        </w:tabs>
        <w:ind w:left="3600" w:hanging="360"/>
      </w:pPr>
      <w:rPr>
        <w:rFonts w:ascii="Arial" w:hAnsi="Arial" w:hint="default"/>
      </w:rPr>
    </w:lvl>
    <w:lvl w:ilvl="5" w:tplc="26A87702" w:tentative="1">
      <w:start w:val="1"/>
      <w:numFmt w:val="bullet"/>
      <w:lvlText w:val="•"/>
      <w:lvlJc w:val="left"/>
      <w:pPr>
        <w:tabs>
          <w:tab w:val="num" w:pos="4320"/>
        </w:tabs>
        <w:ind w:left="4320" w:hanging="360"/>
      </w:pPr>
      <w:rPr>
        <w:rFonts w:ascii="Arial" w:hAnsi="Arial" w:hint="default"/>
      </w:rPr>
    </w:lvl>
    <w:lvl w:ilvl="6" w:tplc="0A501F34" w:tentative="1">
      <w:start w:val="1"/>
      <w:numFmt w:val="bullet"/>
      <w:lvlText w:val="•"/>
      <w:lvlJc w:val="left"/>
      <w:pPr>
        <w:tabs>
          <w:tab w:val="num" w:pos="5040"/>
        </w:tabs>
        <w:ind w:left="5040" w:hanging="360"/>
      </w:pPr>
      <w:rPr>
        <w:rFonts w:ascii="Arial" w:hAnsi="Arial" w:hint="default"/>
      </w:rPr>
    </w:lvl>
    <w:lvl w:ilvl="7" w:tplc="8D1CE15A" w:tentative="1">
      <w:start w:val="1"/>
      <w:numFmt w:val="bullet"/>
      <w:lvlText w:val="•"/>
      <w:lvlJc w:val="left"/>
      <w:pPr>
        <w:tabs>
          <w:tab w:val="num" w:pos="5760"/>
        </w:tabs>
        <w:ind w:left="5760" w:hanging="360"/>
      </w:pPr>
      <w:rPr>
        <w:rFonts w:ascii="Arial" w:hAnsi="Arial" w:hint="default"/>
      </w:rPr>
    </w:lvl>
    <w:lvl w:ilvl="8" w:tplc="FC4476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20478C"/>
    <w:multiLevelType w:val="hybridMultilevel"/>
    <w:tmpl w:val="52BC81D4"/>
    <w:lvl w:ilvl="0" w:tplc="17FA3B20">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8"/>
  </w:num>
  <w:num w:numId="4">
    <w:abstractNumId w:val="10"/>
  </w:num>
  <w:num w:numId="5">
    <w:abstractNumId w:val="12"/>
  </w:num>
  <w:num w:numId="6">
    <w:abstractNumId w:val="1"/>
  </w:num>
  <w:num w:numId="7">
    <w:abstractNumId w:val="15"/>
  </w:num>
  <w:num w:numId="8">
    <w:abstractNumId w:val="17"/>
  </w:num>
  <w:num w:numId="9">
    <w:abstractNumId w:val="6"/>
  </w:num>
  <w:num w:numId="10">
    <w:abstractNumId w:val="9"/>
  </w:num>
  <w:num w:numId="11">
    <w:abstractNumId w:val="2"/>
  </w:num>
  <w:num w:numId="12">
    <w:abstractNumId w:val="3"/>
  </w:num>
  <w:num w:numId="13">
    <w:abstractNumId w:val="14"/>
  </w:num>
  <w:num w:numId="14">
    <w:abstractNumId w:val="5"/>
  </w:num>
  <w:num w:numId="15">
    <w:abstractNumId w:val="0"/>
  </w:num>
  <w:num w:numId="16">
    <w:abstractNumId w:val="18"/>
  </w:num>
  <w:num w:numId="17">
    <w:abstractNumId w:val="11"/>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4C2"/>
    <w:rsid w:val="00002259"/>
    <w:rsid w:val="0000227E"/>
    <w:rsid w:val="000043CB"/>
    <w:rsid w:val="00025E61"/>
    <w:rsid w:val="00053079"/>
    <w:rsid w:val="00063280"/>
    <w:rsid w:val="000657F5"/>
    <w:rsid w:val="00095874"/>
    <w:rsid w:val="000B097A"/>
    <w:rsid w:val="000B24B6"/>
    <w:rsid w:val="000C3FA7"/>
    <w:rsid w:val="000E09F8"/>
    <w:rsid w:val="000E257F"/>
    <w:rsid w:val="000F4CFA"/>
    <w:rsid w:val="00101AA1"/>
    <w:rsid w:val="00124D3A"/>
    <w:rsid w:val="0012570E"/>
    <w:rsid w:val="00141A54"/>
    <w:rsid w:val="00142402"/>
    <w:rsid w:val="0014788D"/>
    <w:rsid w:val="001526D5"/>
    <w:rsid w:val="00167D6E"/>
    <w:rsid w:val="00180FE4"/>
    <w:rsid w:val="00184A5C"/>
    <w:rsid w:val="00185616"/>
    <w:rsid w:val="00196204"/>
    <w:rsid w:val="001A0AB6"/>
    <w:rsid w:val="001C350A"/>
    <w:rsid w:val="001F249B"/>
    <w:rsid w:val="0021143B"/>
    <w:rsid w:val="00211EA6"/>
    <w:rsid w:val="00234FBB"/>
    <w:rsid w:val="00237126"/>
    <w:rsid w:val="0024629D"/>
    <w:rsid w:val="00297C60"/>
    <w:rsid w:val="002D35A6"/>
    <w:rsid w:val="002E3E79"/>
    <w:rsid w:val="002E581D"/>
    <w:rsid w:val="003174B0"/>
    <w:rsid w:val="0035649B"/>
    <w:rsid w:val="003608FE"/>
    <w:rsid w:val="00385BD0"/>
    <w:rsid w:val="003B2349"/>
    <w:rsid w:val="003C5778"/>
    <w:rsid w:val="003C5ECD"/>
    <w:rsid w:val="003D3175"/>
    <w:rsid w:val="003E5AE8"/>
    <w:rsid w:val="003E5B60"/>
    <w:rsid w:val="003F0365"/>
    <w:rsid w:val="003F2BEA"/>
    <w:rsid w:val="003F630F"/>
    <w:rsid w:val="0044231A"/>
    <w:rsid w:val="00451DD3"/>
    <w:rsid w:val="0045227A"/>
    <w:rsid w:val="0045490F"/>
    <w:rsid w:val="00474A65"/>
    <w:rsid w:val="004853E9"/>
    <w:rsid w:val="00486004"/>
    <w:rsid w:val="00493C8D"/>
    <w:rsid w:val="004B205F"/>
    <w:rsid w:val="004B30A3"/>
    <w:rsid w:val="004B7C39"/>
    <w:rsid w:val="004D2CC4"/>
    <w:rsid w:val="004D4C26"/>
    <w:rsid w:val="00541484"/>
    <w:rsid w:val="00543E3B"/>
    <w:rsid w:val="0055474E"/>
    <w:rsid w:val="005933FB"/>
    <w:rsid w:val="005A0801"/>
    <w:rsid w:val="005A38FD"/>
    <w:rsid w:val="005A6C17"/>
    <w:rsid w:val="005B12B4"/>
    <w:rsid w:val="005C2F4B"/>
    <w:rsid w:val="00613BB9"/>
    <w:rsid w:val="00634B1F"/>
    <w:rsid w:val="00654776"/>
    <w:rsid w:val="00692297"/>
    <w:rsid w:val="006940AA"/>
    <w:rsid w:val="006C08DE"/>
    <w:rsid w:val="006D4430"/>
    <w:rsid w:val="006E2AE6"/>
    <w:rsid w:val="00701AFB"/>
    <w:rsid w:val="0073699C"/>
    <w:rsid w:val="00740F85"/>
    <w:rsid w:val="00744D35"/>
    <w:rsid w:val="0075260C"/>
    <w:rsid w:val="00754D65"/>
    <w:rsid w:val="00765550"/>
    <w:rsid w:val="00770B92"/>
    <w:rsid w:val="00774053"/>
    <w:rsid w:val="00783E24"/>
    <w:rsid w:val="007A74C2"/>
    <w:rsid w:val="007E569F"/>
    <w:rsid w:val="008072CE"/>
    <w:rsid w:val="00837DA6"/>
    <w:rsid w:val="00873521"/>
    <w:rsid w:val="008C084B"/>
    <w:rsid w:val="008C71F5"/>
    <w:rsid w:val="008F3DB8"/>
    <w:rsid w:val="00947C01"/>
    <w:rsid w:val="00950541"/>
    <w:rsid w:val="00956DAA"/>
    <w:rsid w:val="00962CCA"/>
    <w:rsid w:val="00966269"/>
    <w:rsid w:val="00982757"/>
    <w:rsid w:val="009C62B2"/>
    <w:rsid w:val="009D67C4"/>
    <w:rsid w:val="009D6D71"/>
    <w:rsid w:val="009F1072"/>
    <w:rsid w:val="00A03D7F"/>
    <w:rsid w:val="00A13E2E"/>
    <w:rsid w:val="00A2123C"/>
    <w:rsid w:val="00A240CE"/>
    <w:rsid w:val="00A314B7"/>
    <w:rsid w:val="00AB2AA9"/>
    <w:rsid w:val="00AE563C"/>
    <w:rsid w:val="00AE7F09"/>
    <w:rsid w:val="00B04841"/>
    <w:rsid w:val="00B12052"/>
    <w:rsid w:val="00B302EA"/>
    <w:rsid w:val="00B43154"/>
    <w:rsid w:val="00B50E85"/>
    <w:rsid w:val="00B53A9C"/>
    <w:rsid w:val="00B75F3A"/>
    <w:rsid w:val="00B766B4"/>
    <w:rsid w:val="00B84C68"/>
    <w:rsid w:val="00B86520"/>
    <w:rsid w:val="00BA46C2"/>
    <w:rsid w:val="00BE18D4"/>
    <w:rsid w:val="00BE63D0"/>
    <w:rsid w:val="00C309B0"/>
    <w:rsid w:val="00C50218"/>
    <w:rsid w:val="00C509C9"/>
    <w:rsid w:val="00C5762B"/>
    <w:rsid w:val="00C96E9A"/>
    <w:rsid w:val="00CA76D8"/>
    <w:rsid w:val="00CD4539"/>
    <w:rsid w:val="00CF40F8"/>
    <w:rsid w:val="00CF7F6A"/>
    <w:rsid w:val="00D2245C"/>
    <w:rsid w:val="00D22D7B"/>
    <w:rsid w:val="00D24A6E"/>
    <w:rsid w:val="00D520D1"/>
    <w:rsid w:val="00D5623C"/>
    <w:rsid w:val="00D7011B"/>
    <w:rsid w:val="00D75002"/>
    <w:rsid w:val="00D761EC"/>
    <w:rsid w:val="00D9412D"/>
    <w:rsid w:val="00DD121C"/>
    <w:rsid w:val="00DF13B3"/>
    <w:rsid w:val="00DF352A"/>
    <w:rsid w:val="00E24211"/>
    <w:rsid w:val="00E45C98"/>
    <w:rsid w:val="00E5300A"/>
    <w:rsid w:val="00E54B4C"/>
    <w:rsid w:val="00E5739E"/>
    <w:rsid w:val="00E647BA"/>
    <w:rsid w:val="00E65832"/>
    <w:rsid w:val="00E6785D"/>
    <w:rsid w:val="00E7311A"/>
    <w:rsid w:val="00E819B6"/>
    <w:rsid w:val="00E867B7"/>
    <w:rsid w:val="00E91F3E"/>
    <w:rsid w:val="00EA1F40"/>
    <w:rsid w:val="00EB04E4"/>
    <w:rsid w:val="00EE1C61"/>
    <w:rsid w:val="00EF2795"/>
    <w:rsid w:val="00EF7C36"/>
    <w:rsid w:val="00F106E8"/>
    <w:rsid w:val="00F21D27"/>
    <w:rsid w:val="00F417C1"/>
    <w:rsid w:val="00F64939"/>
    <w:rsid w:val="00F84B34"/>
    <w:rsid w:val="00F96074"/>
    <w:rsid w:val="00F96DA7"/>
    <w:rsid w:val="00FD2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5AFCF"/>
  <w15:docId w15:val="{1D2434EF-870E-4C2B-B957-0A5F5FE2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2">
    <w:name w:val="heading 2"/>
    <w:basedOn w:val="Normal"/>
    <w:next w:val="Normal"/>
    <w:link w:val="Heading2Char"/>
    <w:uiPriority w:val="9"/>
    <w:semiHidden/>
    <w:unhideWhenUsed/>
    <w:qFormat/>
    <w:rsid w:val="00E731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54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74E"/>
    <w:rPr>
      <w:rFonts w:ascii="Segoe UI" w:eastAsia="Calibri" w:hAnsi="Segoe UI" w:cs="Segoe UI"/>
      <w:color w:val="000000"/>
      <w:sz w:val="18"/>
      <w:szCs w:val="18"/>
    </w:rPr>
  </w:style>
  <w:style w:type="character" w:styleId="CommentReference">
    <w:name w:val="annotation reference"/>
    <w:basedOn w:val="DefaultParagraphFont"/>
    <w:uiPriority w:val="99"/>
    <w:semiHidden/>
    <w:unhideWhenUsed/>
    <w:rsid w:val="0055474E"/>
    <w:rPr>
      <w:sz w:val="16"/>
      <w:szCs w:val="16"/>
    </w:rPr>
  </w:style>
  <w:style w:type="paragraph" w:styleId="CommentText">
    <w:name w:val="annotation text"/>
    <w:basedOn w:val="Normal"/>
    <w:link w:val="CommentTextChar"/>
    <w:uiPriority w:val="99"/>
    <w:unhideWhenUsed/>
    <w:rsid w:val="0055474E"/>
    <w:pPr>
      <w:spacing w:line="240" w:lineRule="auto"/>
    </w:pPr>
    <w:rPr>
      <w:sz w:val="20"/>
      <w:szCs w:val="20"/>
    </w:rPr>
  </w:style>
  <w:style w:type="character" w:customStyle="1" w:styleId="CommentTextChar">
    <w:name w:val="Comment Text Char"/>
    <w:basedOn w:val="DefaultParagraphFont"/>
    <w:link w:val="CommentText"/>
    <w:uiPriority w:val="99"/>
    <w:rsid w:val="0055474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474E"/>
    <w:rPr>
      <w:b/>
      <w:bCs/>
    </w:rPr>
  </w:style>
  <w:style w:type="character" w:customStyle="1" w:styleId="CommentSubjectChar">
    <w:name w:val="Comment Subject Char"/>
    <w:basedOn w:val="CommentTextChar"/>
    <w:link w:val="CommentSubject"/>
    <w:uiPriority w:val="99"/>
    <w:semiHidden/>
    <w:rsid w:val="0055474E"/>
    <w:rPr>
      <w:rFonts w:ascii="Calibri" w:eastAsia="Calibri" w:hAnsi="Calibri" w:cs="Calibri"/>
      <w:b/>
      <w:bCs/>
      <w:color w:val="000000"/>
      <w:sz w:val="20"/>
      <w:szCs w:val="20"/>
    </w:rPr>
  </w:style>
  <w:style w:type="paragraph" w:styleId="ListParagraph">
    <w:name w:val="List Paragraph"/>
    <w:basedOn w:val="Normal"/>
    <w:link w:val="ListParagraphChar"/>
    <w:uiPriority w:val="34"/>
    <w:qFormat/>
    <w:rsid w:val="001A0AB6"/>
    <w:pPr>
      <w:spacing w:after="200" w:line="276" w:lineRule="auto"/>
      <w:ind w:left="720" w:hanging="360"/>
      <w:contextualSpacing/>
    </w:pPr>
    <w:rPr>
      <w:rFonts w:asciiTheme="minorHAnsi" w:eastAsiaTheme="minorEastAsia" w:hAnsiTheme="minorHAnsi" w:cstheme="minorBidi"/>
      <w:color w:val="auto"/>
    </w:rPr>
  </w:style>
  <w:style w:type="character" w:customStyle="1" w:styleId="ListParagraphChar">
    <w:name w:val="List Paragraph Char"/>
    <w:basedOn w:val="DefaultParagraphFont"/>
    <w:link w:val="ListParagraph"/>
    <w:uiPriority w:val="34"/>
    <w:locked/>
    <w:rsid w:val="001A0AB6"/>
  </w:style>
  <w:style w:type="paragraph" w:styleId="NormalWeb">
    <w:name w:val="Normal (Web)"/>
    <w:basedOn w:val="Normal"/>
    <w:uiPriority w:val="99"/>
    <w:unhideWhenUsed/>
    <w:rsid w:val="001A0AB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Bullet">
    <w:name w:val="Bullet"/>
    <w:basedOn w:val="Normal"/>
    <w:link w:val="BulletChar"/>
    <w:qFormat/>
    <w:rsid w:val="00E7311A"/>
    <w:pPr>
      <w:numPr>
        <w:numId w:val="16"/>
      </w:numPr>
      <w:spacing w:after="120" w:line="240" w:lineRule="auto"/>
      <w:ind w:left="806"/>
    </w:pPr>
    <w:rPr>
      <w:rFonts w:ascii="Times New Roman" w:eastAsia="Times New Roman" w:hAnsi="Times New Roman" w:cs="Times New Roman"/>
      <w:color w:val="auto"/>
      <w:sz w:val="24"/>
      <w:szCs w:val="20"/>
    </w:rPr>
  </w:style>
  <w:style w:type="paragraph" w:customStyle="1" w:styleId="BulletLastSS">
    <w:name w:val="Bullet (Last SS)"/>
    <w:basedOn w:val="Bullet"/>
    <w:next w:val="NormalSS"/>
    <w:qFormat/>
    <w:rsid w:val="00E7311A"/>
    <w:pPr>
      <w:numPr>
        <w:numId w:val="17"/>
      </w:numPr>
      <w:spacing w:after="240"/>
      <w:ind w:left="810"/>
    </w:pPr>
  </w:style>
  <w:style w:type="paragraph" w:customStyle="1" w:styleId="NormalSS">
    <w:name w:val="NormalSS"/>
    <w:basedOn w:val="Normal"/>
    <w:link w:val="NormalSSChar"/>
    <w:qFormat/>
    <w:rsid w:val="00E7311A"/>
    <w:pPr>
      <w:spacing w:after="240" w:line="240" w:lineRule="auto"/>
      <w:ind w:left="446"/>
    </w:pPr>
    <w:rPr>
      <w:rFonts w:eastAsia="Times New Roman" w:cs="Times New Roman"/>
      <w:color w:val="auto"/>
      <w:sz w:val="24"/>
      <w:szCs w:val="20"/>
    </w:rPr>
  </w:style>
  <w:style w:type="paragraph" w:customStyle="1" w:styleId="H3Alpha">
    <w:name w:val="H3_Alpha"/>
    <w:basedOn w:val="Heading2"/>
    <w:next w:val="NormalSS"/>
    <w:link w:val="H3AlphaChar"/>
    <w:qFormat/>
    <w:rsid w:val="00E7311A"/>
    <w:pPr>
      <w:keepLines w:val="0"/>
      <w:tabs>
        <w:tab w:val="left" w:pos="432"/>
      </w:tabs>
      <w:spacing w:before="240" w:after="120" w:line="276" w:lineRule="auto"/>
      <w:ind w:left="432" w:hanging="432"/>
      <w:outlineLvl w:val="2"/>
    </w:pPr>
    <w:rPr>
      <w:rFonts w:ascii="Arial Black" w:eastAsia="Times New Roman" w:hAnsi="Arial Black" w:cs="Times New Roman"/>
      <w:b/>
      <w:color w:val="4472C4" w:themeColor="accent1"/>
      <w:sz w:val="28"/>
      <w:szCs w:val="28"/>
    </w:rPr>
  </w:style>
  <w:style w:type="character" w:customStyle="1" w:styleId="H3AlphaChar">
    <w:name w:val="H3_Alpha Char"/>
    <w:basedOn w:val="Heading2Char"/>
    <w:link w:val="H3Alpha"/>
    <w:rsid w:val="00E7311A"/>
    <w:rPr>
      <w:rFonts w:ascii="Arial Black" w:eastAsia="Times New Roman" w:hAnsi="Arial Black" w:cs="Times New Roman"/>
      <w:b/>
      <w:color w:val="4472C4" w:themeColor="accent1"/>
      <w:sz w:val="28"/>
      <w:szCs w:val="28"/>
    </w:rPr>
  </w:style>
  <w:style w:type="character" w:customStyle="1" w:styleId="NormalSSChar">
    <w:name w:val="NormalSS Char"/>
    <w:basedOn w:val="DefaultParagraphFont"/>
    <w:link w:val="NormalSS"/>
    <w:locked/>
    <w:rsid w:val="00E7311A"/>
    <w:rPr>
      <w:rFonts w:ascii="Calibri" w:eastAsia="Times New Roman" w:hAnsi="Calibri" w:cs="Times New Roman"/>
      <w:sz w:val="24"/>
      <w:szCs w:val="20"/>
    </w:rPr>
  </w:style>
  <w:style w:type="character" w:customStyle="1" w:styleId="BulletChar">
    <w:name w:val="Bullet Char"/>
    <w:basedOn w:val="DefaultParagraphFont"/>
    <w:link w:val="Bullet"/>
    <w:locked/>
    <w:rsid w:val="00E7311A"/>
    <w:rPr>
      <w:rFonts w:ascii="Times New Roman" w:eastAsia="Times New Roman" w:hAnsi="Times New Roman" w:cs="Times New Roman"/>
      <w:sz w:val="24"/>
      <w:szCs w:val="20"/>
    </w:rPr>
  </w:style>
  <w:style w:type="table" w:customStyle="1" w:styleId="TableGrid2">
    <w:name w:val="Table Grid2"/>
    <w:basedOn w:val="TableNormal"/>
    <w:next w:val="TableGrid0"/>
    <w:uiPriority w:val="59"/>
    <w:rsid w:val="00E731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E7311A"/>
    <w:rPr>
      <w:rFonts w:asciiTheme="majorHAnsi" w:eastAsiaTheme="majorEastAsia" w:hAnsiTheme="majorHAnsi" w:cstheme="majorBidi"/>
      <w:color w:val="2F5496" w:themeColor="accent1" w:themeShade="BF"/>
      <w:sz w:val="26"/>
      <w:szCs w:val="26"/>
    </w:rPr>
  </w:style>
  <w:style w:type="table" w:styleId="TableGrid0">
    <w:name w:val="Table Grid"/>
    <w:basedOn w:val="TableNormal"/>
    <w:uiPriority w:val="39"/>
    <w:rsid w:val="00E73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311A"/>
    <w:rPr>
      <w:color w:val="0563C1" w:themeColor="hyperlink"/>
      <w:u w:val="single"/>
    </w:rPr>
  </w:style>
  <w:style w:type="paragraph" w:customStyle="1" w:styleId="EndNoteBibliography">
    <w:name w:val="EndNote Bibliography"/>
    <w:basedOn w:val="Normal"/>
    <w:link w:val="EndNoteBibliographyChar"/>
    <w:rsid w:val="00E7311A"/>
    <w:pPr>
      <w:spacing w:after="0" w:line="240" w:lineRule="auto"/>
      <w:ind w:left="360" w:hanging="360"/>
    </w:pPr>
    <w:rPr>
      <w:rFonts w:eastAsiaTheme="minorHAnsi" w:cstheme="minorBidi"/>
      <w:noProof/>
      <w:color w:val="auto"/>
    </w:rPr>
  </w:style>
  <w:style w:type="character" w:customStyle="1" w:styleId="EndNoteBibliographyChar">
    <w:name w:val="EndNote Bibliography Char"/>
    <w:basedOn w:val="DefaultParagraphFont"/>
    <w:link w:val="EndNoteBibliography"/>
    <w:rsid w:val="00E7311A"/>
    <w:rPr>
      <w:rFonts w:ascii="Calibri" w:eastAsiaTheme="minorHAnsi" w:hAnsi="Calibri"/>
      <w:noProof/>
    </w:rPr>
  </w:style>
  <w:style w:type="character" w:styleId="UnresolvedMention">
    <w:name w:val="Unresolved Mention"/>
    <w:basedOn w:val="DefaultParagraphFont"/>
    <w:uiPriority w:val="99"/>
    <w:semiHidden/>
    <w:unhideWhenUsed/>
    <w:rsid w:val="00493C8D"/>
    <w:rPr>
      <w:color w:val="605E5C"/>
      <w:shd w:val="clear" w:color="auto" w:fill="E1DFDD"/>
    </w:rPr>
  </w:style>
  <w:style w:type="paragraph" w:styleId="Revision">
    <w:name w:val="Revision"/>
    <w:hidden/>
    <w:uiPriority w:val="99"/>
    <w:semiHidden/>
    <w:rsid w:val="002E581D"/>
    <w:pPr>
      <w:spacing w:after="0" w:line="240" w:lineRule="auto"/>
    </w:pPr>
    <w:rPr>
      <w:rFonts w:ascii="Calibri" w:eastAsia="Calibri" w:hAnsi="Calibri" w:cs="Calibri"/>
      <w:color w:val="000000"/>
    </w:rPr>
  </w:style>
  <w:style w:type="character" w:styleId="FollowedHyperlink">
    <w:name w:val="FollowedHyperlink"/>
    <w:basedOn w:val="DefaultParagraphFont"/>
    <w:uiPriority w:val="99"/>
    <w:semiHidden/>
    <w:unhideWhenUsed/>
    <w:rsid w:val="003C5ECD"/>
    <w:rPr>
      <w:color w:val="954F72" w:themeColor="followedHyperlink"/>
      <w:u w:val="single"/>
    </w:rPr>
  </w:style>
  <w:style w:type="paragraph" w:styleId="Header">
    <w:name w:val="header"/>
    <w:basedOn w:val="Normal"/>
    <w:link w:val="HeaderChar"/>
    <w:uiPriority w:val="99"/>
    <w:unhideWhenUsed/>
    <w:rsid w:val="00E647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7BA"/>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465687">
      <w:bodyDiv w:val="1"/>
      <w:marLeft w:val="0"/>
      <w:marRight w:val="0"/>
      <w:marTop w:val="0"/>
      <w:marBottom w:val="0"/>
      <w:divBdr>
        <w:top w:val="none" w:sz="0" w:space="0" w:color="auto"/>
        <w:left w:val="none" w:sz="0" w:space="0" w:color="auto"/>
        <w:bottom w:val="none" w:sz="0" w:space="0" w:color="auto"/>
        <w:right w:val="none" w:sz="0" w:space="0" w:color="auto"/>
      </w:divBdr>
    </w:div>
    <w:div w:id="604534359">
      <w:bodyDiv w:val="1"/>
      <w:marLeft w:val="0"/>
      <w:marRight w:val="0"/>
      <w:marTop w:val="0"/>
      <w:marBottom w:val="0"/>
      <w:divBdr>
        <w:top w:val="none" w:sz="0" w:space="0" w:color="auto"/>
        <w:left w:val="none" w:sz="0" w:space="0" w:color="auto"/>
        <w:bottom w:val="none" w:sz="0" w:space="0" w:color="auto"/>
        <w:right w:val="none" w:sz="0" w:space="0" w:color="auto"/>
      </w:divBdr>
    </w:div>
    <w:div w:id="774709766">
      <w:bodyDiv w:val="1"/>
      <w:marLeft w:val="0"/>
      <w:marRight w:val="0"/>
      <w:marTop w:val="0"/>
      <w:marBottom w:val="0"/>
      <w:divBdr>
        <w:top w:val="none" w:sz="0" w:space="0" w:color="auto"/>
        <w:left w:val="none" w:sz="0" w:space="0" w:color="auto"/>
        <w:bottom w:val="none" w:sz="0" w:space="0" w:color="auto"/>
        <w:right w:val="none" w:sz="0" w:space="0" w:color="auto"/>
      </w:divBdr>
      <w:divsChild>
        <w:div w:id="2099865925">
          <w:marLeft w:val="480"/>
          <w:marRight w:val="0"/>
          <w:marTop w:val="0"/>
          <w:marBottom w:val="0"/>
          <w:divBdr>
            <w:top w:val="none" w:sz="0" w:space="0" w:color="auto"/>
            <w:left w:val="none" w:sz="0" w:space="0" w:color="auto"/>
            <w:bottom w:val="none" w:sz="0" w:space="0" w:color="auto"/>
            <w:right w:val="none" w:sz="0" w:space="0" w:color="auto"/>
          </w:divBdr>
          <w:divsChild>
            <w:div w:id="212344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297904">
      <w:bodyDiv w:val="1"/>
      <w:marLeft w:val="0"/>
      <w:marRight w:val="0"/>
      <w:marTop w:val="0"/>
      <w:marBottom w:val="0"/>
      <w:divBdr>
        <w:top w:val="none" w:sz="0" w:space="0" w:color="auto"/>
        <w:left w:val="none" w:sz="0" w:space="0" w:color="auto"/>
        <w:bottom w:val="none" w:sz="0" w:space="0" w:color="auto"/>
        <w:right w:val="none" w:sz="0" w:space="0" w:color="auto"/>
      </w:divBdr>
    </w:div>
    <w:div w:id="1220440611">
      <w:bodyDiv w:val="1"/>
      <w:marLeft w:val="0"/>
      <w:marRight w:val="0"/>
      <w:marTop w:val="0"/>
      <w:marBottom w:val="0"/>
      <w:divBdr>
        <w:top w:val="none" w:sz="0" w:space="0" w:color="auto"/>
        <w:left w:val="none" w:sz="0" w:space="0" w:color="auto"/>
        <w:bottom w:val="none" w:sz="0" w:space="0" w:color="auto"/>
        <w:right w:val="none" w:sz="0" w:space="0" w:color="auto"/>
      </w:divBdr>
    </w:div>
    <w:div w:id="1220701257">
      <w:bodyDiv w:val="1"/>
      <w:marLeft w:val="0"/>
      <w:marRight w:val="0"/>
      <w:marTop w:val="0"/>
      <w:marBottom w:val="0"/>
      <w:divBdr>
        <w:top w:val="none" w:sz="0" w:space="0" w:color="auto"/>
        <w:left w:val="none" w:sz="0" w:space="0" w:color="auto"/>
        <w:bottom w:val="none" w:sz="0" w:space="0" w:color="auto"/>
        <w:right w:val="none" w:sz="0" w:space="0" w:color="auto"/>
      </w:divBdr>
      <w:divsChild>
        <w:div w:id="120617134">
          <w:marLeft w:val="480"/>
          <w:marRight w:val="0"/>
          <w:marTop w:val="0"/>
          <w:marBottom w:val="0"/>
          <w:divBdr>
            <w:top w:val="none" w:sz="0" w:space="0" w:color="auto"/>
            <w:left w:val="none" w:sz="0" w:space="0" w:color="auto"/>
            <w:bottom w:val="none" w:sz="0" w:space="0" w:color="auto"/>
            <w:right w:val="none" w:sz="0" w:space="0" w:color="auto"/>
          </w:divBdr>
          <w:divsChild>
            <w:div w:id="19936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adeworkinggroup.org/" TargetMode="External"/><Relationship Id="rId18" Type="http://schemas.openxmlformats.org/officeDocument/2006/relationships/hyperlink" Target="http://www.qualityforum.org/Publications/2010/01/Measurement_Framework__Evaluating_Efficiency_Across_Patient-Focused_Episodes_of_Care.aspx" TargetMode="External"/><Relationship Id="rId26" Type="http://schemas.microsoft.com/office/2007/relationships/diagramDrawing" Target="diagrams/drawing1.xml"/><Relationship Id="rId39" Type="http://schemas.openxmlformats.org/officeDocument/2006/relationships/hyperlink" Target="https://doi.org/10.1097/01.mlr.0000185736.45129.95" TargetMode="External"/><Relationship Id="rId3" Type="http://schemas.openxmlformats.org/officeDocument/2006/relationships/customXml" Target="../customXml/item3.xml"/><Relationship Id="rId21" Type="http://schemas.openxmlformats.org/officeDocument/2006/relationships/hyperlink" Target="http://www.aqaalliance.org/files/PrinciplesofEfficiencyMeasurementApril2006.doc" TargetMode="External"/><Relationship Id="rId34" Type="http://schemas.openxmlformats.org/officeDocument/2006/relationships/hyperlink" Target="https://doi.org/10.1016/j.jsat.2006.05.019"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diagramColors" Target="diagrams/colors1.xml"/><Relationship Id="rId33" Type="http://schemas.openxmlformats.org/officeDocument/2006/relationships/hyperlink" Target="https://doi.org/10.1176/appi.ps.201800461" TargetMode="External"/><Relationship Id="rId38" Type="http://schemas.openxmlformats.org/officeDocument/2006/relationships/hyperlink" Target="https://doi.org/10.1097/ADM.0000000000000298"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aqaalliance.org/files/PrinciplesofEfficiencyMeasurementApril2006.doc" TargetMode="External"/><Relationship Id="rId29" Type="http://schemas.openxmlformats.org/officeDocument/2006/relationships/footer" Target="footer3.xml"/><Relationship Id="rId41" Type="http://schemas.openxmlformats.org/officeDocument/2006/relationships/hyperlink" Target="https://doi.org/10.1016/j.jsat.2016.06.0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diagramQuickStyle" Target="diagrams/quickStyle1.xml"/><Relationship Id="rId32" Type="http://schemas.openxmlformats.org/officeDocument/2006/relationships/hyperlink" Target="http://www.hcup-us.ahrq.gov/reports/statbriefs/sb191-Hospitalization-Mental-Substance-Use-Disorders-2012.pdf" TargetMode="External"/><Relationship Id="rId37" Type="http://schemas.openxmlformats.org/officeDocument/2006/relationships/hyperlink" Target="https://doi.org/10.1177/0193841X08316311" TargetMode="External"/><Relationship Id="rId40" Type="http://schemas.openxmlformats.org/officeDocument/2006/relationships/hyperlink" Target="https://doi.org/10.1176/appi.ps.201400198"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diagramLayout" Target="diagrams/layout1.xml"/><Relationship Id="rId28" Type="http://schemas.openxmlformats.org/officeDocument/2006/relationships/footer" Target="footer2.xml"/><Relationship Id="rId36" Type="http://schemas.openxmlformats.org/officeDocument/2006/relationships/hyperlink" Target="https://www.drugabuse.gov/publications/principles-drug-addiction-treatment-research-based-guide-third-edition/principles-effective-treatment" TargetMode="External"/><Relationship Id="rId10" Type="http://schemas.openxmlformats.org/officeDocument/2006/relationships/endnotes" Target="endnotes.xml"/><Relationship Id="rId19" Type="http://schemas.openxmlformats.org/officeDocument/2006/relationships/hyperlink" Target="http://www.aqaalliance.org/files/PrinciplesofEfficiencyMeasurementApril2006.doc" TargetMode="External"/><Relationship Id="rId31" Type="http://schemas.openxmlformats.org/officeDocument/2006/relationships/hyperlink" Target="https://www.medicaid.gov/federal-policy-guidance/downloads/cib11271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 TargetMode="External"/><Relationship Id="rId22" Type="http://schemas.openxmlformats.org/officeDocument/2006/relationships/diagramData" Target="diagrams/data1.xml"/><Relationship Id="rId27" Type="http://schemas.openxmlformats.org/officeDocument/2006/relationships/footer" Target="footer1.xml"/><Relationship Id="rId30" Type="http://schemas.openxmlformats.org/officeDocument/2006/relationships/hyperlink" Target="http://www.ncbi.nlm.nih.gov/books/NBK355361/" TargetMode="External"/><Relationship Id="rId35" Type="http://schemas.openxmlformats.org/officeDocument/2006/relationships/hyperlink" Target="https://doi.org/10.1016/j.jsat.2016.07.004" TargetMode="External"/><Relationship Id="rId43"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C7B347-B85E-4901-9B7B-5EAA9A1DD06C}"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31231DD1-DACD-4A81-9BDD-8D659BA33D1B}">
      <dgm:prSet phldrT="[Text]" custT="1"/>
      <dgm:spPr>
        <a:xfrm>
          <a:off x="1714"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buNone/>
          </a:pPr>
          <a:r>
            <a:rPr lang="en-US" sz="1100">
              <a:solidFill>
                <a:sysClr val="window" lastClr="FFFFFF"/>
              </a:solidFill>
              <a:latin typeface="Calibri" panose="020F0502020204030204"/>
              <a:ea typeface="+mn-ea"/>
              <a:cs typeface="+mn-cs"/>
            </a:rPr>
            <a:t>Structural Changes to Improve Follow up</a:t>
          </a:r>
        </a:p>
      </dgm:t>
    </dgm:pt>
    <dgm:pt modelId="{8D03F6B0-9284-4AF7-971A-5DD085DC78C1}" type="parTrans" cxnId="{7104CB04-BE66-40EE-8FE3-5A4E20A29AFB}">
      <dgm:prSet/>
      <dgm:spPr/>
      <dgm:t>
        <a:bodyPr/>
        <a:lstStyle/>
        <a:p>
          <a:endParaRPr lang="en-US"/>
        </a:p>
      </dgm:t>
    </dgm:pt>
    <dgm:pt modelId="{4D24088C-ED7B-43DA-A338-B5E0B7729F24}" type="sibTrans" cxnId="{7104CB04-BE66-40EE-8FE3-5A4E20A29AFB}">
      <dgm:prSet/>
      <dgm:spPr/>
      <dgm:t>
        <a:bodyPr/>
        <a:lstStyle/>
        <a:p>
          <a:endParaRPr lang="en-US"/>
        </a:p>
      </dgm:t>
    </dgm:pt>
    <dgm:pt modelId="{D7AECCB8-D9C2-4414-8B7A-9930CDF68526}">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Hire professionals to provide addiction inpatient consults </a:t>
          </a:r>
        </a:p>
      </dgm:t>
    </dgm:pt>
    <dgm:pt modelId="{A6F36244-A9C6-4117-8691-23DDE7AB6A12}" type="parTrans" cxnId="{EE8CB7F2-6D22-4174-82EF-B6BEF45DB075}">
      <dgm:prSet/>
      <dgm:spPr/>
      <dgm:t>
        <a:bodyPr/>
        <a:lstStyle/>
        <a:p>
          <a:endParaRPr lang="en-US"/>
        </a:p>
      </dgm:t>
    </dgm:pt>
    <dgm:pt modelId="{C5A8A48A-6560-43F6-BCAB-F597673C86C4}" type="sibTrans" cxnId="{EE8CB7F2-6D22-4174-82EF-B6BEF45DB075}">
      <dgm:prSet/>
      <dgm:spPr/>
      <dgm:t>
        <a:bodyPr/>
        <a:lstStyle/>
        <a:p>
          <a:endParaRPr lang="en-US"/>
        </a:p>
      </dgm:t>
    </dgm:pt>
    <dgm:pt modelId="{85CDE0D5-E542-444B-A092-70763A643B4F}">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Hire peer navigators </a:t>
          </a:r>
        </a:p>
      </dgm:t>
    </dgm:pt>
    <dgm:pt modelId="{E0349CBF-E93E-4229-894D-3539731FB417}" type="parTrans" cxnId="{7B01657A-FA3D-4560-B9C4-672B480D5556}">
      <dgm:prSet/>
      <dgm:spPr/>
      <dgm:t>
        <a:bodyPr/>
        <a:lstStyle/>
        <a:p>
          <a:endParaRPr lang="en-US"/>
        </a:p>
      </dgm:t>
    </dgm:pt>
    <dgm:pt modelId="{21F1B618-BF3B-4EEA-9833-8371F3EFA131}" type="sibTrans" cxnId="{7B01657A-FA3D-4560-B9C4-672B480D5556}">
      <dgm:prSet/>
      <dgm:spPr/>
      <dgm:t>
        <a:bodyPr/>
        <a:lstStyle/>
        <a:p>
          <a:endParaRPr lang="en-US"/>
        </a:p>
      </dgm:t>
    </dgm:pt>
    <dgm:pt modelId="{0D331A4F-7DCB-41BA-A721-D5B3CA5CDFF9}">
      <dgm:prSet phldrT="[Text]" custT="1"/>
      <dgm:spPr>
        <a:xfrm>
          <a:off x="1907381"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sz="1100">
              <a:solidFill>
                <a:sysClr val="window" lastClr="FFFFFF"/>
              </a:solidFill>
              <a:latin typeface="Calibri" panose="020F0502020204030204"/>
              <a:ea typeface="+mn-ea"/>
              <a:cs typeface="+mn-cs"/>
            </a:rPr>
            <a:t>Process Changes to Improve Follow up </a:t>
          </a:r>
          <a:r>
            <a:rPr lang="en-US" sz="1300">
              <a:solidFill>
                <a:sysClr val="window" lastClr="FFFFFF"/>
              </a:solidFill>
              <a:latin typeface="Calibri" panose="020F0502020204030204"/>
              <a:ea typeface="+mn-ea"/>
              <a:cs typeface="+mn-cs"/>
            </a:rPr>
            <a:t>	</a:t>
          </a:r>
        </a:p>
      </dgm:t>
    </dgm:pt>
    <dgm:pt modelId="{DA97A9EC-D628-4906-B5F2-F97694BE2AE7}" type="parTrans" cxnId="{319D0A94-7C57-4D2C-B12C-CDA5B6BB611A}">
      <dgm:prSet/>
      <dgm:spPr/>
      <dgm:t>
        <a:bodyPr/>
        <a:lstStyle/>
        <a:p>
          <a:endParaRPr lang="en-US"/>
        </a:p>
      </dgm:t>
    </dgm:pt>
    <dgm:pt modelId="{50642A64-47AC-4B6A-9244-DF4B7CAC58CD}" type="sibTrans" cxnId="{319D0A94-7C57-4D2C-B12C-CDA5B6BB611A}">
      <dgm:prSet/>
      <dgm:spPr/>
      <dgm:t>
        <a:bodyPr/>
        <a:lstStyle/>
        <a:p>
          <a:endParaRPr lang="en-US"/>
        </a:p>
      </dgm:t>
    </dgm:pt>
    <dgm:pt modelId="{4EEE7C5F-8FE0-4ABE-AD84-EDA9F28573CF}">
      <dgm:prSet phldrT="[Text]" custT="1"/>
      <dgm:spPr>
        <a:xfrm>
          <a:off x="1907381"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Using inpatient addiction consults</a:t>
          </a:r>
        </a:p>
      </dgm:t>
    </dgm:pt>
    <dgm:pt modelId="{A355AD89-5CDD-485D-9C25-37C8071E9477}" type="parTrans" cxnId="{B8DFD853-82D9-49A8-9F22-78064BF90960}">
      <dgm:prSet/>
      <dgm:spPr/>
      <dgm:t>
        <a:bodyPr/>
        <a:lstStyle/>
        <a:p>
          <a:endParaRPr lang="en-US"/>
        </a:p>
      </dgm:t>
    </dgm:pt>
    <dgm:pt modelId="{C0AFD2C8-4ADC-4196-A2BD-2FC7F3E37619}" type="sibTrans" cxnId="{B8DFD853-82D9-49A8-9F22-78064BF90960}">
      <dgm:prSet/>
      <dgm:spPr/>
      <dgm:t>
        <a:bodyPr/>
        <a:lstStyle/>
        <a:p>
          <a:endParaRPr lang="en-US"/>
        </a:p>
      </dgm:t>
    </dgm:pt>
    <dgm:pt modelId="{24D7C447-CE89-4D93-9C1D-88F177A1EF75}">
      <dgm:prSet phldrT="[Text]" custT="1"/>
      <dgm:spPr>
        <a:xfrm>
          <a:off x="3813048" y="13350"/>
          <a:ext cx="1671637" cy="668654"/>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t>
        <a:bodyPr/>
        <a:lstStyle/>
        <a:p>
          <a:pPr>
            <a:buNone/>
          </a:pPr>
          <a:r>
            <a:rPr lang="en-US" sz="1100">
              <a:solidFill>
                <a:sysClr val="window" lastClr="FFFFFF"/>
              </a:solidFill>
              <a:latin typeface="Calibri" panose="020F0502020204030204"/>
              <a:ea typeface="+mn-ea"/>
              <a:cs typeface="+mn-cs"/>
            </a:rPr>
            <a:t>Outcome Changes</a:t>
          </a:r>
        </a:p>
      </dgm:t>
    </dgm:pt>
    <dgm:pt modelId="{836FDF11-ED6F-4E79-83A0-C0D148F25775}" type="parTrans" cxnId="{3DE3DA27-D469-42C5-B9BA-6EFF418917D3}">
      <dgm:prSet/>
      <dgm:spPr/>
      <dgm:t>
        <a:bodyPr/>
        <a:lstStyle/>
        <a:p>
          <a:endParaRPr lang="en-US"/>
        </a:p>
      </dgm:t>
    </dgm:pt>
    <dgm:pt modelId="{CBDD60F4-7D95-4E0A-BAE0-58B47E6587AB}" type="sibTrans" cxnId="{3DE3DA27-D469-42C5-B9BA-6EFF418917D3}">
      <dgm:prSet/>
      <dgm:spPr/>
      <dgm:t>
        <a:bodyPr/>
        <a:lstStyle/>
        <a:p>
          <a:endParaRPr lang="en-US"/>
        </a:p>
      </dgm:t>
    </dgm:pt>
    <dgm:pt modelId="{49A62DBD-D96C-4B81-B2CD-E31CDD3B65F0}">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mortality</a:t>
          </a:r>
        </a:p>
      </dgm:t>
    </dgm:pt>
    <dgm:pt modelId="{3017A114-6339-45BD-A2AF-6DC3F02B25AD}" type="parTrans" cxnId="{9E943089-A05D-4084-BD5A-AD673A25EFD2}">
      <dgm:prSet/>
      <dgm:spPr/>
      <dgm:t>
        <a:bodyPr/>
        <a:lstStyle/>
        <a:p>
          <a:endParaRPr lang="en-US"/>
        </a:p>
      </dgm:t>
    </dgm:pt>
    <dgm:pt modelId="{65C5B197-A6B3-47B7-80CF-83E7DFAC4069}" type="sibTrans" cxnId="{9E943089-A05D-4084-BD5A-AD673A25EFD2}">
      <dgm:prSet/>
      <dgm:spPr/>
      <dgm:t>
        <a:bodyPr/>
        <a:lstStyle/>
        <a:p>
          <a:endParaRPr lang="en-US"/>
        </a:p>
      </dgm:t>
    </dgm:pt>
    <dgm:pt modelId="{77BE8045-0B6D-4536-BE71-EF86E0AB2D25}">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hospital readmissions </a:t>
          </a:r>
        </a:p>
      </dgm:t>
    </dgm:pt>
    <dgm:pt modelId="{6323260B-517B-466C-A3CE-E0B9A5AAC3FC}" type="parTrans" cxnId="{74AE0DBF-FD80-4203-8D25-A9ED767747D7}">
      <dgm:prSet/>
      <dgm:spPr/>
      <dgm:t>
        <a:bodyPr/>
        <a:lstStyle/>
        <a:p>
          <a:endParaRPr lang="en-US"/>
        </a:p>
      </dgm:t>
    </dgm:pt>
    <dgm:pt modelId="{B22C6487-3C88-4D3F-9C69-79D318B18DC6}" type="sibTrans" cxnId="{74AE0DBF-FD80-4203-8D25-A9ED767747D7}">
      <dgm:prSet/>
      <dgm:spPr/>
      <dgm:t>
        <a:bodyPr/>
        <a:lstStyle/>
        <a:p>
          <a:endParaRPr lang="en-US"/>
        </a:p>
      </dgm:t>
    </dgm:pt>
    <dgm:pt modelId="{0DDE6598-DBDB-49D3-BA8B-C97271319FD4}">
      <dgm:prSet phldrT="[Text]" custT="1"/>
      <dgm:spPr>
        <a:xfrm>
          <a:off x="1714"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Provide training regarding outpatient resources and follow-up care</a:t>
          </a:r>
        </a:p>
      </dgm:t>
    </dgm:pt>
    <dgm:pt modelId="{94EFB105-0C52-454C-A714-7832B8F7FAC7}" type="parTrans" cxnId="{81B7904D-1B15-4BEF-B943-C47ECD159600}">
      <dgm:prSet/>
      <dgm:spPr/>
      <dgm:t>
        <a:bodyPr/>
        <a:lstStyle/>
        <a:p>
          <a:endParaRPr lang="en-US"/>
        </a:p>
      </dgm:t>
    </dgm:pt>
    <dgm:pt modelId="{AE7F2527-0FD2-4943-949E-54E8C421F04F}" type="sibTrans" cxnId="{81B7904D-1B15-4BEF-B943-C47ECD159600}">
      <dgm:prSet/>
      <dgm:spPr/>
      <dgm:t>
        <a:bodyPr/>
        <a:lstStyle/>
        <a:p>
          <a:endParaRPr lang="en-US"/>
        </a:p>
      </dgm:t>
    </dgm:pt>
    <dgm:pt modelId="{1AC17C24-A245-47E4-9A14-A459365B1145}">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Reduced substance use </a:t>
          </a:r>
        </a:p>
      </dgm:t>
    </dgm:pt>
    <dgm:pt modelId="{814A1115-483B-465F-BCAA-2EABB9B1F8DA}" type="parTrans" cxnId="{2C4CE071-6836-4CC6-8193-B25A6DFE406E}">
      <dgm:prSet/>
      <dgm:spPr/>
      <dgm:t>
        <a:bodyPr/>
        <a:lstStyle/>
        <a:p>
          <a:endParaRPr lang="en-US"/>
        </a:p>
      </dgm:t>
    </dgm:pt>
    <dgm:pt modelId="{63687618-FABA-417F-B025-BD3924365A4B}" type="sibTrans" cxnId="{2C4CE071-6836-4CC6-8193-B25A6DFE406E}">
      <dgm:prSet/>
      <dgm:spPr/>
      <dgm:t>
        <a:bodyPr/>
        <a:lstStyle/>
        <a:p>
          <a:endParaRPr lang="en-US"/>
        </a:p>
      </dgm:t>
    </dgm:pt>
    <dgm:pt modelId="{5EE1BE79-DE4A-4C58-919B-ED5544446FA3}">
      <dgm:prSet phldrT="[Text]" custT="1"/>
      <dgm:spPr>
        <a:xfrm>
          <a:off x="3813048" y="682004"/>
          <a:ext cx="1671637" cy="158112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Increased retention in treatment </a:t>
          </a:r>
        </a:p>
      </dgm:t>
    </dgm:pt>
    <dgm:pt modelId="{0AB5B2DB-B1E5-4483-BF40-E0ED8A8C9114}" type="parTrans" cxnId="{9E9A23DF-5D64-4BF3-BE50-FBB4E490F6FE}">
      <dgm:prSet/>
      <dgm:spPr/>
      <dgm:t>
        <a:bodyPr/>
        <a:lstStyle/>
        <a:p>
          <a:endParaRPr lang="en-US"/>
        </a:p>
      </dgm:t>
    </dgm:pt>
    <dgm:pt modelId="{4A28090B-6F61-4215-A229-23A40429EFDB}" type="sibTrans" cxnId="{9E9A23DF-5D64-4BF3-BE50-FBB4E490F6FE}">
      <dgm:prSet/>
      <dgm:spPr/>
      <dgm:t>
        <a:bodyPr/>
        <a:lstStyle/>
        <a:p>
          <a:endParaRPr lang="en-US"/>
        </a:p>
      </dgm:t>
    </dgm:pt>
    <dgm:pt modelId="{EC1A6EC5-2457-4D01-AF5B-AA4AABA41D82}">
      <dgm:prSet phldrT="[Text]" custT="1"/>
      <dgm:spPr>
        <a:xfrm>
          <a:off x="1907381" y="682004"/>
          <a:ext cx="1671637" cy="1581120"/>
        </a:xfr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Scheduling outpatient appointments before discharge</a:t>
          </a:r>
        </a:p>
      </dgm:t>
    </dgm:pt>
    <dgm:pt modelId="{E3B64C23-F022-49C6-8851-1AD44B42BA38}" type="parTrans" cxnId="{01A18551-6AA8-4B79-9913-E59D0A5BB9F8}">
      <dgm:prSet/>
      <dgm:spPr/>
      <dgm:t>
        <a:bodyPr/>
        <a:lstStyle/>
        <a:p>
          <a:endParaRPr lang="en-US"/>
        </a:p>
      </dgm:t>
    </dgm:pt>
    <dgm:pt modelId="{D6AA3F4E-A5EC-4AF7-B93C-012DB5DCA498}" type="sibTrans" cxnId="{01A18551-6AA8-4B79-9913-E59D0A5BB9F8}">
      <dgm:prSet/>
      <dgm:spPr/>
      <dgm:t>
        <a:bodyPr/>
        <a:lstStyle/>
        <a:p>
          <a:endParaRPr lang="en-US"/>
        </a:p>
      </dgm:t>
    </dgm:pt>
    <dgm:pt modelId="{F4E552D1-1D94-4991-B5B1-850D8BEF1A75}">
      <dgm:prSet phldrT="[Text]" custT="1"/>
      <dgm:spPr>
        <a:xfrm>
          <a:off x="1907381" y="682004"/>
          <a:ext cx="1671637" cy="1581120"/>
        </a:xfr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Starting patients on OUD before discharge</a:t>
          </a:r>
        </a:p>
      </dgm:t>
    </dgm:pt>
    <dgm:pt modelId="{01A74019-1B15-469A-A292-C17E40DB80D8}" type="parTrans" cxnId="{17E2A4FD-5380-469E-896F-2E172A2F7528}">
      <dgm:prSet/>
      <dgm:spPr/>
      <dgm:t>
        <a:bodyPr/>
        <a:lstStyle/>
        <a:p>
          <a:endParaRPr lang="en-US"/>
        </a:p>
      </dgm:t>
    </dgm:pt>
    <dgm:pt modelId="{48D07DCA-A363-4890-811E-43B85A404F77}" type="sibTrans" cxnId="{17E2A4FD-5380-469E-896F-2E172A2F7528}">
      <dgm:prSet/>
      <dgm:spPr/>
      <dgm:t>
        <a:bodyPr/>
        <a:lstStyle/>
        <a:p>
          <a:endParaRPr lang="en-US"/>
        </a:p>
      </dgm:t>
    </dgm:pt>
    <dgm:pt modelId="{2F464C1C-118E-4135-80B8-39C03D1B92E4}">
      <dgm:prSet phldrT="[Text]" custT="1"/>
      <dgm:spPr>
        <a:xfrm>
          <a:off x="1907381" y="682004"/>
          <a:ext cx="1671637" cy="1581120"/>
        </a:xfr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gm:spPr>
      <dgm:t>
        <a:bodyPr/>
        <a:lstStyle/>
        <a:p>
          <a:pPr>
            <a:buChar char="•"/>
          </a:pPr>
          <a:r>
            <a:rPr lang="en-US" sz="1100">
              <a:solidFill>
                <a:sysClr val="windowText" lastClr="000000">
                  <a:hueOff val="0"/>
                  <a:satOff val="0"/>
                  <a:lumOff val="0"/>
                  <a:alphaOff val="0"/>
                </a:sysClr>
              </a:solidFill>
              <a:latin typeface="Calibri" panose="020F0502020204030204"/>
              <a:ea typeface="+mn-ea"/>
              <a:cs typeface="+mn-cs"/>
            </a:rPr>
            <a:t>Facilitating housing and social supports</a:t>
          </a:r>
        </a:p>
      </dgm:t>
    </dgm:pt>
    <dgm:pt modelId="{20CCAD37-AB81-4AD4-9D7D-7577941688AD}" type="parTrans" cxnId="{2C4993D0-B700-4994-AE4D-55F40D1C30B0}">
      <dgm:prSet/>
      <dgm:spPr/>
      <dgm:t>
        <a:bodyPr/>
        <a:lstStyle/>
        <a:p>
          <a:endParaRPr lang="en-US"/>
        </a:p>
      </dgm:t>
    </dgm:pt>
    <dgm:pt modelId="{4D6AF86A-239D-45C3-A01A-4D818B5F7814}" type="sibTrans" cxnId="{2C4993D0-B700-4994-AE4D-55F40D1C30B0}">
      <dgm:prSet/>
      <dgm:spPr/>
      <dgm:t>
        <a:bodyPr/>
        <a:lstStyle/>
        <a:p>
          <a:endParaRPr lang="en-US"/>
        </a:p>
      </dgm:t>
    </dgm:pt>
    <dgm:pt modelId="{E0578F7B-D95E-4750-9BB5-60FD20AF6032}" type="pres">
      <dgm:prSet presAssocID="{CFC7B347-B85E-4901-9B7B-5EAA9A1DD06C}" presName="Name0" presStyleCnt="0">
        <dgm:presLayoutVars>
          <dgm:dir/>
          <dgm:animLvl val="lvl"/>
          <dgm:resizeHandles val="exact"/>
        </dgm:presLayoutVars>
      </dgm:prSet>
      <dgm:spPr/>
    </dgm:pt>
    <dgm:pt modelId="{E44008A3-81AF-46E7-BA9E-C083436C797B}" type="pres">
      <dgm:prSet presAssocID="{31231DD1-DACD-4A81-9BDD-8D659BA33D1B}" presName="composite" presStyleCnt="0"/>
      <dgm:spPr/>
    </dgm:pt>
    <dgm:pt modelId="{F6B422D1-0E7D-40CC-84FB-55B98458D37D}" type="pres">
      <dgm:prSet presAssocID="{31231DD1-DACD-4A81-9BDD-8D659BA33D1B}" presName="parTx" presStyleLbl="alignNode1" presStyleIdx="0" presStyleCnt="3">
        <dgm:presLayoutVars>
          <dgm:chMax val="0"/>
          <dgm:chPref val="0"/>
          <dgm:bulletEnabled val="1"/>
        </dgm:presLayoutVars>
      </dgm:prSet>
      <dgm:spPr/>
    </dgm:pt>
    <dgm:pt modelId="{BCCB88C2-9AF8-41D7-ABE0-1D4A15820325}" type="pres">
      <dgm:prSet presAssocID="{31231DD1-DACD-4A81-9BDD-8D659BA33D1B}" presName="desTx" presStyleLbl="alignAccFollowNode1" presStyleIdx="0" presStyleCnt="3">
        <dgm:presLayoutVars>
          <dgm:bulletEnabled val="1"/>
        </dgm:presLayoutVars>
      </dgm:prSet>
      <dgm:spPr/>
    </dgm:pt>
    <dgm:pt modelId="{72D54233-75FB-4773-A29E-9FD27F0BAE57}" type="pres">
      <dgm:prSet presAssocID="{4D24088C-ED7B-43DA-A338-B5E0B7729F24}" presName="space" presStyleCnt="0"/>
      <dgm:spPr/>
    </dgm:pt>
    <dgm:pt modelId="{87E7CDD7-4A12-4C6B-ACD7-219ABF7BBE0E}" type="pres">
      <dgm:prSet presAssocID="{0D331A4F-7DCB-41BA-A721-D5B3CA5CDFF9}" presName="composite" presStyleCnt="0"/>
      <dgm:spPr/>
    </dgm:pt>
    <dgm:pt modelId="{46D2B166-3FFD-4547-ACA1-FE9622AA3DBF}" type="pres">
      <dgm:prSet presAssocID="{0D331A4F-7DCB-41BA-A721-D5B3CA5CDFF9}" presName="parTx" presStyleLbl="alignNode1" presStyleIdx="1" presStyleCnt="3">
        <dgm:presLayoutVars>
          <dgm:chMax val="0"/>
          <dgm:chPref val="0"/>
          <dgm:bulletEnabled val="1"/>
        </dgm:presLayoutVars>
      </dgm:prSet>
      <dgm:spPr/>
    </dgm:pt>
    <dgm:pt modelId="{C08B3C46-3F23-455F-9ADC-4A9BBB8B7872}" type="pres">
      <dgm:prSet presAssocID="{0D331A4F-7DCB-41BA-A721-D5B3CA5CDFF9}" presName="desTx" presStyleLbl="alignAccFollowNode1" presStyleIdx="1" presStyleCnt="3">
        <dgm:presLayoutVars>
          <dgm:bulletEnabled val="1"/>
        </dgm:presLayoutVars>
      </dgm:prSet>
      <dgm:spPr>
        <a:prstGeom prst="rect">
          <a:avLst/>
        </a:prstGeom>
      </dgm:spPr>
    </dgm:pt>
    <dgm:pt modelId="{84F52EFF-6C0D-4532-8D55-34FC9428DBEF}" type="pres">
      <dgm:prSet presAssocID="{50642A64-47AC-4B6A-9244-DF4B7CAC58CD}" presName="space" presStyleCnt="0"/>
      <dgm:spPr/>
    </dgm:pt>
    <dgm:pt modelId="{9A0B996B-B621-409E-BFF6-364EA11892F6}" type="pres">
      <dgm:prSet presAssocID="{24D7C447-CE89-4D93-9C1D-88F177A1EF75}" presName="composite" presStyleCnt="0"/>
      <dgm:spPr/>
    </dgm:pt>
    <dgm:pt modelId="{F59690B7-59A6-49B6-9F7E-EE76B5A3CF24}" type="pres">
      <dgm:prSet presAssocID="{24D7C447-CE89-4D93-9C1D-88F177A1EF75}" presName="parTx" presStyleLbl="alignNode1" presStyleIdx="2" presStyleCnt="3">
        <dgm:presLayoutVars>
          <dgm:chMax val="0"/>
          <dgm:chPref val="0"/>
          <dgm:bulletEnabled val="1"/>
        </dgm:presLayoutVars>
      </dgm:prSet>
      <dgm:spPr/>
    </dgm:pt>
    <dgm:pt modelId="{1958E6F3-BC7E-4AC4-BF4C-825F707F5A73}" type="pres">
      <dgm:prSet presAssocID="{24D7C447-CE89-4D93-9C1D-88F177A1EF75}" presName="desTx" presStyleLbl="alignAccFollowNode1" presStyleIdx="2" presStyleCnt="3">
        <dgm:presLayoutVars>
          <dgm:bulletEnabled val="1"/>
        </dgm:presLayoutVars>
      </dgm:prSet>
      <dgm:spPr/>
    </dgm:pt>
  </dgm:ptLst>
  <dgm:cxnLst>
    <dgm:cxn modelId="{0B61C000-DD14-4E46-8B97-DB351E26D9C1}" type="presOf" srcId="{85CDE0D5-E542-444B-A092-70763A643B4F}" destId="{BCCB88C2-9AF8-41D7-ABE0-1D4A15820325}" srcOrd="0" destOrd="1" presId="urn:microsoft.com/office/officeart/2005/8/layout/hList1"/>
    <dgm:cxn modelId="{7104CB04-BE66-40EE-8FE3-5A4E20A29AFB}" srcId="{CFC7B347-B85E-4901-9B7B-5EAA9A1DD06C}" destId="{31231DD1-DACD-4A81-9BDD-8D659BA33D1B}" srcOrd="0" destOrd="0" parTransId="{8D03F6B0-9284-4AF7-971A-5DD085DC78C1}" sibTransId="{4D24088C-ED7B-43DA-A338-B5E0B7729F24}"/>
    <dgm:cxn modelId="{C200381A-0682-4AEA-BEFE-6634CB13E82A}" type="presOf" srcId="{1AC17C24-A245-47E4-9A14-A459365B1145}" destId="{1958E6F3-BC7E-4AC4-BF4C-825F707F5A73}" srcOrd="0" destOrd="2" presId="urn:microsoft.com/office/officeart/2005/8/layout/hList1"/>
    <dgm:cxn modelId="{F06E031F-D4D6-4A91-A78A-8E84D59C5E97}" type="presOf" srcId="{CFC7B347-B85E-4901-9B7B-5EAA9A1DD06C}" destId="{E0578F7B-D95E-4750-9BB5-60FD20AF6032}" srcOrd="0" destOrd="0" presId="urn:microsoft.com/office/officeart/2005/8/layout/hList1"/>
    <dgm:cxn modelId="{3DE3DA27-D469-42C5-B9BA-6EFF418917D3}" srcId="{CFC7B347-B85E-4901-9B7B-5EAA9A1DD06C}" destId="{24D7C447-CE89-4D93-9C1D-88F177A1EF75}" srcOrd="2" destOrd="0" parTransId="{836FDF11-ED6F-4E79-83A0-C0D148F25775}" sibTransId="{CBDD60F4-7D95-4E0A-BAE0-58B47E6587AB}"/>
    <dgm:cxn modelId="{0A50252C-35E7-405A-A107-936D86D02CC9}" type="presOf" srcId="{2F464C1C-118E-4135-80B8-39C03D1B92E4}" destId="{C08B3C46-3F23-455F-9ADC-4A9BBB8B7872}" srcOrd="0" destOrd="3" presId="urn:microsoft.com/office/officeart/2005/8/layout/hList1"/>
    <dgm:cxn modelId="{D02CA55C-C83E-4E00-8D03-BB0F79B6C493}" type="presOf" srcId="{77BE8045-0B6D-4536-BE71-EF86E0AB2D25}" destId="{1958E6F3-BC7E-4AC4-BF4C-825F707F5A73}" srcOrd="0" destOrd="1" presId="urn:microsoft.com/office/officeart/2005/8/layout/hList1"/>
    <dgm:cxn modelId="{81B7904D-1B15-4BEF-B943-C47ECD159600}" srcId="{31231DD1-DACD-4A81-9BDD-8D659BA33D1B}" destId="{0DDE6598-DBDB-49D3-BA8B-C97271319FD4}" srcOrd="2" destOrd="0" parTransId="{94EFB105-0C52-454C-A714-7832B8F7FAC7}" sibTransId="{AE7F2527-0FD2-4943-949E-54E8C421F04F}"/>
    <dgm:cxn modelId="{01A18551-6AA8-4B79-9913-E59D0A5BB9F8}" srcId="{0D331A4F-7DCB-41BA-A721-D5B3CA5CDFF9}" destId="{EC1A6EC5-2457-4D01-AF5B-AA4AABA41D82}" srcOrd="1" destOrd="0" parTransId="{E3B64C23-F022-49C6-8851-1AD44B42BA38}" sibTransId="{D6AA3F4E-A5EC-4AF7-B93C-012DB5DCA498}"/>
    <dgm:cxn modelId="{2C4CE071-6836-4CC6-8193-B25A6DFE406E}" srcId="{24D7C447-CE89-4D93-9C1D-88F177A1EF75}" destId="{1AC17C24-A245-47E4-9A14-A459365B1145}" srcOrd="2" destOrd="0" parTransId="{814A1115-483B-465F-BCAA-2EABB9B1F8DA}" sibTransId="{63687618-FABA-417F-B025-BD3924365A4B}"/>
    <dgm:cxn modelId="{08ABC353-E68E-4B2C-A765-CE1885382F30}" type="presOf" srcId="{31231DD1-DACD-4A81-9BDD-8D659BA33D1B}" destId="{F6B422D1-0E7D-40CC-84FB-55B98458D37D}" srcOrd="0" destOrd="0" presId="urn:microsoft.com/office/officeart/2005/8/layout/hList1"/>
    <dgm:cxn modelId="{B8DFD853-82D9-49A8-9F22-78064BF90960}" srcId="{0D331A4F-7DCB-41BA-A721-D5B3CA5CDFF9}" destId="{4EEE7C5F-8FE0-4ABE-AD84-EDA9F28573CF}" srcOrd="0" destOrd="0" parTransId="{A355AD89-5CDD-485D-9C25-37C8071E9477}" sibTransId="{C0AFD2C8-4ADC-4196-A2BD-2FC7F3E37619}"/>
    <dgm:cxn modelId="{6937AB78-B0D4-45BC-80FD-B875C3823BAA}" type="presOf" srcId="{4EEE7C5F-8FE0-4ABE-AD84-EDA9F28573CF}" destId="{C08B3C46-3F23-455F-9ADC-4A9BBB8B7872}" srcOrd="0" destOrd="0" presId="urn:microsoft.com/office/officeart/2005/8/layout/hList1"/>
    <dgm:cxn modelId="{4531AF59-38FC-4B81-AFEF-BE0BC552CF19}" type="presOf" srcId="{49A62DBD-D96C-4B81-B2CD-E31CDD3B65F0}" destId="{1958E6F3-BC7E-4AC4-BF4C-825F707F5A73}" srcOrd="0" destOrd="0" presId="urn:microsoft.com/office/officeart/2005/8/layout/hList1"/>
    <dgm:cxn modelId="{7B01657A-FA3D-4560-B9C4-672B480D5556}" srcId="{31231DD1-DACD-4A81-9BDD-8D659BA33D1B}" destId="{85CDE0D5-E542-444B-A092-70763A643B4F}" srcOrd="1" destOrd="0" parTransId="{E0349CBF-E93E-4229-894D-3539731FB417}" sibTransId="{21F1B618-BF3B-4EEA-9833-8371F3EFA131}"/>
    <dgm:cxn modelId="{782FDF85-13F3-4FBC-B49A-377208085586}" type="presOf" srcId="{0D331A4F-7DCB-41BA-A721-D5B3CA5CDFF9}" destId="{46D2B166-3FFD-4547-ACA1-FE9622AA3DBF}" srcOrd="0" destOrd="0" presId="urn:microsoft.com/office/officeart/2005/8/layout/hList1"/>
    <dgm:cxn modelId="{2249E185-0405-492A-935C-B02B8FE385DE}" type="presOf" srcId="{24D7C447-CE89-4D93-9C1D-88F177A1EF75}" destId="{F59690B7-59A6-49B6-9F7E-EE76B5A3CF24}" srcOrd="0" destOrd="0" presId="urn:microsoft.com/office/officeart/2005/8/layout/hList1"/>
    <dgm:cxn modelId="{9E943089-A05D-4084-BD5A-AD673A25EFD2}" srcId="{24D7C447-CE89-4D93-9C1D-88F177A1EF75}" destId="{49A62DBD-D96C-4B81-B2CD-E31CDD3B65F0}" srcOrd="0" destOrd="0" parTransId="{3017A114-6339-45BD-A2AF-6DC3F02B25AD}" sibTransId="{65C5B197-A6B3-47B7-80CF-83E7DFAC4069}"/>
    <dgm:cxn modelId="{647A8C90-1A7D-4E09-86B4-8FFC2383CE0D}" type="presOf" srcId="{D7AECCB8-D9C2-4414-8B7A-9930CDF68526}" destId="{BCCB88C2-9AF8-41D7-ABE0-1D4A15820325}" srcOrd="0" destOrd="0" presId="urn:microsoft.com/office/officeart/2005/8/layout/hList1"/>
    <dgm:cxn modelId="{319D0A94-7C57-4D2C-B12C-CDA5B6BB611A}" srcId="{CFC7B347-B85E-4901-9B7B-5EAA9A1DD06C}" destId="{0D331A4F-7DCB-41BA-A721-D5B3CA5CDFF9}" srcOrd="1" destOrd="0" parTransId="{DA97A9EC-D628-4906-B5F2-F97694BE2AE7}" sibTransId="{50642A64-47AC-4B6A-9244-DF4B7CAC58CD}"/>
    <dgm:cxn modelId="{03BCD2BC-AF99-45C8-8244-D0C58F20D854}" type="presOf" srcId="{EC1A6EC5-2457-4D01-AF5B-AA4AABA41D82}" destId="{C08B3C46-3F23-455F-9ADC-4A9BBB8B7872}" srcOrd="0" destOrd="1" presId="urn:microsoft.com/office/officeart/2005/8/layout/hList1"/>
    <dgm:cxn modelId="{74AE0DBF-FD80-4203-8D25-A9ED767747D7}" srcId="{24D7C447-CE89-4D93-9C1D-88F177A1EF75}" destId="{77BE8045-0B6D-4536-BE71-EF86E0AB2D25}" srcOrd="1" destOrd="0" parTransId="{6323260B-517B-466C-A3CE-E0B9A5AAC3FC}" sibTransId="{B22C6487-3C88-4D3F-9C69-79D318B18DC6}"/>
    <dgm:cxn modelId="{EAAF32D0-4124-4327-BC1F-25BD6DB5C5A3}" type="presOf" srcId="{5EE1BE79-DE4A-4C58-919B-ED5544446FA3}" destId="{1958E6F3-BC7E-4AC4-BF4C-825F707F5A73}" srcOrd="0" destOrd="3" presId="urn:microsoft.com/office/officeart/2005/8/layout/hList1"/>
    <dgm:cxn modelId="{2C4993D0-B700-4994-AE4D-55F40D1C30B0}" srcId="{0D331A4F-7DCB-41BA-A721-D5B3CA5CDFF9}" destId="{2F464C1C-118E-4135-80B8-39C03D1B92E4}" srcOrd="3" destOrd="0" parTransId="{20CCAD37-AB81-4AD4-9D7D-7577941688AD}" sibTransId="{4D6AF86A-239D-45C3-A01A-4D818B5F7814}"/>
    <dgm:cxn modelId="{9E9A23DF-5D64-4BF3-BE50-FBB4E490F6FE}" srcId="{24D7C447-CE89-4D93-9C1D-88F177A1EF75}" destId="{5EE1BE79-DE4A-4C58-919B-ED5544446FA3}" srcOrd="3" destOrd="0" parTransId="{0AB5B2DB-B1E5-4483-BF40-E0ED8A8C9114}" sibTransId="{4A28090B-6F61-4215-A229-23A40429EFDB}"/>
    <dgm:cxn modelId="{EE8CB7F2-6D22-4174-82EF-B6BEF45DB075}" srcId="{31231DD1-DACD-4A81-9BDD-8D659BA33D1B}" destId="{D7AECCB8-D9C2-4414-8B7A-9930CDF68526}" srcOrd="0" destOrd="0" parTransId="{A6F36244-A9C6-4117-8691-23DDE7AB6A12}" sibTransId="{C5A8A48A-6560-43F6-BCAB-F597673C86C4}"/>
    <dgm:cxn modelId="{D039A2FB-58D6-4461-B93D-AABD60D4A6DE}" type="presOf" srcId="{F4E552D1-1D94-4991-B5B1-850D8BEF1A75}" destId="{C08B3C46-3F23-455F-9ADC-4A9BBB8B7872}" srcOrd="0" destOrd="2" presId="urn:microsoft.com/office/officeart/2005/8/layout/hList1"/>
    <dgm:cxn modelId="{17E2A4FD-5380-469E-896F-2E172A2F7528}" srcId="{0D331A4F-7DCB-41BA-A721-D5B3CA5CDFF9}" destId="{F4E552D1-1D94-4991-B5B1-850D8BEF1A75}" srcOrd="2" destOrd="0" parTransId="{01A74019-1B15-469A-A292-C17E40DB80D8}" sibTransId="{48D07DCA-A363-4890-811E-43B85A404F77}"/>
    <dgm:cxn modelId="{281795FE-D1A0-4EEF-A259-CFF559C9EADB}" type="presOf" srcId="{0DDE6598-DBDB-49D3-BA8B-C97271319FD4}" destId="{BCCB88C2-9AF8-41D7-ABE0-1D4A15820325}" srcOrd="0" destOrd="2" presId="urn:microsoft.com/office/officeart/2005/8/layout/hList1"/>
    <dgm:cxn modelId="{51FC3C22-BB58-4826-A222-C1622334C015}" type="presParOf" srcId="{E0578F7B-D95E-4750-9BB5-60FD20AF6032}" destId="{E44008A3-81AF-46E7-BA9E-C083436C797B}" srcOrd="0" destOrd="0" presId="urn:microsoft.com/office/officeart/2005/8/layout/hList1"/>
    <dgm:cxn modelId="{BA04F9DE-FFAA-463E-A576-3785D13D7D9A}" type="presParOf" srcId="{E44008A3-81AF-46E7-BA9E-C083436C797B}" destId="{F6B422D1-0E7D-40CC-84FB-55B98458D37D}" srcOrd="0" destOrd="0" presId="urn:microsoft.com/office/officeart/2005/8/layout/hList1"/>
    <dgm:cxn modelId="{BB35C95D-E9DC-4A54-9FFE-9DA0493C201C}" type="presParOf" srcId="{E44008A3-81AF-46E7-BA9E-C083436C797B}" destId="{BCCB88C2-9AF8-41D7-ABE0-1D4A15820325}" srcOrd="1" destOrd="0" presId="urn:microsoft.com/office/officeart/2005/8/layout/hList1"/>
    <dgm:cxn modelId="{4F832D65-0FC2-4F01-B7F8-6E9CD0DD47DE}" type="presParOf" srcId="{E0578F7B-D95E-4750-9BB5-60FD20AF6032}" destId="{72D54233-75FB-4773-A29E-9FD27F0BAE57}" srcOrd="1" destOrd="0" presId="urn:microsoft.com/office/officeart/2005/8/layout/hList1"/>
    <dgm:cxn modelId="{419B0F35-7F0A-4101-AC41-6875D1833674}" type="presParOf" srcId="{E0578F7B-D95E-4750-9BB5-60FD20AF6032}" destId="{87E7CDD7-4A12-4C6B-ACD7-219ABF7BBE0E}" srcOrd="2" destOrd="0" presId="urn:microsoft.com/office/officeart/2005/8/layout/hList1"/>
    <dgm:cxn modelId="{4CAD38AF-7EB0-4EB2-AE47-70510088383B}" type="presParOf" srcId="{87E7CDD7-4A12-4C6B-ACD7-219ABF7BBE0E}" destId="{46D2B166-3FFD-4547-ACA1-FE9622AA3DBF}" srcOrd="0" destOrd="0" presId="urn:microsoft.com/office/officeart/2005/8/layout/hList1"/>
    <dgm:cxn modelId="{50338520-5767-4751-BF43-922F6E062C72}" type="presParOf" srcId="{87E7CDD7-4A12-4C6B-ACD7-219ABF7BBE0E}" destId="{C08B3C46-3F23-455F-9ADC-4A9BBB8B7872}" srcOrd="1" destOrd="0" presId="urn:microsoft.com/office/officeart/2005/8/layout/hList1"/>
    <dgm:cxn modelId="{F8FB2A9B-C724-4DDB-9A8C-D0634CCF328F}" type="presParOf" srcId="{E0578F7B-D95E-4750-9BB5-60FD20AF6032}" destId="{84F52EFF-6C0D-4532-8D55-34FC9428DBEF}" srcOrd="3" destOrd="0" presId="urn:microsoft.com/office/officeart/2005/8/layout/hList1"/>
    <dgm:cxn modelId="{4BC7AE8E-0885-4475-A8B5-9B8CE91E4BC8}" type="presParOf" srcId="{E0578F7B-D95E-4750-9BB5-60FD20AF6032}" destId="{9A0B996B-B621-409E-BFF6-364EA11892F6}" srcOrd="4" destOrd="0" presId="urn:microsoft.com/office/officeart/2005/8/layout/hList1"/>
    <dgm:cxn modelId="{30A9346E-25DC-4200-AE33-F019BADC733C}" type="presParOf" srcId="{9A0B996B-B621-409E-BFF6-364EA11892F6}" destId="{F59690B7-59A6-49B6-9F7E-EE76B5A3CF24}" srcOrd="0" destOrd="0" presId="urn:microsoft.com/office/officeart/2005/8/layout/hList1"/>
    <dgm:cxn modelId="{176D63CE-75F3-4DA6-9ACA-1F24783C42F2}" type="presParOf" srcId="{9A0B996B-B621-409E-BFF6-364EA11892F6}" destId="{1958E6F3-BC7E-4AC4-BF4C-825F707F5A73}" srcOrd="1" destOrd="0" presId="urn:microsoft.com/office/officeart/2005/8/layout/hList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B422D1-0E7D-40CC-84FB-55B98458D37D}">
      <dsp:nvSpPr>
        <dsp:cNvPr id="0" name=""/>
        <dsp:cNvSpPr/>
      </dsp:nvSpPr>
      <dsp:spPr>
        <a:xfrm>
          <a:off x="1714" y="6172"/>
          <a:ext cx="1671637" cy="633600"/>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Structural Changes to Improve Follow up</a:t>
          </a:r>
        </a:p>
      </dsp:txBody>
      <dsp:txXfrm>
        <a:off x="1714" y="6172"/>
        <a:ext cx="1671637" cy="633600"/>
      </dsp:txXfrm>
    </dsp:sp>
    <dsp:sp modelId="{BCCB88C2-9AF8-41D7-ABE0-1D4A15820325}">
      <dsp:nvSpPr>
        <dsp:cNvPr id="0" name=""/>
        <dsp:cNvSpPr/>
      </dsp:nvSpPr>
      <dsp:spPr>
        <a:xfrm>
          <a:off x="1714" y="639772"/>
          <a:ext cx="1671637" cy="163053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Hire professionals to provide addiction inpatient consults </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Hire peer navigators </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Provide training regarding outpatient resources and follow-up care</a:t>
          </a:r>
        </a:p>
      </dsp:txBody>
      <dsp:txXfrm>
        <a:off x="1714" y="639772"/>
        <a:ext cx="1671637" cy="1630530"/>
      </dsp:txXfrm>
    </dsp:sp>
    <dsp:sp modelId="{46D2B166-3FFD-4547-ACA1-FE9622AA3DBF}">
      <dsp:nvSpPr>
        <dsp:cNvPr id="0" name=""/>
        <dsp:cNvSpPr/>
      </dsp:nvSpPr>
      <dsp:spPr>
        <a:xfrm>
          <a:off x="1907381" y="6172"/>
          <a:ext cx="1671637" cy="633600"/>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Process Changes to Improve Follow up </a:t>
          </a:r>
          <a:r>
            <a:rPr lang="en-US" sz="1300" kern="1200">
              <a:solidFill>
                <a:sysClr val="window" lastClr="FFFFFF"/>
              </a:solidFill>
              <a:latin typeface="Calibri" panose="020F0502020204030204"/>
              <a:ea typeface="+mn-ea"/>
              <a:cs typeface="+mn-cs"/>
            </a:rPr>
            <a:t>	</a:t>
          </a:r>
        </a:p>
      </dsp:txBody>
      <dsp:txXfrm>
        <a:off x="1907381" y="6172"/>
        <a:ext cx="1671637" cy="633600"/>
      </dsp:txXfrm>
    </dsp:sp>
    <dsp:sp modelId="{C08B3C46-3F23-455F-9ADC-4A9BBB8B7872}">
      <dsp:nvSpPr>
        <dsp:cNvPr id="0" name=""/>
        <dsp:cNvSpPr/>
      </dsp:nvSpPr>
      <dsp:spPr>
        <a:xfrm>
          <a:off x="1907381" y="639772"/>
          <a:ext cx="1671637" cy="163053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Using inpatient addiction consults</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Scheduling outpatient appointments before discharge</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Starting patients on OUD before discharge</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Facilitating housing and social supports</a:t>
          </a:r>
        </a:p>
      </dsp:txBody>
      <dsp:txXfrm>
        <a:off x="1907381" y="639772"/>
        <a:ext cx="1671637" cy="1630530"/>
      </dsp:txXfrm>
    </dsp:sp>
    <dsp:sp modelId="{F59690B7-59A6-49B6-9F7E-EE76B5A3CF24}">
      <dsp:nvSpPr>
        <dsp:cNvPr id="0" name=""/>
        <dsp:cNvSpPr/>
      </dsp:nvSpPr>
      <dsp:spPr>
        <a:xfrm>
          <a:off x="3813048" y="6172"/>
          <a:ext cx="1671637" cy="633600"/>
        </a:xfrm>
        <a:prstGeom prst="rect">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 lastClr="FFFFFF"/>
              </a:solidFill>
              <a:latin typeface="Calibri" panose="020F0502020204030204"/>
              <a:ea typeface="+mn-ea"/>
              <a:cs typeface="+mn-cs"/>
            </a:rPr>
            <a:t>Outcome Changes</a:t>
          </a:r>
        </a:p>
      </dsp:txBody>
      <dsp:txXfrm>
        <a:off x="3813048" y="6172"/>
        <a:ext cx="1671637" cy="633600"/>
      </dsp:txXfrm>
    </dsp:sp>
    <dsp:sp modelId="{1958E6F3-BC7E-4AC4-BF4C-825F707F5A73}">
      <dsp:nvSpPr>
        <dsp:cNvPr id="0" name=""/>
        <dsp:cNvSpPr/>
      </dsp:nvSpPr>
      <dsp:spPr>
        <a:xfrm>
          <a:off x="3813048" y="639772"/>
          <a:ext cx="1671637" cy="1630530"/>
        </a:xfrm>
        <a:prstGeom prst="rect">
          <a:avLst/>
        </a:prstGeom>
        <a:solidFill>
          <a:srgbClr val="4472C4">
            <a:alpha val="90000"/>
            <a:tint val="40000"/>
            <a:hueOff val="0"/>
            <a:satOff val="0"/>
            <a:lumOff val="0"/>
            <a:alphaOff val="0"/>
          </a:srgbClr>
        </a:solidFill>
        <a:ln w="12700" cap="flat" cmpd="sng" algn="ctr">
          <a:solidFill>
            <a:srgbClr val="4472C4">
              <a:alpha val="90000"/>
              <a:tint val="4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mortality</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hospital readmissions </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Reduced substance use </a:t>
          </a:r>
        </a:p>
        <a:p>
          <a:pPr marL="57150" lvl="1" indent="-57150" algn="l" defTabSz="488950">
            <a:lnSpc>
              <a:spcPct val="90000"/>
            </a:lnSpc>
            <a:spcBef>
              <a:spcPct val="0"/>
            </a:spcBef>
            <a:spcAft>
              <a:spcPct val="15000"/>
            </a:spcAft>
            <a:buChar char="•"/>
          </a:pPr>
          <a:r>
            <a:rPr lang="en-US" sz="1100" kern="1200">
              <a:solidFill>
                <a:sysClr val="windowText" lastClr="000000">
                  <a:hueOff val="0"/>
                  <a:satOff val="0"/>
                  <a:lumOff val="0"/>
                  <a:alphaOff val="0"/>
                </a:sysClr>
              </a:solidFill>
              <a:latin typeface="Calibri" panose="020F0502020204030204"/>
              <a:ea typeface="+mn-ea"/>
              <a:cs typeface="+mn-cs"/>
            </a:rPr>
            <a:t>Increased retention in treatment </a:t>
          </a:r>
        </a:p>
      </dsp:txBody>
      <dsp:txXfrm>
        <a:off x="3813048" y="639772"/>
        <a:ext cx="1671637" cy="163053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8A2F62E4D85C4F986F8F6D1E15DAA8" ma:contentTypeVersion="9" ma:contentTypeDescription="Create a new document." ma:contentTypeScope="" ma:versionID="742f062cf8c7b9ec0fc3e475d4c0f410">
  <xsd:schema xmlns:xsd="http://www.w3.org/2001/XMLSchema" xmlns:xs="http://www.w3.org/2001/XMLSchema" xmlns:p="http://schemas.microsoft.com/office/2006/metadata/properties" xmlns:ns3="4c3e528d-a866-444d-9f07-bba49fad174a" targetNamespace="http://schemas.microsoft.com/office/2006/metadata/properties" ma:root="true" ma:fieldsID="dfb663d4dfa34ee5c519d416e62566a4" ns3:_="">
    <xsd:import namespace="4c3e528d-a866-444d-9f07-bba49fad17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528d-a866-444d-9f07-bba49fad17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22720-2766-4013-A7F8-34A561B7131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4c3e528d-a866-444d-9f07-bba49fad174a"/>
    <ds:schemaRef ds:uri="http://www.w3.org/XML/1998/namespace"/>
    <ds:schemaRef ds:uri="http://purl.org/dc/dcmitype/"/>
  </ds:schemaRefs>
</ds:datastoreItem>
</file>

<file path=customXml/itemProps2.xml><?xml version="1.0" encoding="utf-8"?>
<ds:datastoreItem xmlns:ds="http://schemas.openxmlformats.org/officeDocument/2006/customXml" ds:itemID="{50C35731-2115-4271-AAE3-16D45A67859B}">
  <ds:schemaRefs>
    <ds:schemaRef ds:uri="http://schemas.openxmlformats.org/officeDocument/2006/bibliography"/>
  </ds:schemaRefs>
</ds:datastoreItem>
</file>

<file path=customXml/itemProps3.xml><?xml version="1.0" encoding="utf-8"?>
<ds:datastoreItem xmlns:ds="http://schemas.openxmlformats.org/officeDocument/2006/customXml" ds:itemID="{7633F40D-2A25-4CBE-AFA8-EFE93AD77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528d-a866-444d-9f07-bba49fad1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5380E-B646-4DDC-93A4-975186AED5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6407</Words>
  <Characters>36523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Evidence Attachement (subcriterion 1a)</vt:lpstr>
    </vt:vector>
  </TitlesOfParts>
  <Company/>
  <LinksUpToDate>false</LinksUpToDate>
  <CharactersWithSpaces>42845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Attachement (subcriterion 1a)</dc:title>
  <dc:subject>evidence form</dc:subject>
  <dc:creator>National Quality Forum</dc:creator>
  <cp:keywords>evidence</cp:keywords>
  <dc:description/>
  <cp:lastModifiedBy>RTI_jhs</cp:lastModifiedBy>
  <cp:revision>2</cp:revision>
  <cp:lastPrinted>2020-10-27T22:17:00Z</cp:lastPrinted>
  <dcterms:created xsi:type="dcterms:W3CDTF">2020-11-19T16:47:00Z</dcterms:created>
  <dcterms:modified xsi:type="dcterms:W3CDTF">2020-11-19T16:47:00Z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0x010100E08A2F62E4D85C4F986F8F6D1E15DAA8</vt:lpwstr>
  </property>
</Properties>
</file>