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488A7C6C"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347C1E" w:rsidRPr="00347C1E">
            <w:rPr>
              <w:rStyle w:val="Style1"/>
            </w:rPr>
            <w:t>Hydroxyurea Use among Children with Sickle Cell Anemia</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4F6A8D3D"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AA602D"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AA602D"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AA602D"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5BA66FE6" w:rsidR="00D73685" w:rsidRDefault="00AA602D"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5D0B1C">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sdt>
            <w:sdtPr>
              <w:rPr>
                <w:rStyle w:val="Style1"/>
              </w:rPr>
              <w:id w:val="2070456002"/>
              <w:placeholder>
                <w:docPart w:val="06FF12CCF28C4E02B819E68BA3ADC9FC"/>
              </w:placeholder>
            </w:sdtPr>
            <w:sdtEndPr>
              <w:rPr>
                <w:rStyle w:val="DefaultParagraphFont"/>
                <w:noProof/>
                <w:color w:val="auto"/>
              </w:rPr>
            </w:sdtEndPr>
            <w:sdtContent>
              <w:r w:rsidR="006700A2" w:rsidRPr="00347C1E">
                <w:rPr>
                  <w:rStyle w:val="Style1"/>
                </w:rPr>
                <w:t>Hydroxyurea Use among Children with Sickle Cell Anemia</w:t>
              </w:r>
            </w:sdtContent>
          </w:sdt>
        </w:sdtContent>
      </w:sdt>
    </w:p>
    <w:p w14:paraId="55B8DA56" w14:textId="6BD286B4"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p>
    <w:p w14:paraId="55B8DA57" w14:textId="77777777" w:rsidR="00496AF8" w:rsidRPr="003B1CC5" w:rsidRDefault="00AA602D"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AA602D"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44CD5B66" w14:textId="77777777" w:rsidR="006700A2" w:rsidRDefault="006700A2" w:rsidP="002E2177">
      <w:pPr>
        <w:ind w:left="432" w:hanging="432"/>
        <w:rPr>
          <w:color w:val="0000FF"/>
        </w:rPr>
      </w:pPr>
    </w:p>
    <w:p w14:paraId="55B8DA5B" w14:textId="7215EAB2" w:rsidR="002B06BD" w:rsidRPr="003B1CC5" w:rsidRDefault="006700A2" w:rsidP="006700A2">
      <w:pPr>
        <w:ind w:left="0" w:firstLine="0"/>
        <w:rPr>
          <w:color w:val="0000FF"/>
        </w:rPr>
      </w:pPr>
      <w:r w:rsidRPr="006700A2">
        <w:rPr>
          <w:color w:val="0000FF"/>
        </w:rPr>
        <w:t xml:space="preserve">Daily receipt of </w:t>
      </w:r>
      <w:r>
        <w:rPr>
          <w:color w:val="0000FF"/>
        </w:rPr>
        <w:t>hydroxyurea</w:t>
      </w:r>
      <w:r w:rsidRPr="006700A2">
        <w:rPr>
          <w:color w:val="0000FF"/>
        </w:rPr>
        <w:t xml:space="preserve"> results in substantial reduction of the incidence of </w:t>
      </w:r>
      <w:r>
        <w:rPr>
          <w:color w:val="0000FF"/>
        </w:rPr>
        <w:t>pain crises</w:t>
      </w:r>
      <w:r w:rsidRPr="006700A2">
        <w:rPr>
          <w:color w:val="0000FF"/>
        </w:rPr>
        <w:t xml:space="preserve"> </w:t>
      </w:r>
      <w:r w:rsidR="0019419B">
        <w:rPr>
          <w:color w:val="0000FF"/>
        </w:rPr>
        <w:t xml:space="preserve">and acute chest syndrome </w:t>
      </w:r>
      <w:r w:rsidRPr="006700A2">
        <w:rPr>
          <w:color w:val="0000FF"/>
        </w:rPr>
        <w:t>among children with sickle cell anemia (SCA).</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47E6EE95" w14:textId="77777777" w:rsidR="006700A2" w:rsidRDefault="006700A2" w:rsidP="002E2177">
      <w:pPr>
        <w:ind w:left="432" w:hanging="432"/>
        <w:rPr>
          <w:b/>
          <w:color w:val="0000FF"/>
        </w:rPr>
      </w:pPr>
    </w:p>
    <w:p w14:paraId="5BCFDB54" w14:textId="152858E4" w:rsidR="004922E4" w:rsidRPr="006700A2" w:rsidRDefault="006700A2" w:rsidP="002E2177">
      <w:pPr>
        <w:ind w:left="432" w:hanging="432"/>
        <w:rPr>
          <w:color w:val="0000FF"/>
        </w:rPr>
      </w:pPr>
      <w:r w:rsidRPr="006700A2">
        <w:rPr>
          <w:color w:val="0000FF"/>
        </w:rPr>
        <w:t>N/A</w:t>
      </w:r>
    </w:p>
    <w:p w14:paraId="55B8DA5D" w14:textId="77777777" w:rsidR="00676BD4" w:rsidRDefault="00676BD4" w:rsidP="002E2177">
      <w:pPr>
        <w:ind w:left="432" w:hanging="432"/>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0D99276D"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6ACE75A4" w:rsidR="00A9011D" w:rsidRPr="00A9011D" w:rsidRDefault="00081B36" w:rsidP="00A9011D">
      <w:pPr>
        <w:ind w:left="0" w:firstLine="0"/>
        <w:rPr>
          <w:rFonts w:ascii="Calibri" w:eastAsia="Calibri" w:hAnsi="Calibri" w:cs="Times New Roman"/>
        </w:rPr>
      </w:pPr>
      <w:r w:rsidRPr="00081B36">
        <w:rPr>
          <w:rFonts w:ascii="Times New Roman" w:eastAsia="Arial Unicode MS" w:hAnsi="Times New Roman" w:cs="Arial Unicode MS" w:hint="cs"/>
          <w:color w:val="FF0000"/>
          <w:kern w:val="1"/>
          <w:sz w:val="24"/>
          <w:szCs w:val="24"/>
          <w:cs/>
          <w:lang w:eastAsia="hi-IN" w:bidi="hi-IN"/>
        </w:rPr>
        <w:t>X</w:t>
      </w:r>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9722" w:type="dxa"/>
        <w:tblLook w:val="04A0" w:firstRow="1" w:lastRow="0" w:firstColumn="1" w:lastColumn="0" w:noHBand="0" w:noVBand="1"/>
      </w:tblPr>
      <w:tblGrid>
        <w:gridCol w:w="1975"/>
        <w:gridCol w:w="7747"/>
      </w:tblGrid>
      <w:tr w:rsidR="00081B36" w14:paraId="55B8DA76" w14:textId="77777777" w:rsidTr="00081B36">
        <w:tc>
          <w:tcPr>
            <w:tcW w:w="1975" w:type="dxa"/>
          </w:tcPr>
          <w:p w14:paraId="55B8DA6F" w14:textId="77777777" w:rsidR="00081B36" w:rsidRPr="00AB4ECE" w:rsidRDefault="00081B36" w:rsidP="00081B36">
            <w:pPr>
              <w:ind w:left="0" w:firstLine="0"/>
              <w:rPr>
                <w:b/>
              </w:rPr>
            </w:pPr>
            <w:r w:rsidRPr="00AB4ECE">
              <w:rPr>
                <w:b/>
              </w:rPr>
              <w:t>Source of Systematic Review:</w:t>
            </w:r>
          </w:p>
          <w:p w14:paraId="55B8DA70" w14:textId="77777777" w:rsidR="00081B36" w:rsidRPr="00AB4ECE" w:rsidRDefault="00081B36" w:rsidP="00081B36">
            <w:pPr>
              <w:pStyle w:val="ListParagraph"/>
              <w:numPr>
                <w:ilvl w:val="0"/>
                <w:numId w:val="9"/>
              </w:numPr>
              <w:rPr>
                <w:b/>
              </w:rPr>
            </w:pPr>
            <w:r w:rsidRPr="00AB4ECE">
              <w:rPr>
                <w:b/>
              </w:rPr>
              <w:t>Title</w:t>
            </w:r>
          </w:p>
          <w:p w14:paraId="55B8DA71" w14:textId="77777777" w:rsidR="00081B36" w:rsidRPr="00AB4ECE" w:rsidRDefault="00081B36" w:rsidP="00081B36">
            <w:pPr>
              <w:pStyle w:val="ListParagraph"/>
              <w:numPr>
                <w:ilvl w:val="0"/>
                <w:numId w:val="9"/>
              </w:numPr>
              <w:rPr>
                <w:b/>
              </w:rPr>
            </w:pPr>
            <w:r w:rsidRPr="00AB4ECE">
              <w:rPr>
                <w:b/>
              </w:rPr>
              <w:t>Author</w:t>
            </w:r>
          </w:p>
          <w:p w14:paraId="55B8DA72" w14:textId="77777777" w:rsidR="00081B36" w:rsidRPr="00AB4ECE" w:rsidRDefault="00081B36" w:rsidP="00081B36">
            <w:pPr>
              <w:pStyle w:val="ListParagraph"/>
              <w:numPr>
                <w:ilvl w:val="0"/>
                <w:numId w:val="9"/>
              </w:numPr>
              <w:rPr>
                <w:b/>
              </w:rPr>
            </w:pPr>
            <w:r w:rsidRPr="00AB4ECE">
              <w:rPr>
                <w:b/>
              </w:rPr>
              <w:t>Date</w:t>
            </w:r>
          </w:p>
          <w:p w14:paraId="55B8DA73" w14:textId="77777777" w:rsidR="00081B36" w:rsidRPr="00AB4ECE" w:rsidRDefault="00081B36" w:rsidP="00081B36">
            <w:pPr>
              <w:pStyle w:val="ListParagraph"/>
              <w:numPr>
                <w:ilvl w:val="0"/>
                <w:numId w:val="9"/>
              </w:numPr>
              <w:rPr>
                <w:b/>
              </w:rPr>
            </w:pPr>
            <w:r w:rsidRPr="00AB4ECE">
              <w:rPr>
                <w:b/>
              </w:rPr>
              <w:t>Citation, including page number</w:t>
            </w:r>
          </w:p>
          <w:p w14:paraId="55B8DA74" w14:textId="77777777" w:rsidR="00081B36" w:rsidRPr="00AB4ECE" w:rsidRDefault="00081B36" w:rsidP="00081B36">
            <w:pPr>
              <w:pStyle w:val="ListParagraph"/>
              <w:numPr>
                <w:ilvl w:val="0"/>
                <w:numId w:val="9"/>
              </w:numPr>
              <w:rPr>
                <w:b/>
              </w:rPr>
            </w:pPr>
            <w:r w:rsidRPr="00AB4ECE">
              <w:rPr>
                <w:b/>
              </w:rPr>
              <w:t>URL</w:t>
            </w:r>
          </w:p>
        </w:tc>
        <w:tc>
          <w:tcPr>
            <w:tcW w:w="7747" w:type="dxa"/>
          </w:tcPr>
          <w:p w14:paraId="5B4162A5" w14:textId="6EC6C298" w:rsidR="00081B36" w:rsidRDefault="00081B36" w:rsidP="00081B36">
            <w:pPr>
              <w:ind w:left="0" w:firstLine="0"/>
              <w:rPr>
                <w:noProof/>
              </w:rPr>
            </w:pPr>
            <w:r w:rsidRPr="00893CD7">
              <w:rPr>
                <w:noProof/>
              </w:rPr>
              <w:t>National Heart</w:t>
            </w:r>
            <w:r>
              <w:rPr>
                <w:noProof/>
              </w:rPr>
              <w:t>,</w:t>
            </w:r>
            <w:r w:rsidRPr="00893CD7">
              <w:rPr>
                <w:noProof/>
              </w:rPr>
              <w:t xml:space="preserve"> Lung</w:t>
            </w:r>
            <w:r>
              <w:rPr>
                <w:noProof/>
              </w:rPr>
              <w:t>,</w:t>
            </w:r>
            <w:r w:rsidRPr="00893CD7">
              <w:rPr>
                <w:noProof/>
              </w:rPr>
              <w:t xml:space="preserve"> and Blood Institute. Evidence</w:t>
            </w:r>
            <w:r>
              <w:rPr>
                <w:noProof/>
              </w:rPr>
              <w:t>-</w:t>
            </w:r>
            <w:r w:rsidRPr="00893CD7">
              <w:rPr>
                <w:noProof/>
              </w:rPr>
              <w:t>Based Management of Sickle Cell Disease</w:t>
            </w:r>
            <w:r>
              <w:rPr>
                <w:noProof/>
              </w:rPr>
              <w:t>: Expert Panel Report,</w:t>
            </w:r>
            <w:r w:rsidRPr="00893CD7">
              <w:rPr>
                <w:noProof/>
              </w:rPr>
              <w:t xml:space="preserve"> 2014;</w:t>
            </w:r>
            <w:r w:rsidR="00557B26">
              <w:rPr>
                <w:noProof/>
              </w:rPr>
              <w:t>71</w:t>
            </w:r>
            <w:r w:rsidR="004B4C5B">
              <w:rPr>
                <w:noProof/>
              </w:rPr>
              <w:t>-78</w:t>
            </w:r>
            <w:r w:rsidR="00557B26">
              <w:rPr>
                <w:noProof/>
              </w:rPr>
              <w:t>.</w:t>
            </w:r>
            <w:r w:rsidRPr="00893CD7">
              <w:rPr>
                <w:noProof/>
              </w:rPr>
              <w:t xml:space="preserve"> </w:t>
            </w:r>
            <w:hyperlink r:id="rId16" w:history="1">
              <w:r w:rsidRPr="00420C68">
                <w:rPr>
                  <w:rStyle w:val="Hyperlink"/>
                </w:rPr>
                <w:t>https://www.nhlbi.nih.gov/health-pro/guidelines/sickle-cell-disease-guidelines</w:t>
              </w:r>
            </w:hyperlink>
            <w:r w:rsidRPr="00893CD7">
              <w:rPr>
                <w:noProof/>
              </w:rPr>
              <w:t>.</w:t>
            </w:r>
          </w:p>
          <w:p w14:paraId="55B8DA75" w14:textId="77777777" w:rsidR="00081B36" w:rsidRPr="00AB4ECE" w:rsidRDefault="00081B36" w:rsidP="00081B36">
            <w:pPr>
              <w:ind w:left="0" w:firstLine="0"/>
              <w:rPr>
                <w:b/>
              </w:rPr>
            </w:pPr>
          </w:p>
        </w:tc>
      </w:tr>
      <w:tr w:rsidR="00081B36" w14:paraId="55B8DA79" w14:textId="77777777" w:rsidTr="00081B36">
        <w:tc>
          <w:tcPr>
            <w:tcW w:w="1975" w:type="dxa"/>
          </w:tcPr>
          <w:p w14:paraId="55B8DA77" w14:textId="77777777" w:rsidR="00081B36" w:rsidRDefault="00081B36" w:rsidP="00081B36">
            <w:pPr>
              <w:ind w:left="0" w:firstLine="0"/>
            </w:pPr>
            <w:r>
              <w:t>Quote the guideline or recommendation verbatim about the process, structure or intermediate outcome being measured. If not a guideline, summarize the conclusions from the SR.</w:t>
            </w:r>
          </w:p>
        </w:tc>
        <w:tc>
          <w:tcPr>
            <w:tcW w:w="7747" w:type="dxa"/>
          </w:tcPr>
          <w:p w14:paraId="7D07C720" w14:textId="77777777" w:rsidR="00081B36" w:rsidRDefault="00CD239E" w:rsidP="00CD239E">
            <w:pPr>
              <w:rPr>
                <w:b/>
              </w:rPr>
            </w:pPr>
            <w:r w:rsidRPr="00CD239E">
              <w:rPr>
                <w:b/>
              </w:rPr>
              <w:t>RECOMMENDATIONS</w:t>
            </w:r>
          </w:p>
          <w:p w14:paraId="223E2C0D" w14:textId="77777777" w:rsidR="00CD239E" w:rsidRDefault="00CD239E" w:rsidP="00CD239E">
            <w:pPr>
              <w:pStyle w:val="ListParagraph"/>
              <w:numPr>
                <w:ilvl w:val="0"/>
                <w:numId w:val="12"/>
              </w:numPr>
            </w:pPr>
            <w:r>
              <w:t xml:space="preserve">Educate all patients with </w:t>
            </w:r>
            <w:r w:rsidR="007B63C4">
              <w:t>SCA and their family members about hydroxyurea therapy. (See consensus treatment protocol on page 145).</w:t>
            </w:r>
          </w:p>
          <w:p w14:paraId="369AC17E" w14:textId="77777777" w:rsidR="007B63C4" w:rsidRDefault="007B63C4" w:rsidP="007B63C4">
            <w:pPr>
              <w:pStyle w:val="ListParagraph"/>
              <w:ind w:firstLine="0"/>
            </w:pPr>
            <w:r>
              <w:t>(</w:t>
            </w:r>
            <w:r w:rsidRPr="007B63C4">
              <w:rPr>
                <w:i/>
              </w:rPr>
              <w:t>Consensus-Panel Expertise</w:t>
            </w:r>
            <w:r>
              <w:t>)</w:t>
            </w:r>
          </w:p>
          <w:p w14:paraId="0FCA901C" w14:textId="77777777" w:rsidR="007B63C4" w:rsidRDefault="007B63C4" w:rsidP="007B63C4">
            <w:pPr>
              <w:pStyle w:val="ListParagraph"/>
              <w:numPr>
                <w:ilvl w:val="0"/>
                <w:numId w:val="12"/>
              </w:numPr>
            </w:pPr>
            <w:r>
              <w:t>In adults with SCA who have three or more sickle cell-associated moderate to severe pain crises in a 12-month period, treat with hydroxyurea.</w:t>
            </w:r>
          </w:p>
          <w:p w14:paraId="3227939B" w14:textId="77777777" w:rsidR="007B63C4" w:rsidRDefault="007B63C4" w:rsidP="007B63C4">
            <w:pPr>
              <w:pStyle w:val="ListParagraph"/>
              <w:ind w:firstLine="0"/>
              <w:rPr>
                <w:i/>
              </w:rPr>
            </w:pPr>
            <w:r w:rsidRPr="007B63C4">
              <w:rPr>
                <w:i/>
              </w:rPr>
              <w:t>(Strong Recommendation, High-Quality Evidence)</w:t>
            </w:r>
          </w:p>
          <w:p w14:paraId="283732BF" w14:textId="77777777" w:rsidR="007B63C4" w:rsidRPr="007B63C4" w:rsidRDefault="007B63C4" w:rsidP="007B63C4">
            <w:pPr>
              <w:pStyle w:val="ListParagraph"/>
              <w:numPr>
                <w:ilvl w:val="0"/>
                <w:numId w:val="12"/>
              </w:numPr>
              <w:rPr>
                <w:i/>
              </w:rPr>
            </w:pPr>
            <w:r>
              <w:t xml:space="preserve">In adults with SCA who have sickle </w:t>
            </w:r>
            <w:r w:rsidRPr="007B63C4">
              <w:t>cell-associated</w:t>
            </w:r>
            <w:r>
              <w:t xml:space="preserve"> pain that interferes with daily activities and quality of life, treat with hydroxyurea.</w:t>
            </w:r>
          </w:p>
          <w:p w14:paraId="55C9E77D" w14:textId="77777777" w:rsidR="007B63C4" w:rsidRDefault="007B63C4" w:rsidP="007B63C4">
            <w:pPr>
              <w:pStyle w:val="ListParagraph"/>
              <w:ind w:firstLine="0"/>
              <w:rPr>
                <w:i/>
              </w:rPr>
            </w:pPr>
            <w:r w:rsidRPr="007B63C4">
              <w:rPr>
                <w:i/>
              </w:rPr>
              <w:t xml:space="preserve">(Strong Recommendation, </w:t>
            </w:r>
            <w:r>
              <w:rPr>
                <w:i/>
              </w:rPr>
              <w:t>Moderate</w:t>
            </w:r>
            <w:r w:rsidRPr="007B63C4">
              <w:rPr>
                <w:i/>
              </w:rPr>
              <w:t>-Quality Evidence)</w:t>
            </w:r>
          </w:p>
          <w:p w14:paraId="1A663E3C" w14:textId="0332F1E3" w:rsidR="007B63C4" w:rsidRDefault="007B63C4" w:rsidP="007B63C4">
            <w:pPr>
              <w:pStyle w:val="ListParagraph"/>
              <w:numPr>
                <w:ilvl w:val="0"/>
                <w:numId w:val="12"/>
              </w:numPr>
            </w:pPr>
            <w:r w:rsidRPr="007B63C4">
              <w:t>In adults with SCA who have</w:t>
            </w:r>
            <w:r w:rsidR="00D25076">
              <w:t xml:space="preserve"> a history of severe and/or recurrent ACS, treat with hydroxyurea.</w:t>
            </w:r>
          </w:p>
          <w:p w14:paraId="547636DA" w14:textId="207D88EC" w:rsidR="00D25076" w:rsidRPr="00D25076" w:rsidRDefault="00D25076" w:rsidP="00D25076">
            <w:pPr>
              <w:pStyle w:val="ListParagraph"/>
              <w:ind w:firstLine="0"/>
              <w:rPr>
                <w:i/>
              </w:rPr>
            </w:pPr>
            <w:r w:rsidRPr="00D25076">
              <w:rPr>
                <w:i/>
              </w:rPr>
              <w:t>(Strong Recommendation, Moderate-Quality Evidence)</w:t>
            </w:r>
          </w:p>
          <w:p w14:paraId="4A82D00B" w14:textId="3C54C069" w:rsidR="007B63C4" w:rsidRDefault="007B63C4" w:rsidP="007B63C4">
            <w:pPr>
              <w:pStyle w:val="ListParagraph"/>
              <w:numPr>
                <w:ilvl w:val="0"/>
                <w:numId w:val="12"/>
              </w:numPr>
            </w:pPr>
            <w:r>
              <w:t xml:space="preserve">In adults with SCA who have severe symptomatic chronic anemia that interferes with daily activities or quality of life, treat with hydroxyurea. </w:t>
            </w:r>
          </w:p>
          <w:p w14:paraId="08077373" w14:textId="1F43C29F" w:rsidR="007B63C4" w:rsidRDefault="007B63C4" w:rsidP="007B63C4">
            <w:pPr>
              <w:pStyle w:val="ListParagraph"/>
              <w:ind w:firstLine="0"/>
              <w:rPr>
                <w:i/>
              </w:rPr>
            </w:pPr>
            <w:r w:rsidRPr="007B63C4">
              <w:rPr>
                <w:i/>
              </w:rPr>
              <w:t>(Strong Recommendation, Moderate-Quality Evidence)</w:t>
            </w:r>
          </w:p>
          <w:p w14:paraId="058E07FC" w14:textId="25DCD66B" w:rsidR="00D25076" w:rsidRDefault="00D25076" w:rsidP="00D25076">
            <w:pPr>
              <w:pStyle w:val="ListParagraph"/>
              <w:numPr>
                <w:ilvl w:val="0"/>
                <w:numId w:val="12"/>
              </w:numPr>
              <w:rPr>
                <w:i/>
              </w:rPr>
            </w:pPr>
            <w:r>
              <w:t xml:space="preserve">In infants 9 months of age and older, children, and adolescents with SCA, offer treatment with hydroxyurea regardless of clinical severity to reduce SCD-related complications (e.g., pain, </w:t>
            </w:r>
            <w:proofErr w:type="spellStart"/>
            <w:r>
              <w:t>dactylitis</w:t>
            </w:r>
            <w:proofErr w:type="spellEnd"/>
            <w:r>
              <w:t xml:space="preserve">, ACS, anemia). </w:t>
            </w:r>
          </w:p>
          <w:p w14:paraId="7FEB7B07" w14:textId="77777777" w:rsidR="00D25076" w:rsidRDefault="00D25076" w:rsidP="00D25076">
            <w:pPr>
              <w:pStyle w:val="ListParagraph"/>
              <w:ind w:firstLine="0"/>
            </w:pPr>
            <w:r w:rsidRPr="007B63C4">
              <w:rPr>
                <w:i/>
              </w:rPr>
              <w:t xml:space="preserve">(Strong Recommendation, </w:t>
            </w:r>
            <w:r>
              <w:rPr>
                <w:i/>
              </w:rPr>
              <w:t>High</w:t>
            </w:r>
            <w:r w:rsidRPr="007B63C4">
              <w:rPr>
                <w:i/>
              </w:rPr>
              <w:t>-Quality Evidence</w:t>
            </w:r>
            <w:r>
              <w:rPr>
                <w:i/>
              </w:rPr>
              <w:t xml:space="preserve"> </w:t>
            </w:r>
            <w:r>
              <w:t xml:space="preserve">for ages 9-42 months; </w:t>
            </w:r>
          </w:p>
          <w:p w14:paraId="5F7CDD45" w14:textId="35E22205" w:rsidR="00D25076" w:rsidRDefault="00D25076" w:rsidP="00D25076">
            <w:pPr>
              <w:pStyle w:val="ListParagraph"/>
              <w:ind w:firstLine="0"/>
              <w:rPr>
                <w:i/>
              </w:rPr>
            </w:pPr>
            <w:r>
              <w:rPr>
                <w:i/>
              </w:rPr>
              <w:t>Moderate</w:t>
            </w:r>
            <w:r w:rsidRPr="00D25076">
              <w:rPr>
                <w:i/>
              </w:rPr>
              <w:t xml:space="preserve"> Recommendation, Moderate-Quality Evidence</w:t>
            </w:r>
            <w:r>
              <w:rPr>
                <w:i/>
              </w:rPr>
              <w:t xml:space="preserve"> </w:t>
            </w:r>
            <w:r>
              <w:t>for children &gt;42 months and adolescents</w:t>
            </w:r>
            <w:r w:rsidRPr="00D25076">
              <w:rPr>
                <w:i/>
              </w:rPr>
              <w:t>)</w:t>
            </w:r>
            <w:r>
              <w:rPr>
                <w:i/>
              </w:rPr>
              <w:t>.</w:t>
            </w:r>
          </w:p>
          <w:p w14:paraId="3F3FFCCC" w14:textId="64E85606" w:rsidR="00D25076" w:rsidRPr="00D25076" w:rsidRDefault="00D25076" w:rsidP="00D25076">
            <w:pPr>
              <w:pStyle w:val="ListParagraph"/>
              <w:ind w:firstLine="0"/>
            </w:pPr>
            <w:r>
              <w:t xml:space="preserve">Note: The panel intentionally used the term “offer” realizing that patients’ values and preferences may differ particularly considering treatment burden (e.g., laboratory monitoring, office visits), availability of drug in a liquid form, and cost. Therefore, the panel strongly encourages shared </w:t>
            </w:r>
            <w:proofErr w:type="spellStart"/>
            <w:r>
              <w:t>decisionmaking</w:t>
            </w:r>
            <w:proofErr w:type="spellEnd"/>
            <w:r>
              <w:t xml:space="preserve"> and discussion of hydroxyurea therapy with all patients. </w:t>
            </w:r>
          </w:p>
          <w:p w14:paraId="2785541F" w14:textId="77777777" w:rsidR="007B63C4" w:rsidRPr="000A1485" w:rsidRDefault="000A1485" w:rsidP="000A1485">
            <w:pPr>
              <w:pStyle w:val="ListParagraph"/>
              <w:numPr>
                <w:ilvl w:val="0"/>
                <w:numId w:val="12"/>
              </w:numPr>
            </w:pPr>
            <w:r w:rsidRPr="000A1485">
              <w:t>In adults and children with SCD who have chronic kidney disease and are taking erythropoietin, hydroxyurea therapy can be added to improve anemia.</w:t>
            </w:r>
          </w:p>
          <w:p w14:paraId="6792B336" w14:textId="77777777" w:rsidR="000A1485" w:rsidRPr="000A1485" w:rsidRDefault="000A1485" w:rsidP="000A1485">
            <w:pPr>
              <w:pStyle w:val="ListParagraph"/>
              <w:ind w:firstLine="0"/>
              <w:rPr>
                <w:i/>
              </w:rPr>
            </w:pPr>
            <w:r w:rsidRPr="000A1485">
              <w:rPr>
                <w:i/>
              </w:rPr>
              <w:t>(Weak Recommendation, Low-Quality Evidence)</w:t>
            </w:r>
          </w:p>
          <w:p w14:paraId="4F6BC3F7" w14:textId="77777777" w:rsidR="000A1485" w:rsidRPr="000A1485" w:rsidRDefault="000A1485" w:rsidP="000A1485">
            <w:pPr>
              <w:pStyle w:val="ListParagraph"/>
              <w:numPr>
                <w:ilvl w:val="0"/>
                <w:numId w:val="12"/>
              </w:numPr>
            </w:pPr>
            <w:r w:rsidRPr="000A1485">
              <w:t>In females who are pregnant or breastfeeding, discontinue hydroxyurea therapy.</w:t>
            </w:r>
          </w:p>
          <w:p w14:paraId="1783BFEA" w14:textId="464547C0" w:rsidR="000A1485" w:rsidRPr="000A1485" w:rsidRDefault="000A1485" w:rsidP="000A1485">
            <w:pPr>
              <w:pStyle w:val="ListParagraph"/>
              <w:ind w:firstLine="0"/>
              <w:rPr>
                <w:i/>
              </w:rPr>
            </w:pPr>
            <w:r w:rsidRPr="000A1485">
              <w:rPr>
                <w:i/>
              </w:rPr>
              <w:t>(</w:t>
            </w:r>
            <w:r w:rsidRPr="000A1485">
              <w:rPr>
                <w:i/>
              </w:rPr>
              <w:t xml:space="preserve">Moderate </w:t>
            </w:r>
            <w:r w:rsidRPr="000A1485">
              <w:rPr>
                <w:i/>
              </w:rPr>
              <w:t xml:space="preserve">Recommendation, </w:t>
            </w:r>
            <w:r w:rsidRPr="000A1485">
              <w:rPr>
                <w:i/>
              </w:rPr>
              <w:t>Very Low</w:t>
            </w:r>
            <w:r w:rsidRPr="000A1485">
              <w:rPr>
                <w:i/>
              </w:rPr>
              <w:t>-Quality Evidence)</w:t>
            </w:r>
          </w:p>
          <w:p w14:paraId="6ADE724E" w14:textId="37D8174E" w:rsidR="000A1485" w:rsidRPr="000A1485" w:rsidRDefault="000A1485" w:rsidP="000A1485">
            <w:pPr>
              <w:pStyle w:val="ListParagraph"/>
              <w:numPr>
                <w:ilvl w:val="0"/>
                <w:numId w:val="12"/>
              </w:numPr>
            </w:pPr>
            <w:r w:rsidRPr="000A1485">
              <w:t>To ensure proper use of hydroxyurea and maximize benefits and safety, use an established prescribing and monitoring protocol.</w:t>
            </w:r>
          </w:p>
          <w:p w14:paraId="6441E359" w14:textId="77777777" w:rsidR="000A1485" w:rsidRPr="000A1485" w:rsidRDefault="000A1485" w:rsidP="000A1485">
            <w:pPr>
              <w:pStyle w:val="ListParagraph"/>
              <w:ind w:firstLine="0"/>
              <w:rPr>
                <w:i/>
              </w:rPr>
            </w:pPr>
            <w:r w:rsidRPr="000A1485">
              <w:rPr>
                <w:i/>
              </w:rPr>
              <w:t>(Strong Recommendation, High-Quality Evidence)</w:t>
            </w:r>
          </w:p>
          <w:p w14:paraId="28E594FF" w14:textId="2540A131" w:rsidR="000A1485" w:rsidRPr="000A1485" w:rsidRDefault="000A1485" w:rsidP="000A1485">
            <w:pPr>
              <w:pStyle w:val="ListParagraph"/>
              <w:numPr>
                <w:ilvl w:val="0"/>
                <w:numId w:val="12"/>
              </w:numPr>
            </w:pPr>
            <w:r w:rsidRPr="000A1485">
              <w:t xml:space="preserve">In people with </w:t>
            </w:r>
            <w:proofErr w:type="spellStart"/>
            <w:r w:rsidRPr="000A1485">
              <w:t>HbS</w:t>
            </w:r>
            <w:proofErr w:type="spellEnd"/>
            <w:r w:rsidRPr="000A1485">
              <w:t>β</w:t>
            </w:r>
            <w:r w:rsidRPr="000A1485">
              <w:rPr>
                <w:vertAlign w:val="superscript"/>
              </w:rPr>
              <w:t>0</w:t>
            </w:r>
            <w:r w:rsidRPr="000A1485">
              <w:t>-thalassemia</w:t>
            </w:r>
            <w:r w:rsidRPr="000A1485">
              <w:t xml:space="preserve"> or </w:t>
            </w:r>
            <w:proofErr w:type="spellStart"/>
            <w:r w:rsidRPr="000A1485">
              <w:t>HbSC</w:t>
            </w:r>
            <w:proofErr w:type="spellEnd"/>
            <w:r w:rsidRPr="000A1485">
              <w:t xml:space="preserve"> who have recurrent sickle cell-associated pain that interferes with daily activities or quality of life, consult a sickle cell expert for consideration of hydroxyurea therapy. </w:t>
            </w:r>
          </w:p>
          <w:p w14:paraId="394F5A32" w14:textId="2C03FD69" w:rsidR="000A1485" w:rsidRPr="000A1485" w:rsidRDefault="000A1485" w:rsidP="000A1485">
            <w:pPr>
              <w:pStyle w:val="ListParagraph"/>
              <w:ind w:firstLine="0"/>
              <w:rPr>
                <w:i/>
              </w:rPr>
            </w:pPr>
            <w:r w:rsidRPr="000A1485">
              <w:rPr>
                <w:i/>
              </w:rPr>
              <w:t>(Moderate Recommendation, Low-Quality Evidence)</w:t>
            </w:r>
          </w:p>
          <w:p w14:paraId="25236687" w14:textId="77777777" w:rsidR="000A1485" w:rsidRDefault="00434B45" w:rsidP="000A1485">
            <w:pPr>
              <w:pStyle w:val="ListParagraph"/>
              <w:numPr>
                <w:ilvl w:val="0"/>
                <w:numId w:val="12"/>
              </w:numPr>
            </w:pPr>
            <w:r>
              <w:t xml:space="preserve">In people not demonstrating a clinical response to appropriate doses and duration of hydroxyurea therapy, consult a sickle cell expert. </w:t>
            </w:r>
          </w:p>
          <w:p w14:paraId="4C4638C7" w14:textId="77777777" w:rsidR="00434B45" w:rsidRDefault="00434B45" w:rsidP="00434B45">
            <w:pPr>
              <w:pStyle w:val="ListParagraph"/>
              <w:ind w:firstLine="0"/>
              <w:rPr>
                <w:i/>
              </w:rPr>
            </w:pPr>
            <w:r w:rsidRPr="00434B45">
              <w:rPr>
                <w:i/>
              </w:rPr>
              <w:t xml:space="preserve">(Moderate Recommendation, </w:t>
            </w:r>
            <w:r>
              <w:rPr>
                <w:i/>
              </w:rPr>
              <w:t xml:space="preserve">Very </w:t>
            </w:r>
            <w:r w:rsidRPr="00434B45">
              <w:rPr>
                <w:i/>
              </w:rPr>
              <w:t>Low-Quality Evidence)</w:t>
            </w:r>
          </w:p>
          <w:p w14:paraId="5EFAB5F3" w14:textId="14944B66" w:rsidR="00434B45" w:rsidRPr="00434B45" w:rsidRDefault="00434B45" w:rsidP="00434B45">
            <w:pPr>
              <w:ind w:left="76" w:hanging="76"/>
            </w:pPr>
            <w:r>
              <w:t xml:space="preserve">*For more information, see the ACS section of the “Managing Acute Complications of Sickle Cell Disease” chapter. </w:t>
            </w:r>
          </w:p>
        </w:tc>
      </w:tr>
      <w:tr w:rsidR="00081B36" w14:paraId="55B8DA7C" w14:textId="77777777" w:rsidTr="00081B36">
        <w:tc>
          <w:tcPr>
            <w:tcW w:w="1975" w:type="dxa"/>
          </w:tcPr>
          <w:p w14:paraId="55B8DA7A" w14:textId="77777777" w:rsidR="00081B36" w:rsidRDefault="00081B36" w:rsidP="00081B36">
            <w:pPr>
              <w:ind w:left="0" w:firstLine="0"/>
            </w:pPr>
            <w:r>
              <w:t xml:space="preserve">Grade assigned to the </w:t>
            </w:r>
            <w:r w:rsidRPr="004E7215">
              <w:rPr>
                <w:b/>
              </w:rPr>
              <w:t>evidence</w:t>
            </w:r>
            <w:r>
              <w:t xml:space="preserve"> associated with the recommendation with the definition of the grade</w:t>
            </w:r>
          </w:p>
        </w:tc>
        <w:tc>
          <w:tcPr>
            <w:tcW w:w="7747" w:type="dxa"/>
          </w:tcPr>
          <w:p w14:paraId="12B4EFA4" w14:textId="540D2AE3" w:rsidR="005E13F7" w:rsidRDefault="00D456C1" w:rsidP="00D456C1">
            <w:pPr>
              <w:ind w:left="0" w:firstLine="0"/>
              <w:rPr>
                <w:b/>
              </w:rPr>
            </w:pPr>
            <w:r w:rsidRPr="00064004">
              <w:rPr>
                <w:b/>
              </w:rPr>
              <w:t>Strong Recommendation, High-Qualit</w:t>
            </w:r>
            <w:r w:rsidR="005E13F7">
              <w:rPr>
                <w:b/>
              </w:rPr>
              <w:t>y Evidence for ages 9-42 months</w:t>
            </w:r>
          </w:p>
          <w:p w14:paraId="19A93A86" w14:textId="0253B57C" w:rsidR="00434B45" w:rsidRDefault="00434B45" w:rsidP="00434B45">
            <w:pPr>
              <w:pStyle w:val="ListParagraph"/>
              <w:numPr>
                <w:ilvl w:val="0"/>
                <w:numId w:val="14"/>
              </w:numPr>
              <w:rPr>
                <w:b/>
              </w:rPr>
            </w:pPr>
            <w:r w:rsidRPr="00434B45">
              <w:rPr>
                <w:b/>
              </w:rPr>
              <w:t xml:space="preserve">Grade of Recommendation:  </w:t>
            </w:r>
            <w:r w:rsidRPr="00434B45">
              <w:t xml:space="preserve">Strong Recommendation, High-Quality Evidence </w:t>
            </w:r>
          </w:p>
          <w:p w14:paraId="60661236" w14:textId="5BEE30BD" w:rsidR="00434B45" w:rsidRPr="00434B45" w:rsidRDefault="00434B45" w:rsidP="00434B45">
            <w:pPr>
              <w:pStyle w:val="ListParagraph"/>
              <w:numPr>
                <w:ilvl w:val="0"/>
                <w:numId w:val="14"/>
              </w:numPr>
              <w:rPr>
                <w:b/>
              </w:rPr>
            </w:pPr>
            <w:r>
              <w:rPr>
                <w:b/>
              </w:rPr>
              <w:t xml:space="preserve">Clarity of Risk/Benefit: </w:t>
            </w:r>
            <w:r>
              <w:t>Benefits clearly outweigh harms or burdens, or vice versa</w:t>
            </w:r>
          </w:p>
          <w:p w14:paraId="5BD0BC0B" w14:textId="6A1F2FF0" w:rsidR="00434B45" w:rsidRPr="00B73FC9" w:rsidRDefault="00434B45" w:rsidP="00434B45">
            <w:pPr>
              <w:pStyle w:val="ListParagraph"/>
              <w:numPr>
                <w:ilvl w:val="0"/>
                <w:numId w:val="14"/>
              </w:numPr>
              <w:rPr>
                <w:b/>
              </w:rPr>
            </w:pPr>
            <w:r>
              <w:rPr>
                <w:b/>
              </w:rPr>
              <w:t xml:space="preserve">Quality of Supporting Evidence: </w:t>
            </w:r>
            <w:r>
              <w:t>Consistent evidence from well- performed RCTs or exceptionally strong evidence from unbiased observational studies*</w:t>
            </w:r>
          </w:p>
          <w:p w14:paraId="497F04C5" w14:textId="284ED3CB" w:rsidR="00B73FC9" w:rsidRPr="00203FD4" w:rsidRDefault="00B73FC9" w:rsidP="00434B45">
            <w:pPr>
              <w:pStyle w:val="ListParagraph"/>
              <w:numPr>
                <w:ilvl w:val="0"/>
                <w:numId w:val="14"/>
              </w:numPr>
              <w:rPr>
                <w:b/>
              </w:rPr>
            </w:pPr>
            <w:r>
              <w:rPr>
                <w:b/>
              </w:rPr>
              <w:t xml:space="preserve">Implications: </w:t>
            </w:r>
            <w:r>
              <w:t xml:space="preserve">Recommendation can apply to most patients in most circumstances. Further research is very unlikely to change our confidence in the estimate of effect. </w:t>
            </w:r>
          </w:p>
          <w:p w14:paraId="2E82FBD4" w14:textId="78ED3EC9" w:rsidR="00D33367" w:rsidRDefault="00D33367" w:rsidP="00AB7CF8">
            <w:pPr>
              <w:ind w:left="0" w:firstLine="0"/>
            </w:pPr>
            <w:r w:rsidRPr="00064004">
              <w:rPr>
                <w:b/>
              </w:rPr>
              <w:t>Moderate Recommendation, Moderate-Quality Evidence for children &gt;42 months and adolescents.</w:t>
            </w:r>
            <w:r w:rsidR="00B73C2E">
              <w:rPr>
                <w:b/>
              </w:rPr>
              <w:t xml:space="preserve">  </w:t>
            </w:r>
            <w:r w:rsidR="004B4C5B" w:rsidRPr="004B4C5B">
              <w:t>As stated within the NHLBI Clinical Guidelines:</w:t>
            </w:r>
            <w:r w:rsidR="004B4C5B">
              <w:t xml:space="preserve"> </w:t>
            </w:r>
            <w:r w:rsidR="00DE4319">
              <w:t>“</w:t>
            </w:r>
            <w:r w:rsidR="004B4C5B">
              <w:t xml:space="preserve">The GRADE framework rates the strength of recommendations as “strong” or “weak.” However, the panel modified the GRADE system and used a third category – moderate- when they determined that patients would be better off if they followed a recommendation, despite there being some level of uncertainty about the magnitude of benefit of the intervention or the relative net benefit of alternative courses of action. </w:t>
            </w:r>
          </w:p>
          <w:p w14:paraId="55B8DA7B" w14:textId="23632B5B" w:rsidR="00F03D0F" w:rsidRDefault="00F03D0F" w:rsidP="00AB7CF8">
            <w:pPr>
              <w:ind w:left="0" w:firstLine="0"/>
            </w:pPr>
          </w:p>
        </w:tc>
      </w:tr>
      <w:tr w:rsidR="00081B36" w14:paraId="55B8DA7F" w14:textId="77777777" w:rsidTr="00081B36">
        <w:tc>
          <w:tcPr>
            <w:tcW w:w="1975" w:type="dxa"/>
          </w:tcPr>
          <w:p w14:paraId="55B8DA7D" w14:textId="77777777" w:rsidR="00081B36" w:rsidRDefault="00081B36" w:rsidP="00081B36">
            <w:pPr>
              <w:ind w:left="0" w:firstLine="0"/>
            </w:pPr>
            <w:r>
              <w:t>Provide all other grades and definitions from the evidence grading system</w:t>
            </w:r>
          </w:p>
        </w:tc>
        <w:tc>
          <w:tcPr>
            <w:tcW w:w="7747" w:type="dxa"/>
          </w:tcPr>
          <w:p w14:paraId="77E9ABAD" w14:textId="288A491A" w:rsidR="00B73FC9" w:rsidRPr="00F03D0F" w:rsidRDefault="00B73FC9" w:rsidP="00F03D0F">
            <w:pPr>
              <w:ind w:left="0" w:firstLine="0"/>
              <w:rPr>
                <w:b/>
              </w:rPr>
            </w:pPr>
            <w:r w:rsidRPr="00F03D0F">
              <w:rPr>
                <w:b/>
              </w:rPr>
              <w:t xml:space="preserve">Strong Recommendation, High-Quality Evidence </w:t>
            </w:r>
          </w:p>
          <w:p w14:paraId="5A6BFCC3" w14:textId="77777777" w:rsidR="00B73FC9" w:rsidRPr="00434B45" w:rsidRDefault="00B73FC9" w:rsidP="00B73FC9">
            <w:pPr>
              <w:pStyle w:val="ListParagraph"/>
              <w:numPr>
                <w:ilvl w:val="0"/>
                <w:numId w:val="14"/>
              </w:numPr>
              <w:rPr>
                <w:b/>
              </w:rPr>
            </w:pPr>
            <w:r>
              <w:rPr>
                <w:b/>
              </w:rPr>
              <w:t xml:space="preserve">Clarity of Risk/Benefit: </w:t>
            </w:r>
            <w:r>
              <w:t>Benefits clearly outweigh harms or burdens, or vice versa</w:t>
            </w:r>
          </w:p>
          <w:p w14:paraId="7BCCBAD9" w14:textId="5AA693DD" w:rsidR="00B73FC9" w:rsidRPr="00B73FC9" w:rsidRDefault="00B73FC9" w:rsidP="00B73FC9">
            <w:pPr>
              <w:pStyle w:val="ListParagraph"/>
              <w:numPr>
                <w:ilvl w:val="0"/>
                <w:numId w:val="14"/>
              </w:numPr>
              <w:rPr>
                <w:b/>
              </w:rPr>
            </w:pPr>
            <w:r>
              <w:rPr>
                <w:b/>
              </w:rPr>
              <w:t xml:space="preserve">Quality of Supporting Evidence: </w:t>
            </w:r>
            <w:r>
              <w:t>Consistent evidence from well-performed RCTs or exceptionally strong evidence from unbiased observational studies*</w:t>
            </w:r>
          </w:p>
          <w:p w14:paraId="78291A41" w14:textId="77777777" w:rsidR="00B73FC9" w:rsidRPr="00434B45" w:rsidRDefault="00B73FC9" w:rsidP="00B73FC9">
            <w:pPr>
              <w:pStyle w:val="ListParagraph"/>
              <w:numPr>
                <w:ilvl w:val="0"/>
                <w:numId w:val="14"/>
              </w:numPr>
              <w:rPr>
                <w:b/>
              </w:rPr>
            </w:pPr>
            <w:r>
              <w:rPr>
                <w:b/>
              </w:rPr>
              <w:t xml:space="preserve">Implications: </w:t>
            </w:r>
            <w:r>
              <w:t xml:space="preserve">Recommendation can apply to most patients in most circumstances. Further research is very unlikely to change our confidence in the estimate of effect. </w:t>
            </w:r>
          </w:p>
          <w:p w14:paraId="2455FC98" w14:textId="4F98D88B" w:rsidR="00F03D0F" w:rsidRPr="00F03D0F" w:rsidRDefault="00F03D0F" w:rsidP="00F03D0F">
            <w:pPr>
              <w:rPr>
                <w:b/>
              </w:rPr>
            </w:pPr>
            <w:r w:rsidRPr="00F03D0F">
              <w:rPr>
                <w:b/>
              </w:rPr>
              <w:t xml:space="preserve">Strong Recommendation, </w:t>
            </w:r>
            <w:r>
              <w:rPr>
                <w:b/>
              </w:rPr>
              <w:t>Moderate</w:t>
            </w:r>
            <w:r w:rsidRPr="00F03D0F">
              <w:rPr>
                <w:b/>
              </w:rPr>
              <w:t xml:space="preserve">-Quality Evidence </w:t>
            </w:r>
          </w:p>
          <w:p w14:paraId="11C80A38" w14:textId="77777777" w:rsidR="00F03D0F" w:rsidRPr="00434B45" w:rsidRDefault="00F03D0F" w:rsidP="00F03D0F">
            <w:pPr>
              <w:pStyle w:val="ListParagraph"/>
              <w:numPr>
                <w:ilvl w:val="0"/>
                <w:numId w:val="14"/>
              </w:numPr>
              <w:rPr>
                <w:b/>
              </w:rPr>
            </w:pPr>
            <w:r>
              <w:rPr>
                <w:b/>
              </w:rPr>
              <w:t xml:space="preserve">Clarity of Risk/Benefit: </w:t>
            </w:r>
            <w:r>
              <w:t>Benefits clearly outweigh harms or burdens, or vice versa</w:t>
            </w:r>
          </w:p>
          <w:p w14:paraId="423CC642" w14:textId="2095D9C0" w:rsidR="00F03D0F" w:rsidRPr="00B73FC9" w:rsidRDefault="00F03D0F" w:rsidP="00F03D0F">
            <w:pPr>
              <w:pStyle w:val="ListParagraph"/>
              <w:numPr>
                <w:ilvl w:val="0"/>
                <w:numId w:val="14"/>
              </w:numPr>
              <w:rPr>
                <w:b/>
              </w:rPr>
            </w:pPr>
            <w:r>
              <w:rPr>
                <w:b/>
              </w:rPr>
              <w:t>Quality of Supporting Evidence</w:t>
            </w:r>
            <w:r w:rsidRPr="00F03D0F">
              <w:rPr>
                <w:b/>
              </w:rPr>
              <w:t>:</w:t>
            </w:r>
            <w:r w:rsidRPr="00F03D0F">
              <w:t xml:space="preserve"> </w:t>
            </w:r>
            <w:r w:rsidRPr="00F03D0F">
              <w:t>Evidence from RCTs with important limitations (inconsistent results, methodological flaws, indirect or imprecise evidence), or unusually strong evidence from unbiased observational studies</w:t>
            </w:r>
          </w:p>
          <w:p w14:paraId="308EA97E" w14:textId="550162DC" w:rsidR="00F03D0F" w:rsidRPr="00434B45" w:rsidRDefault="00F03D0F" w:rsidP="00F03D0F">
            <w:pPr>
              <w:pStyle w:val="ListParagraph"/>
              <w:numPr>
                <w:ilvl w:val="0"/>
                <w:numId w:val="14"/>
              </w:numPr>
              <w:rPr>
                <w:b/>
              </w:rPr>
            </w:pPr>
            <w:r>
              <w:rPr>
                <w:b/>
              </w:rPr>
              <w:t xml:space="preserve">Implications: </w:t>
            </w:r>
            <w:r>
              <w:t xml:space="preserve">Recommendation can apply to most patients in most circumstances. Further research </w:t>
            </w:r>
            <w:r>
              <w:t xml:space="preserve">(if performed) </w:t>
            </w:r>
            <w:r>
              <w:t xml:space="preserve">is likely to </w:t>
            </w:r>
            <w:r>
              <w:t>have an impact on</w:t>
            </w:r>
            <w:r>
              <w:t xml:space="preserve"> our confidence in the estimate of effect</w:t>
            </w:r>
            <w:r>
              <w:t xml:space="preserve"> and may change the estimate</w:t>
            </w:r>
            <w:r>
              <w:t xml:space="preserve">. </w:t>
            </w:r>
          </w:p>
          <w:p w14:paraId="1AC51455" w14:textId="55BDEC97" w:rsidR="00F03D0F" w:rsidRDefault="00F03D0F" w:rsidP="00F03D0F">
            <w:pPr>
              <w:ind w:left="0" w:firstLine="0"/>
              <w:rPr>
                <w:b/>
              </w:rPr>
            </w:pPr>
            <w:r w:rsidRPr="00064004">
              <w:rPr>
                <w:b/>
              </w:rPr>
              <w:t xml:space="preserve">Strong Recommendation, </w:t>
            </w:r>
            <w:r>
              <w:rPr>
                <w:b/>
              </w:rPr>
              <w:t>Low</w:t>
            </w:r>
            <w:r w:rsidRPr="00064004">
              <w:rPr>
                <w:b/>
              </w:rPr>
              <w:t>-Qualit</w:t>
            </w:r>
            <w:r>
              <w:rPr>
                <w:b/>
              </w:rPr>
              <w:t>y Evidence</w:t>
            </w:r>
          </w:p>
          <w:p w14:paraId="4005AFC3" w14:textId="77777777" w:rsidR="00F03D0F" w:rsidRPr="00434B45" w:rsidRDefault="00F03D0F" w:rsidP="00F03D0F">
            <w:pPr>
              <w:pStyle w:val="ListParagraph"/>
              <w:numPr>
                <w:ilvl w:val="0"/>
                <w:numId w:val="14"/>
              </w:numPr>
              <w:rPr>
                <w:b/>
              </w:rPr>
            </w:pPr>
            <w:r>
              <w:rPr>
                <w:b/>
              </w:rPr>
              <w:t xml:space="preserve">Clarity of Risk/Benefit: </w:t>
            </w:r>
            <w:r>
              <w:t>Benefits clearly outweigh harms or burdens, or vice versa</w:t>
            </w:r>
          </w:p>
          <w:p w14:paraId="35349891" w14:textId="29D9B47F" w:rsidR="00F03D0F" w:rsidRPr="00B73FC9" w:rsidRDefault="00F03D0F" w:rsidP="00F03D0F">
            <w:pPr>
              <w:pStyle w:val="ListParagraph"/>
              <w:numPr>
                <w:ilvl w:val="0"/>
                <w:numId w:val="14"/>
              </w:numPr>
              <w:rPr>
                <w:b/>
              </w:rPr>
            </w:pPr>
            <w:r>
              <w:rPr>
                <w:b/>
              </w:rPr>
              <w:t xml:space="preserve">Quality of Supporting Evidence: </w:t>
            </w:r>
            <w:r>
              <w:t>Evidence for at least one critical outcome from observational studies, from RCTs with serious flaws, or indirect evidence</w:t>
            </w:r>
          </w:p>
          <w:p w14:paraId="3DCDCC84" w14:textId="194E8E04" w:rsidR="00F03D0F" w:rsidRPr="00434B45" w:rsidRDefault="00F03D0F" w:rsidP="00F03D0F">
            <w:pPr>
              <w:pStyle w:val="ListParagraph"/>
              <w:numPr>
                <w:ilvl w:val="0"/>
                <w:numId w:val="14"/>
              </w:numPr>
              <w:rPr>
                <w:b/>
              </w:rPr>
            </w:pPr>
            <w:r>
              <w:rPr>
                <w:b/>
              </w:rPr>
              <w:t xml:space="preserve">Implications: </w:t>
            </w:r>
            <w:r>
              <w:t xml:space="preserve">Recommendation </w:t>
            </w:r>
            <w:r w:rsidR="002618EF">
              <w:t xml:space="preserve">may change when higher quality evidence becomes available. Further research (if performed) is likely to have an important impact on our confidence in the estimate of effect and is likely to change the estimate. </w:t>
            </w:r>
          </w:p>
          <w:p w14:paraId="229B1C21" w14:textId="6B3ECAA8" w:rsidR="00F03D0F" w:rsidRDefault="00F03D0F" w:rsidP="00F03D0F">
            <w:pPr>
              <w:ind w:left="0" w:firstLine="0"/>
              <w:rPr>
                <w:b/>
              </w:rPr>
            </w:pPr>
            <w:r w:rsidRPr="00064004">
              <w:rPr>
                <w:b/>
              </w:rPr>
              <w:t xml:space="preserve">Strong Recommendation, </w:t>
            </w:r>
            <w:r>
              <w:rPr>
                <w:b/>
              </w:rPr>
              <w:t>Very Low</w:t>
            </w:r>
            <w:r w:rsidRPr="00064004">
              <w:rPr>
                <w:b/>
              </w:rPr>
              <w:t>-Qualit</w:t>
            </w:r>
            <w:r>
              <w:rPr>
                <w:b/>
              </w:rPr>
              <w:t>y Evidence</w:t>
            </w:r>
          </w:p>
          <w:p w14:paraId="64E51D18" w14:textId="77777777" w:rsidR="00F03D0F" w:rsidRPr="00434B45" w:rsidRDefault="00F03D0F" w:rsidP="00F03D0F">
            <w:pPr>
              <w:pStyle w:val="ListParagraph"/>
              <w:numPr>
                <w:ilvl w:val="0"/>
                <w:numId w:val="14"/>
              </w:numPr>
              <w:rPr>
                <w:b/>
              </w:rPr>
            </w:pPr>
            <w:r>
              <w:rPr>
                <w:b/>
              </w:rPr>
              <w:t xml:space="preserve">Clarity of Risk/Benefit: </w:t>
            </w:r>
            <w:r>
              <w:t>Benefits clearly outweigh harms or burdens, or vice versa</w:t>
            </w:r>
          </w:p>
          <w:p w14:paraId="57747880" w14:textId="3BFA1078" w:rsidR="002618EF" w:rsidRPr="002618EF" w:rsidRDefault="00F03D0F" w:rsidP="002618EF">
            <w:pPr>
              <w:pStyle w:val="ListParagraph"/>
              <w:numPr>
                <w:ilvl w:val="0"/>
                <w:numId w:val="14"/>
              </w:numPr>
              <w:rPr>
                <w:b/>
              </w:rPr>
            </w:pPr>
            <w:r>
              <w:rPr>
                <w:b/>
              </w:rPr>
              <w:t>Quality of Supporting Evidence:</w:t>
            </w:r>
            <w:r w:rsidR="002618EF">
              <w:rPr>
                <w:b/>
              </w:rPr>
              <w:t xml:space="preserve"> </w:t>
            </w:r>
            <w:r w:rsidR="002618EF" w:rsidRPr="002618EF">
              <w:t xml:space="preserve">Evidence for at least one </w:t>
            </w:r>
            <w:r w:rsidR="002618EF">
              <w:t xml:space="preserve">of the </w:t>
            </w:r>
            <w:r w:rsidR="002618EF" w:rsidRPr="002618EF">
              <w:t>critical outcome</w:t>
            </w:r>
            <w:r w:rsidR="002618EF">
              <w:t>s</w:t>
            </w:r>
            <w:r w:rsidR="002618EF" w:rsidRPr="002618EF">
              <w:t xml:space="preserve"> from </w:t>
            </w:r>
            <w:r w:rsidR="002618EF">
              <w:t>unsystematic clinical observations or very indirect evidence</w:t>
            </w:r>
            <w:r w:rsidR="002618EF" w:rsidRPr="002618EF">
              <w:t xml:space="preserve"> </w:t>
            </w:r>
          </w:p>
          <w:p w14:paraId="65BB676F" w14:textId="38A46945" w:rsidR="00F03D0F" w:rsidRPr="00434B45" w:rsidRDefault="00F03D0F" w:rsidP="002618EF">
            <w:pPr>
              <w:pStyle w:val="ListParagraph"/>
              <w:numPr>
                <w:ilvl w:val="0"/>
                <w:numId w:val="14"/>
              </w:numPr>
              <w:rPr>
                <w:b/>
              </w:rPr>
            </w:pPr>
            <w:r>
              <w:rPr>
                <w:b/>
              </w:rPr>
              <w:t xml:space="preserve">Implications: </w:t>
            </w:r>
            <w:r w:rsidR="002618EF" w:rsidRPr="002618EF">
              <w:t>Recommendation may change when higher quality evidence becomes available</w:t>
            </w:r>
            <w:r w:rsidR="002618EF">
              <w:t>; any estimate of effect, for at least one critical outcome, is very uncertain.</w:t>
            </w:r>
            <w:r>
              <w:t xml:space="preserve"> </w:t>
            </w:r>
          </w:p>
          <w:p w14:paraId="5AAF0D53" w14:textId="2190182D" w:rsidR="00F03D0F" w:rsidRDefault="002618EF" w:rsidP="00F03D0F">
            <w:pPr>
              <w:ind w:left="0" w:firstLine="0"/>
              <w:rPr>
                <w:b/>
              </w:rPr>
            </w:pPr>
            <w:r>
              <w:rPr>
                <w:b/>
              </w:rPr>
              <w:t>Weak</w:t>
            </w:r>
            <w:r w:rsidR="00F03D0F" w:rsidRPr="00064004">
              <w:rPr>
                <w:b/>
              </w:rPr>
              <w:t xml:space="preserve"> Recommendation, High-Qualit</w:t>
            </w:r>
            <w:r w:rsidR="00F03D0F">
              <w:rPr>
                <w:b/>
              </w:rPr>
              <w:t>y Evidence</w:t>
            </w:r>
          </w:p>
          <w:p w14:paraId="23799E53" w14:textId="37841033" w:rsidR="00F03D0F" w:rsidRPr="00434B45" w:rsidRDefault="00F03D0F" w:rsidP="00F03D0F">
            <w:pPr>
              <w:pStyle w:val="ListParagraph"/>
              <w:numPr>
                <w:ilvl w:val="0"/>
                <w:numId w:val="14"/>
              </w:numPr>
              <w:rPr>
                <w:b/>
              </w:rPr>
            </w:pPr>
            <w:r>
              <w:rPr>
                <w:b/>
              </w:rPr>
              <w:t xml:space="preserve">Clarity of Risk/Benefit: </w:t>
            </w:r>
            <w:r>
              <w:t xml:space="preserve">Benefits </w:t>
            </w:r>
            <w:r w:rsidR="002618EF">
              <w:t>closely balanced with harms and burdens</w:t>
            </w:r>
          </w:p>
          <w:p w14:paraId="0BBB995E" w14:textId="1804E1A8" w:rsidR="00F03D0F" w:rsidRPr="00B73FC9" w:rsidRDefault="00F03D0F" w:rsidP="00F03D0F">
            <w:pPr>
              <w:pStyle w:val="ListParagraph"/>
              <w:numPr>
                <w:ilvl w:val="0"/>
                <w:numId w:val="14"/>
              </w:numPr>
              <w:rPr>
                <w:b/>
              </w:rPr>
            </w:pPr>
            <w:r>
              <w:rPr>
                <w:b/>
              </w:rPr>
              <w:t xml:space="preserve">Quality of Supporting Evidence: </w:t>
            </w:r>
            <w:r>
              <w:t>Consistent evidence from well-performed RCTs or exceptionally strong evidence from unbiased observational studies</w:t>
            </w:r>
          </w:p>
          <w:p w14:paraId="36F75C01" w14:textId="7EB6230C" w:rsidR="00F03D0F" w:rsidRPr="00434B45" w:rsidRDefault="00F03D0F" w:rsidP="00203FD4">
            <w:pPr>
              <w:pStyle w:val="ListParagraph"/>
              <w:numPr>
                <w:ilvl w:val="0"/>
                <w:numId w:val="14"/>
              </w:numPr>
              <w:rPr>
                <w:b/>
              </w:rPr>
            </w:pPr>
            <w:r>
              <w:rPr>
                <w:b/>
              </w:rPr>
              <w:t xml:space="preserve">Implications: </w:t>
            </w:r>
            <w:r w:rsidR="00203FD4" w:rsidRPr="00203FD4">
              <w:t>The best action may differ depending on circumstances or patient or societal values. Further research is very unlikely to change our co</w:t>
            </w:r>
            <w:r w:rsidR="00203FD4">
              <w:t>nfidence in the estimate</w:t>
            </w:r>
            <w:r w:rsidR="008B1594">
              <w:t xml:space="preserve"> of</w:t>
            </w:r>
            <w:r w:rsidR="00203FD4">
              <w:t xml:space="preserve"> effect</w:t>
            </w:r>
            <w:r>
              <w:t xml:space="preserve">. </w:t>
            </w:r>
          </w:p>
          <w:p w14:paraId="63490633" w14:textId="128848F7" w:rsidR="00F03D0F" w:rsidRDefault="002618EF" w:rsidP="00F03D0F">
            <w:pPr>
              <w:ind w:left="0" w:firstLine="0"/>
              <w:rPr>
                <w:b/>
              </w:rPr>
            </w:pPr>
            <w:r>
              <w:rPr>
                <w:b/>
              </w:rPr>
              <w:t>Weak</w:t>
            </w:r>
            <w:r w:rsidR="00F03D0F" w:rsidRPr="00064004">
              <w:rPr>
                <w:b/>
              </w:rPr>
              <w:t xml:space="preserve"> Recommendation, </w:t>
            </w:r>
            <w:r>
              <w:rPr>
                <w:b/>
              </w:rPr>
              <w:t>Moderate</w:t>
            </w:r>
            <w:r w:rsidR="00F03D0F" w:rsidRPr="00064004">
              <w:rPr>
                <w:b/>
              </w:rPr>
              <w:t>-Qualit</w:t>
            </w:r>
            <w:r w:rsidR="00F03D0F">
              <w:rPr>
                <w:b/>
              </w:rPr>
              <w:t>y Evidence</w:t>
            </w:r>
          </w:p>
          <w:p w14:paraId="641CC2BE" w14:textId="79CB1870" w:rsidR="00F03D0F" w:rsidRPr="00434B45" w:rsidRDefault="00F03D0F" w:rsidP="002618EF">
            <w:pPr>
              <w:pStyle w:val="ListParagraph"/>
              <w:numPr>
                <w:ilvl w:val="0"/>
                <w:numId w:val="14"/>
              </w:numPr>
              <w:rPr>
                <w:b/>
              </w:rPr>
            </w:pPr>
            <w:r>
              <w:rPr>
                <w:b/>
              </w:rPr>
              <w:t xml:space="preserve">Clarity of Risk/Benefit: </w:t>
            </w:r>
            <w:r w:rsidR="002618EF" w:rsidRPr="002618EF">
              <w:t>Benefits closely balanced with harms and burdens</w:t>
            </w:r>
          </w:p>
          <w:p w14:paraId="3E67D9C0" w14:textId="529650A8" w:rsidR="00F03D0F" w:rsidRPr="00B73FC9" w:rsidRDefault="00F03D0F" w:rsidP="00203FD4">
            <w:pPr>
              <w:pStyle w:val="ListParagraph"/>
              <w:numPr>
                <w:ilvl w:val="0"/>
                <w:numId w:val="14"/>
              </w:numPr>
              <w:rPr>
                <w:b/>
              </w:rPr>
            </w:pPr>
            <w:r>
              <w:rPr>
                <w:b/>
              </w:rPr>
              <w:t xml:space="preserve">Quality of Supporting Evidence: </w:t>
            </w:r>
            <w:r w:rsidR="00203FD4" w:rsidRPr="00203FD4">
              <w:t>Evidence from RCTs with important limitations (inconsistent results, methodological flaws, indirect or imprecise evidence), or unusually strong evidence from unbiased observational studies</w:t>
            </w:r>
          </w:p>
          <w:p w14:paraId="311975B7" w14:textId="137FF772" w:rsidR="00F03D0F" w:rsidRPr="00203FD4" w:rsidRDefault="00F03D0F" w:rsidP="00203FD4">
            <w:pPr>
              <w:pStyle w:val="ListParagraph"/>
              <w:numPr>
                <w:ilvl w:val="0"/>
                <w:numId w:val="14"/>
              </w:numPr>
            </w:pPr>
            <w:r w:rsidRPr="00203FD4">
              <w:rPr>
                <w:b/>
              </w:rPr>
              <w:t xml:space="preserve">Implications: </w:t>
            </w:r>
            <w:r w:rsidR="00203FD4">
              <w:t xml:space="preserve">Alternative approaches likely to be better for some patients under some circumstances. </w:t>
            </w:r>
            <w:r w:rsidR="00203FD4" w:rsidRPr="00203FD4">
              <w:t xml:space="preserve">Further research (if performed) is likely to have an important impact on our confidence in the estimate of effect and </w:t>
            </w:r>
            <w:r w:rsidR="00203FD4">
              <w:t>may</w:t>
            </w:r>
            <w:r w:rsidR="00203FD4" w:rsidRPr="00203FD4">
              <w:t xml:space="preserve"> change the estimate. </w:t>
            </w:r>
          </w:p>
          <w:p w14:paraId="5B8D9516" w14:textId="3C1918F9" w:rsidR="00F03D0F" w:rsidRPr="002618EF" w:rsidRDefault="002618EF" w:rsidP="002618EF">
            <w:pPr>
              <w:ind w:left="0" w:firstLine="0"/>
              <w:rPr>
                <w:b/>
              </w:rPr>
            </w:pPr>
            <w:r>
              <w:rPr>
                <w:b/>
              </w:rPr>
              <w:t>Weak</w:t>
            </w:r>
            <w:r w:rsidR="00F03D0F" w:rsidRPr="00064004">
              <w:rPr>
                <w:b/>
              </w:rPr>
              <w:t xml:space="preserve"> Recommendation, </w:t>
            </w:r>
            <w:r>
              <w:rPr>
                <w:b/>
              </w:rPr>
              <w:t>Low</w:t>
            </w:r>
            <w:r w:rsidR="00F03D0F" w:rsidRPr="00064004">
              <w:rPr>
                <w:b/>
              </w:rPr>
              <w:t>-Qualit</w:t>
            </w:r>
            <w:r>
              <w:rPr>
                <w:b/>
              </w:rPr>
              <w:t>y Evidence</w:t>
            </w:r>
          </w:p>
          <w:p w14:paraId="619D4255" w14:textId="58573551" w:rsidR="00F03D0F" w:rsidRPr="00434B45" w:rsidRDefault="00F03D0F" w:rsidP="00F03D0F">
            <w:pPr>
              <w:pStyle w:val="ListParagraph"/>
              <w:numPr>
                <w:ilvl w:val="0"/>
                <w:numId w:val="14"/>
              </w:numPr>
              <w:rPr>
                <w:b/>
              </w:rPr>
            </w:pPr>
            <w:r>
              <w:rPr>
                <w:b/>
              </w:rPr>
              <w:t xml:space="preserve">Clarity of Risk/Benefit: </w:t>
            </w:r>
            <w:r w:rsidR="00203FD4">
              <w:t>Uncertainty in the estimates of benefits, harms, and burdens; benefits may be closely balanced with harms and burdens</w:t>
            </w:r>
          </w:p>
          <w:p w14:paraId="1AE2D250" w14:textId="77777777" w:rsidR="00203FD4" w:rsidRPr="00203FD4" w:rsidRDefault="00F03D0F" w:rsidP="00203FD4">
            <w:pPr>
              <w:pStyle w:val="ListParagraph"/>
              <w:numPr>
                <w:ilvl w:val="0"/>
                <w:numId w:val="14"/>
              </w:numPr>
              <w:rPr>
                <w:b/>
              </w:rPr>
            </w:pPr>
            <w:r>
              <w:rPr>
                <w:b/>
              </w:rPr>
              <w:t xml:space="preserve">Quality of Supporting Evidence: </w:t>
            </w:r>
            <w:r w:rsidR="00203FD4" w:rsidRPr="00203FD4">
              <w:t xml:space="preserve">Evidence for at least one critical outcome from observational studies, from RCTs with serious flaws, or indirect evidence </w:t>
            </w:r>
          </w:p>
          <w:p w14:paraId="410699AC" w14:textId="7AB736A2" w:rsidR="00F03D0F" w:rsidRPr="00434B45" w:rsidRDefault="00F03D0F" w:rsidP="00203FD4">
            <w:pPr>
              <w:pStyle w:val="ListParagraph"/>
              <w:numPr>
                <w:ilvl w:val="0"/>
                <w:numId w:val="14"/>
              </w:numPr>
              <w:rPr>
                <w:b/>
              </w:rPr>
            </w:pPr>
            <w:r>
              <w:rPr>
                <w:b/>
              </w:rPr>
              <w:t xml:space="preserve">Implications: </w:t>
            </w:r>
            <w:r w:rsidR="00203FD4">
              <w:t xml:space="preserve">Other alternatives may be equally reasonable. Further research is very likely to have an important impact on our confidence in the estimate of effect and is likely to change the estimate. </w:t>
            </w:r>
            <w:r>
              <w:t xml:space="preserve"> </w:t>
            </w:r>
          </w:p>
          <w:p w14:paraId="0F415FBE" w14:textId="5AEF966F" w:rsidR="00F03D0F" w:rsidRDefault="002618EF" w:rsidP="00F03D0F">
            <w:pPr>
              <w:ind w:left="0" w:firstLine="0"/>
              <w:rPr>
                <w:b/>
              </w:rPr>
            </w:pPr>
            <w:r>
              <w:rPr>
                <w:b/>
              </w:rPr>
              <w:t>Weak</w:t>
            </w:r>
            <w:r w:rsidR="00F03D0F" w:rsidRPr="00064004">
              <w:rPr>
                <w:b/>
              </w:rPr>
              <w:t xml:space="preserve"> Recommendation, </w:t>
            </w:r>
            <w:r>
              <w:rPr>
                <w:b/>
              </w:rPr>
              <w:t>Very Low</w:t>
            </w:r>
            <w:r w:rsidR="00F03D0F" w:rsidRPr="00064004">
              <w:rPr>
                <w:b/>
              </w:rPr>
              <w:t>-Qualit</w:t>
            </w:r>
            <w:r>
              <w:rPr>
                <w:b/>
              </w:rPr>
              <w:t>y Evidence</w:t>
            </w:r>
          </w:p>
          <w:p w14:paraId="01E08CC4" w14:textId="7E3C0815" w:rsidR="00F03D0F" w:rsidRPr="00434B45" w:rsidRDefault="00F03D0F" w:rsidP="00203FD4">
            <w:pPr>
              <w:pStyle w:val="ListParagraph"/>
              <w:numPr>
                <w:ilvl w:val="0"/>
                <w:numId w:val="14"/>
              </w:numPr>
              <w:rPr>
                <w:b/>
              </w:rPr>
            </w:pPr>
            <w:bookmarkStart w:id="6" w:name="_GoBack"/>
            <w:bookmarkEnd w:id="6"/>
            <w:r>
              <w:rPr>
                <w:b/>
              </w:rPr>
              <w:t xml:space="preserve">Clarity of Risk/Benefit: </w:t>
            </w:r>
            <w:r w:rsidR="00203FD4">
              <w:t>Major u</w:t>
            </w:r>
            <w:r w:rsidR="00203FD4" w:rsidRPr="00203FD4">
              <w:t xml:space="preserve">ncertainty in the estimates of benefits, harms, and burdens; benefits may </w:t>
            </w:r>
            <w:r w:rsidR="00203FD4">
              <w:t xml:space="preserve">or may not be </w:t>
            </w:r>
            <w:r w:rsidR="00203FD4" w:rsidRPr="00203FD4">
              <w:t>balanced with harms and burdens</w:t>
            </w:r>
          </w:p>
          <w:p w14:paraId="1E84E5D7" w14:textId="3352E143" w:rsidR="00F03D0F" w:rsidRPr="00B73FC9" w:rsidRDefault="00F03D0F" w:rsidP="00203FD4">
            <w:pPr>
              <w:pStyle w:val="ListParagraph"/>
              <w:numPr>
                <w:ilvl w:val="0"/>
                <w:numId w:val="14"/>
              </w:numPr>
              <w:rPr>
                <w:b/>
              </w:rPr>
            </w:pPr>
            <w:r>
              <w:rPr>
                <w:b/>
              </w:rPr>
              <w:t xml:space="preserve">Quality of Supporting Evidence: </w:t>
            </w:r>
            <w:r w:rsidR="00203FD4" w:rsidRPr="00203FD4">
              <w:t>Evidence for at least one critical outcome from unsystematic clinical observations or very indirect evidence</w:t>
            </w:r>
          </w:p>
          <w:p w14:paraId="6B722A25" w14:textId="4487F594" w:rsidR="00F03D0F" w:rsidRPr="00434B45" w:rsidRDefault="00F03D0F" w:rsidP="00203FD4">
            <w:pPr>
              <w:pStyle w:val="ListParagraph"/>
              <w:numPr>
                <w:ilvl w:val="0"/>
                <w:numId w:val="14"/>
              </w:numPr>
              <w:rPr>
                <w:b/>
              </w:rPr>
            </w:pPr>
            <w:r>
              <w:rPr>
                <w:b/>
              </w:rPr>
              <w:t xml:space="preserve">Implications: </w:t>
            </w:r>
            <w:r w:rsidR="00203FD4" w:rsidRPr="00203FD4">
              <w:t xml:space="preserve">Other alternatives may be equally reasonable. </w:t>
            </w:r>
            <w:r w:rsidR="00203FD4">
              <w:t xml:space="preserve"> Any estimate of effect, for at least one critical outcome, is very uncertain.</w:t>
            </w:r>
            <w:r>
              <w:t xml:space="preserve"> </w:t>
            </w:r>
          </w:p>
          <w:p w14:paraId="18141879" w14:textId="18B09A21" w:rsidR="005E1447" w:rsidRDefault="008B1594" w:rsidP="00081B36">
            <w:pPr>
              <w:ind w:left="0" w:firstLine="0"/>
              <w:rPr>
                <w:sz w:val="20"/>
                <w:szCs w:val="20"/>
                <w:vertAlign w:val="superscript"/>
              </w:rPr>
            </w:pPr>
            <w:r w:rsidRPr="008B1594">
              <w:rPr>
                <w:i/>
                <w:sz w:val="20"/>
                <w:szCs w:val="20"/>
              </w:rPr>
              <w:t>Source:</w:t>
            </w:r>
            <w:r w:rsidRPr="008B1594">
              <w:rPr>
                <w:sz w:val="20"/>
                <w:szCs w:val="20"/>
              </w:rPr>
              <w:t xml:space="preserve"> Reprinted with permission of the American Thoracic Society. Copyright 2012 American Thoracic Society. </w:t>
            </w:r>
            <w:proofErr w:type="spellStart"/>
            <w:r>
              <w:rPr>
                <w:sz w:val="20"/>
                <w:szCs w:val="20"/>
              </w:rPr>
              <w:t>Shunemann</w:t>
            </w:r>
            <w:proofErr w:type="spellEnd"/>
            <w:r>
              <w:rPr>
                <w:sz w:val="20"/>
                <w:szCs w:val="20"/>
              </w:rPr>
              <w:t xml:space="preserve"> HJ, </w:t>
            </w:r>
            <w:proofErr w:type="spellStart"/>
            <w:r>
              <w:rPr>
                <w:sz w:val="20"/>
                <w:szCs w:val="20"/>
              </w:rPr>
              <w:t>Jaeschke</w:t>
            </w:r>
            <w:proofErr w:type="spellEnd"/>
            <w:r>
              <w:rPr>
                <w:sz w:val="20"/>
                <w:szCs w:val="20"/>
              </w:rPr>
              <w:t xml:space="preserve"> R, Cook DJ, Bria W</w:t>
            </w:r>
            <w:r w:rsidR="00325500">
              <w:rPr>
                <w:sz w:val="20"/>
                <w:szCs w:val="20"/>
              </w:rPr>
              <w:t>F</w:t>
            </w:r>
            <w:r>
              <w:rPr>
                <w:sz w:val="20"/>
                <w:szCs w:val="20"/>
              </w:rPr>
              <w:t>, El-</w:t>
            </w:r>
            <w:proofErr w:type="spellStart"/>
            <w:r>
              <w:rPr>
                <w:sz w:val="20"/>
                <w:szCs w:val="20"/>
              </w:rPr>
              <w:t>Solh</w:t>
            </w:r>
            <w:proofErr w:type="spellEnd"/>
            <w:r>
              <w:rPr>
                <w:sz w:val="20"/>
                <w:szCs w:val="20"/>
              </w:rPr>
              <w:t xml:space="preserve"> AA, Ernst A, </w:t>
            </w:r>
            <w:proofErr w:type="spellStart"/>
            <w:r>
              <w:rPr>
                <w:sz w:val="20"/>
                <w:szCs w:val="20"/>
              </w:rPr>
              <w:t>Fahy</w:t>
            </w:r>
            <w:proofErr w:type="spellEnd"/>
            <w:r>
              <w:rPr>
                <w:sz w:val="20"/>
                <w:szCs w:val="20"/>
              </w:rPr>
              <w:t xml:space="preserve"> BF, Gould MK, Horan KL, Krishnan JA, </w:t>
            </w:r>
            <w:proofErr w:type="spellStart"/>
            <w:r>
              <w:rPr>
                <w:sz w:val="20"/>
                <w:szCs w:val="20"/>
              </w:rPr>
              <w:t>Manthous</w:t>
            </w:r>
            <w:proofErr w:type="spellEnd"/>
            <w:r>
              <w:rPr>
                <w:sz w:val="20"/>
                <w:szCs w:val="20"/>
              </w:rPr>
              <w:t xml:space="preserve"> CA, Maurer JR, </w:t>
            </w:r>
            <w:proofErr w:type="spellStart"/>
            <w:r>
              <w:rPr>
                <w:sz w:val="20"/>
                <w:szCs w:val="20"/>
              </w:rPr>
              <w:t>McNicholas</w:t>
            </w:r>
            <w:proofErr w:type="spellEnd"/>
            <w:r>
              <w:rPr>
                <w:sz w:val="20"/>
                <w:szCs w:val="20"/>
              </w:rPr>
              <w:t xml:space="preserve"> WT, </w:t>
            </w:r>
            <w:proofErr w:type="spellStart"/>
            <w:r>
              <w:rPr>
                <w:sz w:val="20"/>
                <w:szCs w:val="20"/>
              </w:rPr>
              <w:t>Oxman</w:t>
            </w:r>
            <w:proofErr w:type="spellEnd"/>
            <w:r>
              <w:rPr>
                <w:sz w:val="20"/>
                <w:szCs w:val="20"/>
              </w:rPr>
              <w:t xml:space="preserve"> AD, </w:t>
            </w:r>
            <w:proofErr w:type="spellStart"/>
            <w:r>
              <w:rPr>
                <w:sz w:val="20"/>
                <w:szCs w:val="20"/>
              </w:rPr>
              <w:t>Rubenfeld</w:t>
            </w:r>
            <w:proofErr w:type="spellEnd"/>
            <w:r>
              <w:rPr>
                <w:sz w:val="20"/>
                <w:szCs w:val="20"/>
              </w:rPr>
              <w:t xml:space="preserve"> G, </w:t>
            </w:r>
            <w:proofErr w:type="spellStart"/>
            <w:r>
              <w:rPr>
                <w:sz w:val="20"/>
                <w:szCs w:val="20"/>
              </w:rPr>
              <w:t>Turino</w:t>
            </w:r>
            <w:proofErr w:type="spellEnd"/>
            <w:r>
              <w:rPr>
                <w:sz w:val="20"/>
                <w:szCs w:val="20"/>
              </w:rPr>
              <w:t xml:space="preserve"> GM, </w:t>
            </w:r>
            <w:proofErr w:type="spellStart"/>
            <w:r>
              <w:rPr>
                <w:sz w:val="20"/>
                <w:szCs w:val="20"/>
              </w:rPr>
              <w:t>Guyatt</w:t>
            </w:r>
            <w:proofErr w:type="spellEnd"/>
            <w:r>
              <w:rPr>
                <w:sz w:val="20"/>
                <w:szCs w:val="20"/>
              </w:rPr>
              <w:t xml:space="preserve"> G; ATS Documents Development and Implementation Committee. An official ATS statement; grading the quality of evidence and strength of recommendations in ATS guidelines and recommendations. </w:t>
            </w:r>
            <w:r w:rsidRPr="00325500">
              <w:rPr>
                <w:i/>
                <w:sz w:val="20"/>
                <w:szCs w:val="20"/>
              </w:rPr>
              <w:t xml:space="preserve">Am J </w:t>
            </w:r>
            <w:proofErr w:type="spellStart"/>
            <w:r w:rsidRPr="00325500">
              <w:rPr>
                <w:i/>
                <w:sz w:val="20"/>
                <w:szCs w:val="20"/>
              </w:rPr>
              <w:t>Respir</w:t>
            </w:r>
            <w:proofErr w:type="spellEnd"/>
            <w:r w:rsidRPr="00325500">
              <w:rPr>
                <w:i/>
                <w:sz w:val="20"/>
                <w:szCs w:val="20"/>
              </w:rPr>
              <w:t xml:space="preserve"> </w:t>
            </w:r>
            <w:proofErr w:type="spellStart"/>
            <w:r w:rsidRPr="00325500">
              <w:rPr>
                <w:i/>
                <w:sz w:val="20"/>
                <w:szCs w:val="20"/>
              </w:rPr>
              <w:t>Crit</w:t>
            </w:r>
            <w:proofErr w:type="spellEnd"/>
            <w:r w:rsidRPr="00325500">
              <w:rPr>
                <w:i/>
                <w:sz w:val="20"/>
                <w:szCs w:val="20"/>
              </w:rPr>
              <w:t xml:space="preserve"> Care Med</w:t>
            </w:r>
            <w:r>
              <w:rPr>
                <w:sz w:val="20"/>
                <w:szCs w:val="20"/>
              </w:rPr>
              <w:t>. 2006 Sep 1:174(5):605-14. Official Journal of</w:t>
            </w:r>
            <w:r w:rsidR="00325500">
              <w:rPr>
                <w:sz w:val="20"/>
                <w:szCs w:val="20"/>
              </w:rPr>
              <w:t xml:space="preserve"> the American Thoracic Society.</w:t>
            </w:r>
            <w:r w:rsidRPr="00325500">
              <w:rPr>
                <w:sz w:val="20"/>
                <w:szCs w:val="20"/>
                <w:vertAlign w:val="superscript"/>
              </w:rPr>
              <w:t>29</w:t>
            </w:r>
          </w:p>
          <w:p w14:paraId="55B8DA7E" w14:textId="06D1BD98" w:rsidR="00325500" w:rsidRPr="00325500" w:rsidRDefault="00325500" w:rsidP="00325500">
            <w:pPr>
              <w:ind w:left="0" w:firstLine="0"/>
              <w:rPr>
                <w:sz w:val="20"/>
                <w:szCs w:val="20"/>
              </w:rPr>
            </w:pPr>
            <w:r w:rsidRPr="00325500">
              <w:rPr>
                <w:sz w:val="20"/>
                <w:szCs w:val="20"/>
              </w:rPr>
              <w:t>*</w:t>
            </w:r>
            <w:r>
              <w:rPr>
                <w:sz w:val="20"/>
                <w:szCs w:val="20"/>
              </w:rPr>
              <w:t xml:space="preserve"> Exceptionally strong evidence from unbiased observational studies includes: (1) evidence from studies that yield estimates of the treatment effect that are large and consistent; (2) evidence in which all potential biases may be working to underestimate an apparent treatment effect, and therefore, the actual treatment effect is likely to be larger than that suggested by the study data; and (3) evidence in which a dose-response gradient exists</w:t>
            </w:r>
          </w:p>
        </w:tc>
      </w:tr>
      <w:tr w:rsidR="00081B36" w14:paraId="55B8DA82" w14:textId="77777777" w:rsidTr="00081B36">
        <w:tc>
          <w:tcPr>
            <w:tcW w:w="1975" w:type="dxa"/>
          </w:tcPr>
          <w:p w14:paraId="55B8DA80" w14:textId="77777777" w:rsidR="00081B36" w:rsidRDefault="00081B36" w:rsidP="00081B36">
            <w:pPr>
              <w:ind w:left="0" w:firstLine="0"/>
            </w:pPr>
            <w:r>
              <w:t xml:space="preserve">Grade assigned to the </w:t>
            </w:r>
            <w:r w:rsidRPr="004E7215">
              <w:rPr>
                <w:b/>
              </w:rPr>
              <w:t>recommendation</w:t>
            </w:r>
            <w:r>
              <w:t xml:space="preserve"> with definition of the grade</w:t>
            </w:r>
          </w:p>
        </w:tc>
        <w:tc>
          <w:tcPr>
            <w:tcW w:w="7747" w:type="dxa"/>
          </w:tcPr>
          <w:p w14:paraId="7301AFD7" w14:textId="67B14566" w:rsidR="00D33367" w:rsidRDefault="00D33367" w:rsidP="005E1447">
            <w:pPr>
              <w:ind w:left="0" w:firstLine="0"/>
            </w:pPr>
            <w:r w:rsidRPr="00D33367">
              <w:t>Strong Recommendation</w:t>
            </w:r>
            <w:r w:rsidR="005E1447">
              <w:t xml:space="preserve"> </w:t>
            </w:r>
            <w:r w:rsidR="005E1447" w:rsidRPr="005E1447">
              <w:t xml:space="preserve">for </w:t>
            </w:r>
            <w:r w:rsidR="00DE4319">
              <w:t xml:space="preserve">children </w:t>
            </w:r>
            <w:r w:rsidR="005E1447" w:rsidRPr="005E1447">
              <w:t>ages 9-42 months</w:t>
            </w:r>
            <w:r w:rsidRPr="00D33367">
              <w:t>; for definition, se</w:t>
            </w:r>
            <w:r w:rsidR="005E1447">
              <w:t xml:space="preserve">e evidence grading system </w:t>
            </w:r>
            <w:r w:rsidRPr="00D33367">
              <w:t>above</w:t>
            </w:r>
            <w:r w:rsidR="00DE4319">
              <w:t xml:space="preserve">. </w:t>
            </w:r>
          </w:p>
          <w:p w14:paraId="46677070" w14:textId="1D2A1CEC" w:rsidR="00DE4319" w:rsidRDefault="00DE4319" w:rsidP="005E1447">
            <w:pPr>
              <w:ind w:left="0" w:firstLine="0"/>
            </w:pPr>
          </w:p>
          <w:p w14:paraId="73A44141" w14:textId="18A7C3DE" w:rsidR="00DE4319" w:rsidRPr="00D33367" w:rsidRDefault="00DE4319" w:rsidP="005E1447">
            <w:pPr>
              <w:ind w:left="0" w:firstLine="0"/>
            </w:pPr>
            <w:r>
              <w:t xml:space="preserve">Moderate Recommendation </w:t>
            </w:r>
            <w:r w:rsidRPr="00DE4319">
              <w:t xml:space="preserve">for children &gt;42 months and adolescents; for definition, see evidence grading system above. </w:t>
            </w:r>
            <w:r>
              <w:t xml:space="preserve"> </w:t>
            </w:r>
          </w:p>
          <w:p w14:paraId="55B8DA81" w14:textId="77777777" w:rsidR="00081B36" w:rsidRDefault="00081B36" w:rsidP="00081B36">
            <w:pPr>
              <w:ind w:left="0" w:firstLine="0"/>
            </w:pPr>
          </w:p>
        </w:tc>
      </w:tr>
      <w:tr w:rsidR="00081B36" w14:paraId="55B8DA85" w14:textId="77777777" w:rsidTr="00081B36">
        <w:tc>
          <w:tcPr>
            <w:tcW w:w="1975" w:type="dxa"/>
          </w:tcPr>
          <w:p w14:paraId="55B8DA83" w14:textId="77777777" w:rsidR="00081B36" w:rsidRDefault="00081B36" w:rsidP="00081B36">
            <w:pPr>
              <w:ind w:left="0" w:firstLine="0"/>
            </w:pPr>
            <w:r>
              <w:t>Provide all other grades and definitions from the recommendation grading system</w:t>
            </w:r>
          </w:p>
        </w:tc>
        <w:tc>
          <w:tcPr>
            <w:tcW w:w="7747" w:type="dxa"/>
          </w:tcPr>
          <w:p w14:paraId="55B8DA84" w14:textId="60090A20" w:rsidR="00081B36" w:rsidRDefault="00D33367" w:rsidP="00325500">
            <w:pPr>
              <w:ind w:left="0" w:firstLine="0"/>
            </w:pPr>
            <w:r w:rsidRPr="00D33367">
              <w:t xml:space="preserve">See above; included within evidence grading system </w:t>
            </w:r>
            <w:r w:rsidR="00325500">
              <w:t>above</w:t>
            </w:r>
          </w:p>
        </w:tc>
      </w:tr>
      <w:tr w:rsidR="00081B36" w14:paraId="55B8DA8A" w14:textId="77777777" w:rsidTr="00081B36">
        <w:tc>
          <w:tcPr>
            <w:tcW w:w="1975" w:type="dxa"/>
          </w:tcPr>
          <w:p w14:paraId="55B8DA86" w14:textId="77777777" w:rsidR="00081B36" w:rsidRDefault="00081B36" w:rsidP="00081B36">
            <w:pPr>
              <w:ind w:left="0" w:firstLine="0"/>
            </w:pPr>
            <w:r>
              <w:t>Body of evidence:</w:t>
            </w:r>
          </w:p>
          <w:p w14:paraId="55B8DA87" w14:textId="77777777" w:rsidR="00081B36" w:rsidRDefault="00081B36" w:rsidP="005E1447">
            <w:pPr>
              <w:pStyle w:val="ListParagraph"/>
              <w:numPr>
                <w:ilvl w:val="0"/>
                <w:numId w:val="10"/>
              </w:numPr>
              <w:ind w:left="330" w:hanging="180"/>
            </w:pPr>
            <w:r>
              <w:t>Quantity – how many studies?</w:t>
            </w:r>
          </w:p>
          <w:p w14:paraId="55B8DA88" w14:textId="77777777" w:rsidR="00081B36" w:rsidRDefault="00081B36" w:rsidP="005E1447">
            <w:pPr>
              <w:pStyle w:val="ListParagraph"/>
              <w:numPr>
                <w:ilvl w:val="0"/>
                <w:numId w:val="10"/>
              </w:numPr>
              <w:ind w:left="330" w:hanging="180"/>
            </w:pPr>
            <w:r>
              <w:t>Quality – what type of studies?</w:t>
            </w:r>
          </w:p>
        </w:tc>
        <w:tc>
          <w:tcPr>
            <w:tcW w:w="7747" w:type="dxa"/>
          </w:tcPr>
          <w:p w14:paraId="7C91DFB3" w14:textId="632159FB" w:rsidR="00040B6C" w:rsidRDefault="006B3947" w:rsidP="00040B6C">
            <w:pPr>
              <w:ind w:left="0" w:firstLine="0"/>
            </w:pPr>
            <w:r>
              <w:t>Two</w:t>
            </w:r>
            <w:r w:rsidR="00040B6C">
              <w:t xml:space="preserve"> RCTs and </w:t>
            </w:r>
            <w:r>
              <w:t>33</w:t>
            </w:r>
            <w:r w:rsidR="00040B6C">
              <w:t xml:space="preserve"> observational studies </w:t>
            </w:r>
            <w:r>
              <w:t xml:space="preserve">including children with SCA. </w:t>
            </w:r>
          </w:p>
          <w:p w14:paraId="033FE19F" w14:textId="77777777" w:rsidR="00040B6C" w:rsidRDefault="00040B6C" w:rsidP="00040B6C">
            <w:pPr>
              <w:ind w:left="0" w:firstLine="0"/>
            </w:pPr>
          </w:p>
          <w:p w14:paraId="55B8DA89" w14:textId="503C724B" w:rsidR="00081B36" w:rsidRDefault="00040B6C" w:rsidP="00DA3891">
            <w:pPr>
              <w:ind w:left="0" w:firstLine="0"/>
            </w:pPr>
            <w:r>
              <w:t>As stated within the NHLBI Clinical Guidelines:</w:t>
            </w:r>
            <w:r w:rsidR="00A47C3C">
              <w:t xml:space="preserve"> </w:t>
            </w:r>
            <w:r w:rsidR="006B3947">
              <w:t>“</w:t>
            </w:r>
            <w:r w:rsidR="00A47C3C">
              <w:t>For infants, children, and adolescents who have SCA, hydroxyurea treatment results have closely and consistently mirrored those of adults. The first large, prospective, multicenter phase I/II trial (HUG KIDS) of school-aged children who were treated with hydroxyurea escalated to the maximum tolerated dose demonstrated laboratory efficacy, few short-term toxicities, and lack of toxicity for childhood growth and development [Kinney et al.</w:t>
            </w:r>
            <w:r w:rsidR="00501FBB">
              <w:t>, 1999</w:t>
            </w:r>
            <w:r w:rsidR="00A47C3C">
              <w:t xml:space="preserve"> </w:t>
            </w:r>
            <w:r w:rsidR="00A47C3C">
              <w:rPr>
                <w:rFonts w:cs="Arial"/>
                <w:iCs/>
              </w:rPr>
              <w:t>{see References at the end of this documents}]</w:t>
            </w:r>
            <w:r w:rsidR="00501FBB">
              <w:rPr>
                <w:rFonts w:cs="Arial"/>
                <w:iCs/>
              </w:rPr>
              <w:t>.</w:t>
            </w:r>
            <w:r w:rsidR="00A47C3C">
              <w:rPr>
                <w:rFonts w:cs="Arial"/>
                <w:iCs/>
              </w:rPr>
              <w:t xml:space="preserve"> </w:t>
            </w:r>
            <w:r w:rsidR="00A47C3C">
              <w:t>Soon after, a prospective phase I/II trial of infants with SCA who were treated with a liquid hydroxyurea formulation at a fixed dose of 20 mg/kg/day generated favorable short-term safety data and evidence suggesting prevention of sickle cell-related organ damage</w:t>
            </w:r>
            <w:r w:rsidR="00501FBB">
              <w:t xml:space="preserve"> [Wang</w:t>
            </w:r>
            <w:r w:rsidR="00A47C3C">
              <w:t xml:space="preserve"> </w:t>
            </w:r>
            <w:r w:rsidR="00501FBB">
              <w:t xml:space="preserve">et al., 2001]. </w:t>
            </w:r>
            <w:r w:rsidR="00A47C3C">
              <w:t>Subsequently, several groups in the United States and Europe published open-label data regarding the laboratory and clinical efficacy of hydroxyurea for young people with SCA, with evidence of sustained laboratory and clinical responses but without apparent long-term toxicities. Taken together, these trials provide almost 15 years of pediatric data on both the safety and efficacy of</w:t>
            </w:r>
            <w:r w:rsidR="00501FBB">
              <w:t xml:space="preserve"> </w:t>
            </w:r>
            <w:r w:rsidR="00A47C3C">
              <w:t xml:space="preserve">hydroxyurea for young </w:t>
            </w:r>
            <w:r w:rsidR="00A47C3C" w:rsidRPr="00501FBB">
              <w:t>people (reviewed in Ware</w:t>
            </w:r>
            <w:r w:rsidR="00501FBB" w:rsidRPr="00501FBB">
              <w:t>,</w:t>
            </w:r>
            <w:r w:rsidR="00A47C3C" w:rsidRPr="00501FBB">
              <w:t xml:space="preserve"> 2010)</w:t>
            </w:r>
            <w:r w:rsidR="00A47C3C">
              <w:t xml:space="preserve">. Most recently, the phase III double-blinded, placebo-controlled infant hydroxyurea study “Pediatric Hydroxyurea </w:t>
            </w:r>
            <w:r w:rsidR="00DA3891">
              <w:t>P</w:t>
            </w:r>
            <w:r w:rsidR="00A47C3C">
              <w:t>hase III Clinical Trial”</w:t>
            </w:r>
            <w:r w:rsidR="00501FBB">
              <w:t xml:space="preserve"> [NHLBI, 2000]</w:t>
            </w:r>
            <w:r w:rsidR="00A47C3C">
              <w:t xml:space="preserve"> had equivocal results for preservation of organ function, but confirmed the improvements in laboratory parameters such as total hemoglobin level and </w:t>
            </w:r>
            <w:proofErr w:type="spellStart"/>
            <w:r w:rsidR="00A47C3C">
              <w:t>HbF</w:t>
            </w:r>
            <w:proofErr w:type="spellEnd"/>
            <w:r w:rsidR="00A47C3C">
              <w:t xml:space="preserve"> level, and decreased numbers of sickle-related acute clinical events such as pain and ACS</w:t>
            </w:r>
            <w:r w:rsidR="00501FBB">
              <w:t xml:space="preserve"> [Wang et al., 2011]</w:t>
            </w:r>
            <w:r w:rsidR="00A47C3C">
              <w:t>. Long-term observational studies suggest sustained beneficial effects of hydroxyurea for young people without excessive myelotoxicity, deleterious effects on growth and development, altered fertility, accumulation of mutations, or increased carcinogenicity</w:t>
            </w:r>
            <w:r w:rsidR="00501FBB">
              <w:t xml:space="preserve"> [Zimmerman et al., 2004; Ballas et al., 2009</w:t>
            </w:r>
            <w:r w:rsidR="00DA3891">
              <w:t>;</w:t>
            </w:r>
            <w:r w:rsidR="00501FBB">
              <w:t xml:space="preserve"> Flanagan et al., 2010; McGann et al., 2</w:t>
            </w:r>
            <w:r w:rsidR="006B3947">
              <w:t>011].”</w:t>
            </w:r>
          </w:p>
        </w:tc>
      </w:tr>
      <w:tr w:rsidR="00081B36" w14:paraId="55B8DA8D" w14:textId="77777777" w:rsidTr="00081B36">
        <w:tc>
          <w:tcPr>
            <w:tcW w:w="1975" w:type="dxa"/>
          </w:tcPr>
          <w:p w14:paraId="55B8DA8B" w14:textId="77777777" w:rsidR="00081B36" w:rsidRDefault="00081B36" w:rsidP="00081B36">
            <w:pPr>
              <w:ind w:left="0" w:firstLine="0"/>
            </w:pPr>
            <w:r>
              <w:t xml:space="preserve">Estimates of benefit and consistency across studies </w:t>
            </w:r>
          </w:p>
        </w:tc>
        <w:tc>
          <w:tcPr>
            <w:tcW w:w="7747" w:type="dxa"/>
          </w:tcPr>
          <w:p w14:paraId="55B8DA8C" w14:textId="79F62DFE" w:rsidR="00081B36" w:rsidRDefault="00737493" w:rsidP="00081B36">
            <w:pPr>
              <w:ind w:left="0" w:firstLine="0"/>
            </w:pPr>
            <w:r>
              <w:t>See above</w:t>
            </w:r>
          </w:p>
        </w:tc>
      </w:tr>
      <w:tr w:rsidR="00081B36" w14:paraId="55B8DA90" w14:textId="77777777" w:rsidTr="00081B36">
        <w:tc>
          <w:tcPr>
            <w:tcW w:w="1975" w:type="dxa"/>
          </w:tcPr>
          <w:p w14:paraId="55B8DA8E" w14:textId="77777777" w:rsidR="00081B36" w:rsidRDefault="00081B36" w:rsidP="00081B36">
            <w:pPr>
              <w:ind w:left="0" w:firstLine="0"/>
            </w:pPr>
            <w:r>
              <w:t>What harms were identified?</w:t>
            </w:r>
          </w:p>
        </w:tc>
        <w:tc>
          <w:tcPr>
            <w:tcW w:w="7747" w:type="dxa"/>
          </w:tcPr>
          <w:p w14:paraId="24EABB3C" w14:textId="1415F9DB" w:rsidR="00081B36" w:rsidRDefault="006B3947" w:rsidP="006B3947">
            <w:pPr>
              <w:autoSpaceDE w:val="0"/>
              <w:autoSpaceDN w:val="0"/>
              <w:adjustRightInd w:val="0"/>
              <w:ind w:left="0" w:firstLine="0"/>
              <w:rPr>
                <w:rFonts w:cs="TimesNewRomanPSMT"/>
              </w:rPr>
            </w:pPr>
            <w:r w:rsidRPr="00325500">
              <w:rPr>
                <w:rFonts w:cs="TimesNewRomanPSMT"/>
              </w:rPr>
              <w:t xml:space="preserve">As stated within the NHLBI Clinical Guidelines: “The evidence for hydroxyurea toxicity in people with SCD is derived from three RCTs that enrolled 517 people and from 47 observational studies that enrolled more than 3,000 people. In people who do not have SCD, toxicity evidence is derived from 21 RCTs that enrolled more than 4,800 individuals and 35 observational studies that enrolled more than 7,500 individuals (see </w:t>
            </w:r>
            <w:r w:rsidR="00CA1860">
              <w:rPr>
                <w:rFonts w:cs="TimesNewRomanPSMT"/>
              </w:rPr>
              <w:t xml:space="preserve">Evidence Profile </w:t>
            </w:r>
            <w:r w:rsidR="00325500">
              <w:rPr>
                <w:rFonts w:cs="TimesNewRomanPSMT"/>
              </w:rPr>
              <w:t>below</w:t>
            </w:r>
            <w:r w:rsidRPr="00325500">
              <w:rPr>
                <w:rFonts w:cs="TimesNewRomanPSMT"/>
              </w:rPr>
              <w:t>).”</w:t>
            </w:r>
          </w:p>
          <w:p w14:paraId="4D567EBE" w14:textId="24578D19" w:rsidR="00325500" w:rsidRDefault="00325500" w:rsidP="006B3947">
            <w:pPr>
              <w:autoSpaceDE w:val="0"/>
              <w:autoSpaceDN w:val="0"/>
              <w:adjustRightInd w:val="0"/>
              <w:ind w:left="0" w:firstLine="0"/>
              <w:rPr>
                <w:rFonts w:cs="TimesNewRomanPSMT"/>
              </w:rPr>
            </w:pPr>
          </w:p>
          <w:p w14:paraId="4DCCAF01" w14:textId="46BE68B1" w:rsidR="00325500" w:rsidRDefault="00325500" w:rsidP="006B3947">
            <w:pPr>
              <w:autoSpaceDE w:val="0"/>
              <w:autoSpaceDN w:val="0"/>
              <w:adjustRightInd w:val="0"/>
              <w:ind w:left="0" w:firstLine="0"/>
              <w:rPr>
                <w:rFonts w:cs="TimesNewRomanPSMT"/>
                <w:b/>
              </w:rPr>
            </w:pPr>
            <w:r w:rsidRPr="00325500">
              <w:rPr>
                <w:rFonts w:cs="TimesNewRomanPSMT"/>
                <w:b/>
              </w:rPr>
              <w:t xml:space="preserve">Evidence Profile – Evidence of Side Effects in Sickle Cell Anemia </w:t>
            </w:r>
          </w:p>
          <w:p w14:paraId="316A43DC" w14:textId="77777777" w:rsidR="00CA1860" w:rsidRDefault="00CA1860" w:rsidP="00CA1860">
            <w:pPr>
              <w:autoSpaceDE w:val="0"/>
              <w:autoSpaceDN w:val="0"/>
              <w:adjustRightInd w:val="0"/>
              <w:ind w:left="346" w:firstLine="0"/>
              <w:rPr>
                <w:rFonts w:cs="TimesNewRomanPSMT"/>
                <w:b/>
              </w:rPr>
            </w:pPr>
          </w:p>
          <w:p w14:paraId="29F8EF17" w14:textId="21BEFACC" w:rsidR="00CA1860" w:rsidRPr="00CA1860" w:rsidRDefault="00CA1860" w:rsidP="00B73C2E">
            <w:pPr>
              <w:autoSpaceDE w:val="0"/>
              <w:autoSpaceDN w:val="0"/>
              <w:adjustRightInd w:val="0"/>
              <w:ind w:left="0" w:firstLine="0"/>
              <w:rPr>
                <w:rFonts w:cs="TimesNewRomanPSMT"/>
              </w:rPr>
            </w:pPr>
            <w:r>
              <w:rPr>
                <w:rFonts w:cs="TimesNewRomanPSMT"/>
                <w:b/>
              </w:rPr>
              <w:t xml:space="preserve">Potential Toxicity:  </w:t>
            </w:r>
            <w:r w:rsidRPr="00CA1860">
              <w:rPr>
                <w:rFonts w:cs="TimesNewRomanPSMT"/>
              </w:rPr>
              <w:t>Bone marrow suppression</w:t>
            </w:r>
          </w:p>
          <w:p w14:paraId="4CC48FF1" w14:textId="3E1488D8" w:rsidR="00CA1860" w:rsidRPr="00CA1860" w:rsidRDefault="00CA1860" w:rsidP="00B73C2E">
            <w:pPr>
              <w:autoSpaceDE w:val="0"/>
              <w:autoSpaceDN w:val="0"/>
              <w:adjustRightInd w:val="0"/>
              <w:ind w:left="0" w:firstLine="0"/>
              <w:rPr>
                <w:rFonts w:cs="TimesNewRomanPSMT"/>
              </w:rPr>
            </w:pPr>
            <w:r>
              <w:rPr>
                <w:rFonts w:cs="TimesNewRomanPSMT"/>
                <w:b/>
              </w:rPr>
              <w:t xml:space="preserve">Quality of the Evidence:  </w:t>
            </w:r>
            <w:r w:rsidRPr="00CA1860">
              <w:rPr>
                <w:rFonts w:cs="TimesNewRomanPSMT"/>
              </w:rPr>
              <w:t>High</w:t>
            </w:r>
          </w:p>
          <w:p w14:paraId="718805DC" w14:textId="52A79E34" w:rsidR="00CA1860" w:rsidRPr="00325500" w:rsidRDefault="00CA1860" w:rsidP="00B73C2E">
            <w:pPr>
              <w:autoSpaceDE w:val="0"/>
              <w:autoSpaceDN w:val="0"/>
              <w:adjustRightInd w:val="0"/>
              <w:ind w:left="0" w:firstLine="0"/>
              <w:rPr>
                <w:rFonts w:cs="TimesNewRomanPSMT"/>
                <w:b/>
              </w:rPr>
            </w:pPr>
            <w:r>
              <w:rPr>
                <w:rFonts w:cs="TimesNewRomanPSMT"/>
                <w:b/>
              </w:rPr>
              <w:t xml:space="preserve">Treatment Effect:  </w:t>
            </w:r>
            <w:r w:rsidRPr="00CA1860">
              <w:rPr>
                <w:rFonts w:cs="TimesNewRomanPSMT"/>
              </w:rPr>
              <w:t xml:space="preserve">Reversible </w:t>
            </w:r>
            <w:proofErr w:type="spellStart"/>
            <w:r w:rsidRPr="00CA1860">
              <w:rPr>
                <w:rFonts w:cs="TimesNewRomanPSMT"/>
              </w:rPr>
              <w:t>cytopenias</w:t>
            </w:r>
            <w:proofErr w:type="spellEnd"/>
            <w:r w:rsidRPr="00CA1860">
              <w:rPr>
                <w:rFonts w:cs="TimesNewRomanPSMT"/>
              </w:rPr>
              <w:t xml:space="preserve"> associated with hydroxyurea</w:t>
            </w:r>
          </w:p>
          <w:p w14:paraId="4403663F" w14:textId="6706E27E" w:rsidR="006B3947" w:rsidRDefault="006B3947" w:rsidP="00B73C2E">
            <w:pPr>
              <w:autoSpaceDE w:val="0"/>
              <w:autoSpaceDN w:val="0"/>
              <w:adjustRightInd w:val="0"/>
              <w:ind w:left="0" w:firstLine="0"/>
              <w:rPr>
                <w:rFonts w:ascii="TimesNewRomanPSMT" w:hAnsi="TimesNewRomanPSMT" w:cs="TimesNewRomanPSMT"/>
              </w:rPr>
            </w:pPr>
          </w:p>
          <w:p w14:paraId="6398FADF" w14:textId="30BDB699" w:rsidR="00CA1860" w:rsidRPr="00CA1860" w:rsidRDefault="00CA1860" w:rsidP="00B73C2E">
            <w:pPr>
              <w:autoSpaceDE w:val="0"/>
              <w:autoSpaceDN w:val="0"/>
              <w:adjustRightInd w:val="0"/>
              <w:ind w:left="0" w:firstLine="0"/>
              <w:rPr>
                <w:rFonts w:cs="TimesNewRomanPSMT"/>
              </w:rPr>
            </w:pPr>
            <w:r>
              <w:rPr>
                <w:rFonts w:cs="TimesNewRomanPSMT"/>
                <w:b/>
              </w:rPr>
              <w:t xml:space="preserve">Potential Toxicity: </w:t>
            </w:r>
            <w:r>
              <w:rPr>
                <w:rFonts w:cs="TimesNewRomanPSMT"/>
                <w:b/>
              </w:rPr>
              <w:t xml:space="preserve"> </w:t>
            </w:r>
            <w:r>
              <w:rPr>
                <w:rFonts w:cs="TimesNewRomanPSMT"/>
              </w:rPr>
              <w:t>Leukemia</w:t>
            </w:r>
          </w:p>
          <w:p w14:paraId="7EDD2815" w14:textId="3EF932A4" w:rsidR="00CA1860" w:rsidRDefault="00CA1860" w:rsidP="00B73C2E">
            <w:pPr>
              <w:autoSpaceDE w:val="0"/>
              <w:autoSpaceDN w:val="0"/>
              <w:adjustRightInd w:val="0"/>
              <w:ind w:left="0" w:firstLine="0"/>
              <w:rPr>
                <w:rFonts w:cs="TimesNewRomanPSMT"/>
                <w:b/>
              </w:rPr>
            </w:pPr>
            <w:r>
              <w:rPr>
                <w:rFonts w:cs="TimesNewRomanPSMT"/>
                <w:b/>
              </w:rPr>
              <w:t>Quality of the Evidence:</w:t>
            </w:r>
            <w:r>
              <w:rPr>
                <w:rFonts w:cs="TimesNewRomanPSMT"/>
                <w:b/>
              </w:rPr>
              <w:t xml:space="preserve">  </w:t>
            </w:r>
            <w:r>
              <w:rPr>
                <w:rFonts w:cs="TimesNewRomanPSMT"/>
              </w:rPr>
              <w:t>No supporting evidence in SCD populations/Very low</w:t>
            </w:r>
            <w:r>
              <w:rPr>
                <w:rFonts w:cs="TimesNewRomanPSMT"/>
                <w:b/>
              </w:rPr>
              <w:t xml:space="preserve">   </w:t>
            </w:r>
          </w:p>
          <w:p w14:paraId="05579D20" w14:textId="0520F7DB" w:rsidR="00CA1860" w:rsidRPr="00325500" w:rsidRDefault="00CA1860" w:rsidP="00B73C2E">
            <w:pPr>
              <w:autoSpaceDE w:val="0"/>
              <w:autoSpaceDN w:val="0"/>
              <w:adjustRightInd w:val="0"/>
              <w:ind w:left="0" w:firstLine="0"/>
              <w:rPr>
                <w:rFonts w:cs="TimesNewRomanPSMT"/>
                <w:b/>
              </w:rPr>
            </w:pPr>
            <w:r>
              <w:rPr>
                <w:rFonts w:cs="TimesNewRomanPSMT"/>
                <w:b/>
              </w:rPr>
              <w:t>Treatment Effect:</w:t>
            </w:r>
            <w:r>
              <w:rPr>
                <w:rFonts w:cs="TimesNewRomanPSMT"/>
                <w:b/>
              </w:rPr>
              <w:t xml:space="preserve">  </w:t>
            </w:r>
            <w:r w:rsidRPr="00CA1860">
              <w:rPr>
                <w:rFonts w:cs="TimesNewRomanPSMT"/>
              </w:rPr>
              <w:t>The available evidence does not support the association of hydroxyurea treatment with the development of leukemia in adults or children</w:t>
            </w:r>
          </w:p>
          <w:p w14:paraId="0E2BF636" w14:textId="51712CA1" w:rsidR="00CA1860" w:rsidRDefault="00CA1860" w:rsidP="00B73C2E">
            <w:pPr>
              <w:autoSpaceDE w:val="0"/>
              <w:autoSpaceDN w:val="0"/>
              <w:adjustRightInd w:val="0"/>
              <w:ind w:left="0" w:firstLine="0"/>
              <w:rPr>
                <w:rFonts w:ascii="TimesNewRomanPSMT" w:hAnsi="TimesNewRomanPSMT" w:cs="TimesNewRomanPSMT"/>
              </w:rPr>
            </w:pPr>
          </w:p>
          <w:p w14:paraId="70D1D70C" w14:textId="5014910A" w:rsidR="00CA1860" w:rsidRPr="00CA1860" w:rsidRDefault="00CA1860" w:rsidP="00B73C2E">
            <w:pPr>
              <w:autoSpaceDE w:val="0"/>
              <w:autoSpaceDN w:val="0"/>
              <w:adjustRightInd w:val="0"/>
              <w:ind w:left="0" w:firstLine="0"/>
              <w:rPr>
                <w:rFonts w:cs="TimesNewRomanPSMT"/>
              </w:rPr>
            </w:pPr>
            <w:r>
              <w:rPr>
                <w:rFonts w:cs="TimesNewRomanPSMT"/>
                <w:b/>
              </w:rPr>
              <w:t xml:space="preserve">Potential Toxicity: </w:t>
            </w:r>
            <w:r>
              <w:rPr>
                <w:rFonts w:cs="TimesNewRomanPSMT"/>
                <w:b/>
              </w:rPr>
              <w:t xml:space="preserve"> </w:t>
            </w:r>
            <w:r w:rsidRPr="00CA1860">
              <w:rPr>
                <w:rFonts w:cs="TimesNewRomanPSMT"/>
              </w:rPr>
              <w:t>Leg ulcers</w:t>
            </w:r>
          </w:p>
          <w:p w14:paraId="3D33E52A" w14:textId="41536075" w:rsidR="00CA1860" w:rsidRDefault="00CA1860" w:rsidP="00B73C2E">
            <w:pPr>
              <w:autoSpaceDE w:val="0"/>
              <w:autoSpaceDN w:val="0"/>
              <w:adjustRightInd w:val="0"/>
              <w:ind w:left="0" w:firstLine="0"/>
              <w:rPr>
                <w:rFonts w:cs="TimesNewRomanPSMT"/>
              </w:rPr>
            </w:pPr>
            <w:r>
              <w:rPr>
                <w:rFonts w:cs="TimesNewRomanPSMT"/>
                <w:b/>
              </w:rPr>
              <w:t>Quality of the Evidence:</w:t>
            </w:r>
            <w:r>
              <w:rPr>
                <w:rFonts w:cs="TimesNewRomanPSMT"/>
                <w:b/>
              </w:rPr>
              <w:t xml:space="preserve">  </w:t>
            </w:r>
            <w:r>
              <w:rPr>
                <w:rFonts w:cs="TimesNewRomanPSMT"/>
              </w:rPr>
              <w:t>Adults: Moderate</w:t>
            </w:r>
            <w:r w:rsidR="00B73C2E">
              <w:rPr>
                <w:rFonts w:cs="TimesNewRomanPSMT"/>
              </w:rPr>
              <w:t>; Children: Low</w:t>
            </w:r>
          </w:p>
          <w:p w14:paraId="0AEB5534" w14:textId="656989E7" w:rsidR="00CA1860" w:rsidRPr="00B73C2E" w:rsidRDefault="00CA1860" w:rsidP="00B73C2E">
            <w:pPr>
              <w:autoSpaceDE w:val="0"/>
              <w:autoSpaceDN w:val="0"/>
              <w:adjustRightInd w:val="0"/>
              <w:ind w:left="0" w:firstLine="0"/>
              <w:rPr>
                <w:rFonts w:cs="TimesNewRomanPSMT"/>
              </w:rPr>
            </w:pPr>
            <w:r>
              <w:rPr>
                <w:rFonts w:cs="TimesNewRomanPSMT"/>
                <w:b/>
              </w:rPr>
              <w:t>Treatment Effect:</w:t>
            </w:r>
            <w:r w:rsidR="00B73C2E">
              <w:rPr>
                <w:rFonts w:cs="TimesNewRomanPSMT"/>
                <w:b/>
              </w:rPr>
              <w:t xml:space="preserve"> </w:t>
            </w:r>
            <w:r w:rsidR="00B73C2E" w:rsidRPr="00B73C2E">
              <w:rPr>
                <w:rFonts w:cs="TimesNewRomanPSMT"/>
              </w:rPr>
              <w:t>The available evidence does not support the association of hydroxyurea treatment with</w:t>
            </w:r>
            <w:r w:rsidR="00B73C2E">
              <w:rPr>
                <w:rFonts w:cs="TimesNewRomanPSMT"/>
              </w:rPr>
              <w:t xml:space="preserve"> leg ulcers</w:t>
            </w:r>
          </w:p>
          <w:p w14:paraId="7DCA08FB" w14:textId="45200E48" w:rsidR="00CA1860" w:rsidRDefault="00CA1860" w:rsidP="00B73C2E">
            <w:pPr>
              <w:autoSpaceDE w:val="0"/>
              <w:autoSpaceDN w:val="0"/>
              <w:adjustRightInd w:val="0"/>
              <w:ind w:left="0" w:firstLine="0"/>
              <w:rPr>
                <w:rFonts w:ascii="TimesNewRomanPSMT" w:hAnsi="TimesNewRomanPSMT" w:cs="TimesNewRomanPSMT"/>
              </w:rPr>
            </w:pPr>
          </w:p>
          <w:p w14:paraId="7F8577A5" w14:textId="4EF5B36F" w:rsidR="00CA1860" w:rsidRPr="00CA1860" w:rsidRDefault="00CA1860" w:rsidP="00B73C2E">
            <w:pPr>
              <w:autoSpaceDE w:val="0"/>
              <w:autoSpaceDN w:val="0"/>
              <w:adjustRightInd w:val="0"/>
              <w:ind w:left="0" w:firstLine="0"/>
              <w:rPr>
                <w:rFonts w:cs="TimesNewRomanPSMT"/>
              </w:rPr>
            </w:pPr>
            <w:r>
              <w:rPr>
                <w:rFonts w:cs="TimesNewRomanPSMT"/>
                <w:b/>
              </w:rPr>
              <w:t xml:space="preserve">Potential Toxicity: </w:t>
            </w:r>
            <w:r>
              <w:rPr>
                <w:rFonts w:cs="TimesNewRomanPSMT"/>
                <w:b/>
              </w:rPr>
              <w:t xml:space="preserve"> </w:t>
            </w:r>
            <w:r w:rsidRPr="00CA1860">
              <w:rPr>
                <w:rFonts w:cs="TimesNewRomanPSMT"/>
              </w:rPr>
              <w:t>Other side effects</w:t>
            </w:r>
          </w:p>
          <w:p w14:paraId="3E4BFFB6" w14:textId="45C4CF77" w:rsidR="00CA1860" w:rsidRPr="00CA1860" w:rsidRDefault="00CA1860" w:rsidP="00B73C2E">
            <w:pPr>
              <w:autoSpaceDE w:val="0"/>
              <w:autoSpaceDN w:val="0"/>
              <w:adjustRightInd w:val="0"/>
              <w:ind w:left="0" w:firstLine="0"/>
              <w:rPr>
                <w:rFonts w:cs="TimesNewRomanPSMT"/>
              </w:rPr>
            </w:pPr>
            <w:r>
              <w:rPr>
                <w:rFonts w:cs="TimesNewRomanPSMT"/>
                <w:b/>
              </w:rPr>
              <w:t>Quality of the Evidence:</w:t>
            </w:r>
            <w:r>
              <w:rPr>
                <w:rFonts w:cs="TimesNewRomanPSMT"/>
                <w:b/>
              </w:rPr>
              <w:t xml:space="preserve">  </w:t>
            </w:r>
            <w:r w:rsidRPr="00CA1860">
              <w:rPr>
                <w:rFonts w:cs="TimesNewRomanPSMT"/>
              </w:rPr>
              <w:t>Very low</w:t>
            </w:r>
          </w:p>
          <w:p w14:paraId="049DABE2" w14:textId="7A2498F8" w:rsidR="00CA1860" w:rsidRPr="00325500" w:rsidRDefault="00CA1860" w:rsidP="00B73C2E">
            <w:pPr>
              <w:autoSpaceDE w:val="0"/>
              <w:autoSpaceDN w:val="0"/>
              <w:adjustRightInd w:val="0"/>
              <w:ind w:left="0" w:firstLine="0"/>
              <w:rPr>
                <w:rFonts w:cs="TimesNewRomanPSMT"/>
                <w:b/>
              </w:rPr>
            </w:pPr>
            <w:r>
              <w:rPr>
                <w:rFonts w:cs="TimesNewRomanPSMT"/>
                <w:b/>
              </w:rPr>
              <w:t>Treatment Effect:</w:t>
            </w:r>
            <w:r>
              <w:rPr>
                <w:rFonts w:cs="TimesNewRomanPSMT"/>
                <w:b/>
              </w:rPr>
              <w:t xml:space="preserve">  </w:t>
            </w:r>
            <w:r w:rsidRPr="00CA1860">
              <w:rPr>
                <w:rFonts w:cs="TimesNewRomanPSMT"/>
              </w:rPr>
              <w:t>Numerous other side effects were reported in the literature with low frequency and none with certain causality</w:t>
            </w:r>
          </w:p>
          <w:p w14:paraId="6175E1D9" w14:textId="76B51D5D" w:rsidR="00CA1860" w:rsidRDefault="00CA1860" w:rsidP="00B73C2E">
            <w:pPr>
              <w:autoSpaceDE w:val="0"/>
              <w:autoSpaceDN w:val="0"/>
              <w:adjustRightInd w:val="0"/>
              <w:ind w:left="0" w:firstLine="0"/>
              <w:rPr>
                <w:rFonts w:ascii="TimesNewRomanPSMT" w:hAnsi="TimesNewRomanPSMT" w:cs="TimesNewRomanPSMT"/>
              </w:rPr>
            </w:pPr>
          </w:p>
          <w:p w14:paraId="540F3D79" w14:textId="29821E88" w:rsidR="00CA1860" w:rsidRPr="00CA1860" w:rsidRDefault="00CA1860" w:rsidP="00B73C2E">
            <w:pPr>
              <w:autoSpaceDE w:val="0"/>
              <w:autoSpaceDN w:val="0"/>
              <w:adjustRightInd w:val="0"/>
              <w:ind w:left="0" w:firstLine="0"/>
              <w:rPr>
                <w:rFonts w:cs="TimesNewRomanPSMT"/>
              </w:rPr>
            </w:pPr>
            <w:r>
              <w:rPr>
                <w:rFonts w:cs="TimesNewRomanPSMT"/>
                <w:b/>
              </w:rPr>
              <w:t xml:space="preserve">Potential Toxicity: </w:t>
            </w:r>
            <w:r>
              <w:rPr>
                <w:rFonts w:cs="TimesNewRomanPSMT"/>
                <w:b/>
              </w:rPr>
              <w:t xml:space="preserve"> </w:t>
            </w:r>
            <w:r>
              <w:rPr>
                <w:rFonts w:cs="TimesNewRomanPSMT"/>
              </w:rPr>
              <w:t>Reproductive effects</w:t>
            </w:r>
          </w:p>
          <w:p w14:paraId="67B62B9D" w14:textId="02C74D94" w:rsidR="00CA1860" w:rsidRPr="00CA1860" w:rsidRDefault="00CA1860" w:rsidP="00B73C2E">
            <w:pPr>
              <w:autoSpaceDE w:val="0"/>
              <w:autoSpaceDN w:val="0"/>
              <w:adjustRightInd w:val="0"/>
              <w:ind w:left="0" w:firstLine="0"/>
              <w:rPr>
                <w:rFonts w:cs="TimesNewRomanPSMT"/>
              </w:rPr>
            </w:pPr>
            <w:r>
              <w:rPr>
                <w:rFonts w:cs="TimesNewRomanPSMT"/>
                <w:b/>
              </w:rPr>
              <w:t>Quality of the Evidence:</w:t>
            </w:r>
            <w:r>
              <w:rPr>
                <w:rFonts w:cs="TimesNewRomanPSMT"/>
                <w:b/>
              </w:rPr>
              <w:t xml:space="preserve">  </w:t>
            </w:r>
            <w:r>
              <w:rPr>
                <w:rFonts w:cs="TimesNewRomanPSMT"/>
              </w:rPr>
              <w:t>Very low</w:t>
            </w:r>
          </w:p>
          <w:p w14:paraId="52B40C03" w14:textId="4DCAF041" w:rsidR="00CA1860" w:rsidRPr="00CA1860" w:rsidRDefault="00CA1860" w:rsidP="00B73C2E">
            <w:pPr>
              <w:autoSpaceDE w:val="0"/>
              <w:autoSpaceDN w:val="0"/>
              <w:adjustRightInd w:val="0"/>
              <w:ind w:left="0" w:firstLine="0"/>
              <w:rPr>
                <w:rFonts w:cs="TimesNewRomanPSMT"/>
              </w:rPr>
            </w:pPr>
            <w:r>
              <w:rPr>
                <w:rFonts w:cs="TimesNewRomanPSMT"/>
                <w:b/>
              </w:rPr>
              <w:t>Treatment Effect:</w:t>
            </w:r>
            <w:r>
              <w:rPr>
                <w:rFonts w:cs="TimesNewRomanPSMT"/>
                <w:b/>
              </w:rPr>
              <w:t xml:space="preserve"> </w:t>
            </w:r>
            <w:r w:rsidRPr="00CA1860">
              <w:rPr>
                <w:rFonts w:cs="TimesNewRomanPSMT"/>
              </w:rPr>
              <w:t>Minimal human data exist on potential harmful reproductive effects of hydroxyurea in males and females</w:t>
            </w:r>
          </w:p>
          <w:p w14:paraId="55B8DA8F" w14:textId="6C99CD11" w:rsidR="006B3947" w:rsidRDefault="006B3947" w:rsidP="006B3947">
            <w:pPr>
              <w:autoSpaceDE w:val="0"/>
              <w:autoSpaceDN w:val="0"/>
              <w:adjustRightInd w:val="0"/>
              <w:ind w:left="0" w:firstLine="0"/>
            </w:pPr>
          </w:p>
        </w:tc>
      </w:tr>
      <w:tr w:rsidR="00081B36" w14:paraId="55B8DA93" w14:textId="77777777" w:rsidTr="00081B36">
        <w:tc>
          <w:tcPr>
            <w:tcW w:w="1975" w:type="dxa"/>
          </w:tcPr>
          <w:p w14:paraId="55B8DA91" w14:textId="77777777" w:rsidR="00081B36" w:rsidRDefault="00081B36" w:rsidP="00081B36">
            <w:pPr>
              <w:ind w:left="0" w:firstLine="0"/>
            </w:pPr>
            <w:r>
              <w:t>Identify any new studies conducted since the SR. Do the new studies change the conclusions from the SR?</w:t>
            </w:r>
          </w:p>
        </w:tc>
        <w:tc>
          <w:tcPr>
            <w:tcW w:w="7747" w:type="dxa"/>
          </w:tcPr>
          <w:p w14:paraId="55B8DA92" w14:textId="680ACE43" w:rsidR="00081B36" w:rsidRDefault="00AB7CF8" w:rsidP="00081B36">
            <w:pPr>
              <w:ind w:left="0" w:firstLine="0"/>
            </w:pPr>
            <w:r>
              <w:t>N/A</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D62E1CA"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74DC46A2" w14:textId="77777777" w:rsidR="00DA3891" w:rsidRDefault="00DA3891" w:rsidP="00A47C3C">
      <w:pPr>
        <w:autoSpaceDE w:val="0"/>
        <w:autoSpaceDN w:val="0"/>
        <w:adjustRightInd w:val="0"/>
        <w:ind w:left="0" w:firstLine="0"/>
        <w:rPr>
          <w:rFonts w:cstheme="minorHAnsi"/>
        </w:rPr>
      </w:pPr>
    </w:p>
    <w:p w14:paraId="2939E747" w14:textId="77777777" w:rsidR="00DA3891" w:rsidRDefault="00DA3891" w:rsidP="00A47C3C">
      <w:pPr>
        <w:autoSpaceDE w:val="0"/>
        <w:autoSpaceDN w:val="0"/>
        <w:adjustRightInd w:val="0"/>
        <w:ind w:left="0" w:firstLine="0"/>
        <w:rPr>
          <w:rFonts w:cstheme="minorHAnsi"/>
        </w:rPr>
      </w:pPr>
    </w:p>
    <w:p w14:paraId="25D37AB9" w14:textId="43D2829D" w:rsidR="00A47C3C" w:rsidRPr="00DA3891" w:rsidRDefault="00A47C3C" w:rsidP="00A47C3C">
      <w:pPr>
        <w:autoSpaceDE w:val="0"/>
        <w:autoSpaceDN w:val="0"/>
        <w:adjustRightInd w:val="0"/>
        <w:ind w:left="0" w:firstLine="0"/>
        <w:rPr>
          <w:rFonts w:cstheme="minorHAnsi"/>
        </w:rPr>
      </w:pPr>
    </w:p>
    <w:p w14:paraId="24E6AD78" w14:textId="77777777" w:rsidR="00DA3891" w:rsidRDefault="00DA3891" w:rsidP="00A47C3C">
      <w:pPr>
        <w:autoSpaceDE w:val="0"/>
        <w:autoSpaceDN w:val="0"/>
        <w:adjustRightInd w:val="0"/>
        <w:ind w:left="0" w:firstLine="0"/>
        <w:rPr>
          <w:rFonts w:cstheme="minorHAnsi"/>
        </w:rPr>
      </w:pPr>
    </w:p>
    <w:sectPr w:rsidR="00DA3891">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74892" w14:textId="77777777" w:rsidR="002C061B" w:rsidRDefault="002C061B" w:rsidP="007E37A5">
      <w:r>
        <w:separator/>
      </w:r>
    </w:p>
  </w:endnote>
  <w:endnote w:type="continuationSeparator" w:id="0">
    <w:p w14:paraId="2FA5ABBF" w14:textId="77777777" w:rsidR="002C061B" w:rsidRDefault="002C061B"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57EE85AD"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A602D">
      <w:rPr>
        <w:noProof/>
      </w:rPr>
      <w:t>9</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ED41A" w14:textId="77777777" w:rsidR="002C061B" w:rsidRDefault="002C061B" w:rsidP="007E37A5">
      <w:r>
        <w:separator/>
      </w:r>
    </w:p>
  </w:footnote>
  <w:footnote w:type="continuationSeparator" w:id="0">
    <w:p w14:paraId="58D7953D" w14:textId="77777777" w:rsidR="002C061B" w:rsidRDefault="002C061B"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372F1"/>
    <w:multiLevelType w:val="hybridMultilevel"/>
    <w:tmpl w:val="5E5E910A"/>
    <w:lvl w:ilvl="0" w:tplc="C208329E">
      <w:start w:val="1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CF7084"/>
    <w:multiLevelType w:val="hybridMultilevel"/>
    <w:tmpl w:val="701C4B26"/>
    <w:lvl w:ilvl="0" w:tplc="29BA243C">
      <w:start w:val="10"/>
      <w:numFmt w:val="bullet"/>
      <w:lvlText w:val="-"/>
      <w:lvlJc w:val="left"/>
      <w:pPr>
        <w:ind w:left="720" w:hanging="360"/>
      </w:pPr>
      <w:rPr>
        <w:rFonts w:ascii="Calibri" w:eastAsiaTheme="minorHAnsi" w:hAnsi="Calibri"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5C2366C"/>
    <w:multiLevelType w:val="hybridMultilevel"/>
    <w:tmpl w:val="FAC646D0"/>
    <w:lvl w:ilvl="0" w:tplc="EB70E32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6"/>
  </w:num>
  <w:num w:numId="6">
    <w:abstractNumId w:val="5"/>
  </w:num>
  <w:num w:numId="7">
    <w:abstractNumId w:val="12"/>
  </w:num>
  <w:num w:numId="8">
    <w:abstractNumId w:val="11"/>
  </w:num>
  <w:num w:numId="9">
    <w:abstractNumId w:val="13"/>
  </w:num>
  <w:num w:numId="10">
    <w:abstractNumId w:val="1"/>
  </w:num>
  <w:num w:numId="11">
    <w:abstractNumId w:val="8"/>
  </w:num>
  <w:num w:numId="12">
    <w:abstractNumId w:val="10"/>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B6C"/>
    <w:rsid w:val="00040DCF"/>
    <w:rsid w:val="00052C0B"/>
    <w:rsid w:val="00061CF3"/>
    <w:rsid w:val="00063601"/>
    <w:rsid w:val="00064004"/>
    <w:rsid w:val="00073079"/>
    <w:rsid w:val="0007593F"/>
    <w:rsid w:val="00081B36"/>
    <w:rsid w:val="00091CE1"/>
    <w:rsid w:val="00095EC9"/>
    <w:rsid w:val="00096A37"/>
    <w:rsid w:val="000A0810"/>
    <w:rsid w:val="000A1485"/>
    <w:rsid w:val="000B627F"/>
    <w:rsid w:val="000D649E"/>
    <w:rsid w:val="000D6D06"/>
    <w:rsid w:val="000E5C93"/>
    <w:rsid w:val="000F4A7F"/>
    <w:rsid w:val="00114848"/>
    <w:rsid w:val="00115241"/>
    <w:rsid w:val="00120934"/>
    <w:rsid w:val="00132070"/>
    <w:rsid w:val="00141875"/>
    <w:rsid w:val="0014347E"/>
    <w:rsid w:val="00154438"/>
    <w:rsid w:val="001551F6"/>
    <w:rsid w:val="0015535B"/>
    <w:rsid w:val="00162036"/>
    <w:rsid w:val="001632DD"/>
    <w:rsid w:val="00176E51"/>
    <w:rsid w:val="00176E60"/>
    <w:rsid w:val="0019419B"/>
    <w:rsid w:val="00194913"/>
    <w:rsid w:val="00194D9A"/>
    <w:rsid w:val="001A196B"/>
    <w:rsid w:val="001A6D05"/>
    <w:rsid w:val="001B38BF"/>
    <w:rsid w:val="001B772D"/>
    <w:rsid w:val="001D5B5D"/>
    <w:rsid w:val="001D6F24"/>
    <w:rsid w:val="001E6153"/>
    <w:rsid w:val="001F741B"/>
    <w:rsid w:val="00201FF9"/>
    <w:rsid w:val="00203FD4"/>
    <w:rsid w:val="00205857"/>
    <w:rsid w:val="00235ADC"/>
    <w:rsid w:val="00236F87"/>
    <w:rsid w:val="002618EF"/>
    <w:rsid w:val="00265702"/>
    <w:rsid w:val="002662B2"/>
    <w:rsid w:val="002717C7"/>
    <w:rsid w:val="002875E9"/>
    <w:rsid w:val="00287EB3"/>
    <w:rsid w:val="002A47BA"/>
    <w:rsid w:val="002A6777"/>
    <w:rsid w:val="002B06BD"/>
    <w:rsid w:val="002C061B"/>
    <w:rsid w:val="002C0E48"/>
    <w:rsid w:val="002C2230"/>
    <w:rsid w:val="002C6F04"/>
    <w:rsid w:val="002E2177"/>
    <w:rsid w:val="002E2E41"/>
    <w:rsid w:val="002E78CD"/>
    <w:rsid w:val="002F20A7"/>
    <w:rsid w:val="003008F4"/>
    <w:rsid w:val="00302B1D"/>
    <w:rsid w:val="00307FA5"/>
    <w:rsid w:val="00324D64"/>
    <w:rsid w:val="00325500"/>
    <w:rsid w:val="00347C1E"/>
    <w:rsid w:val="00352B52"/>
    <w:rsid w:val="0035760D"/>
    <w:rsid w:val="00363ECC"/>
    <w:rsid w:val="0039020B"/>
    <w:rsid w:val="00395263"/>
    <w:rsid w:val="003956E0"/>
    <w:rsid w:val="0039609A"/>
    <w:rsid w:val="00397500"/>
    <w:rsid w:val="003A3CC9"/>
    <w:rsid w:val="003B1CC5"/>
    <w:rsid w:val="003B65CE"/>
    <w:rsid w:val="003D62F5"/>
    <w:rsid w:val="003D6721"/>
    <w:rsid w:val="003E039E"/>
    <w:rsid w:val="0040230E"/>
    <w:rsid w:val="0041662F"/>
    <w:rsid w:val="00422917"/>
    <w:rsid w:val="00434B45"/>
    <w:rsid w:val="00440687"/>
    <w:rsid w:val="0044131D"/>
    <w:rsid w:val="00441ADA"/>
    <w:rsid w:val="00457E46"/>
    <w:rsid w:val="004922E4"/>
    <w:rsid w:val="00496AF8"/>
    <w:rsid w:val="004A575D"/>
    <w:rsid w:val="004B4C5B"/>
    <w:rsid w:val="004B65C6"/>
    <w:rsid w:val="004D1DC7"/>
    <w:rsid w:val="004E7215"/>
    <w:rsid w:val="004F7D7E"/>
    <w:rsid w:val="00500B0C"/>
    <w:rsid w:val="00501FBB"/>
    <w:rsid w:val="00537150"/>
    <w:rsid w:val="00540984"/>
    <w:rsid w:val="00543851"/>
    <w:rsid w:val="0055559D"/>
    <w:rsid w:val="005569AE"/>
    <w:rsid w:val="00557B26"/>
    <w:rsid w:val="005857F8"/>
    <w:rsid w:val="005B0D18"/>
    <w:rsid w:val="005B12C3"/>
    <w:rsid w:val="005B409D"/>
    <w:rsid w:val="005B7036"/>
    <w:rsid w:val="005D0B1C"/>
    <w:rsid w:val="005D0FDB"/>
    <w:rsid w:val="005D25E9"/>
    <w:rsid w:val="005D6D59"/>
    <w:rsid w:val="005E13F7"/>
    <w:rsid w:val="005E1447"/>
    <w:rsid w:val="0061327A"/>
    <w:rsid w:val="00617390"/>
    <w:rsid w:val="00623420"/>
    <w:rsid w:val="00634768"/>
    <w:rsid w:val="0063596F"/>
    <w:rsid w:val="006700A2"/>
    <w:rsid w:val="006709EB"/>
    <w:rsid w:val="00672824"/>
    <w:rsid w:val="00676BD4"/>
    <w:rsid w:val="0068184A"/>
    <w:rsid w:val="006A0249"/>
    <w:rsid w:val="006B3947"/>
    <w:rsid w:val="006B5C51"/>
    <w:rsid w:val="006C7F30"/>
    <w:rsid w:val="006D43FF"/>
    <w:rsid w:val="006E6FDD"/>
    <w:rsid w:val="006F4B7F"/>
    <w:rsid w:val="006F760B"/>
    <w:rsid w:val="00701CC3"/>
    <w:rsid w:val="00722F6A"/>
    <w:rsid w:val="00724801"/>
    <w:rsid w:val="00734949"/>
    <w:rsid w:val="00736A38"/>
    <w:rsid w:val="00736AEC"/>
    <w:rsid w:val="00736E0F"/>
    <w:rsid w:val="00737493"/>
    <w:rsid w:val="007434FA"/>
    <w:rsid w:val="007573F0"/>
    <w:rsid w:val="00765156"/>
    <w:rsid w:val="00767669"/>
    <w:rsid w:val="00773485"/>
    <w:rsid w:val="00776E8F"/>
    <w:rsid w:val="00776F6D"/>
    <w:rsid w:val="007B63C4"/>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1594"/>
    <w:rsid w:val="008B51D9"/>
    <w:rsid w:val="008B652E"/>
    <w:rsid w:val="008D05B7"/>
    <w:rsid w:val="008D3CC0"/>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47C3C"/>
    <w:rsid w:val="00A50E55"/>
    <w:rsid w:val="00A67EB1"/>
    <w:rsid w:val="00A9011D"/>
    <w:rsid w:val="00A91A47"/>
    <w:rsid w:val="00A95D2B"/>
    <w:rsid w:val="00AA5587"/>
    <w:rsid w:val="00AA602D"/>
    <w:rsid w:val="00AB4ECE"/>
    <w:rsid w:val="00AB7CF8"/>
    <w:rsid w:val="00AC1E53"/>
    <w:rsid w:val="00AD79C8"/>
    <w:rsid w:val="00AE6CE0"/>
    <w:rsid w:val="00B058A6"/>
    <w:rsid w:val="00B117D0"/>
    <w:rsid w:val="00B13998"/>
    <w:rsid w:val="00B35C5F"/>
    <w:rsid w:val="00B439DD"/>
    <w:rsid w:val="00B52E0F"/>
    <w:rsid w:val="00B73C2E"/>
    <w:rsid w:val="00B73FC9"/>
    <w:rsid w:val="00B74629"/>
    <w:rsid w:val="00B91F58"/>
    <w:rsid w:val="00BA579E"/>
    <w:rsid w:val="00BE2295"/>
    <w:rsid w:val="00BE6373"/>
    <w:rsid w:val="00BF533A"/>
    <w:rsid w:val="00C41794"/>
    <w:rsid w:val="00C46677"/>
    <w:rsid w:val="00C5180E"/>
    <w:rsid w:val="00C53206"/>
    <w:rsid w:val="00C54E40"/>
    <w:rsid w:val="00C55F56"/>
    <w:rsid w:val="00C57BA4"/>
    <w:rsid w:val="00C613EB"/>
    <w:rsid w:val="00C71C1A"/>
    <w:rsid w:val="00C84623"/>
    <w:rsid w:val="00CA1860"/>
    <w:rsid w:val="00CB06C9"/>
    <w:rsid w:val="00CB1E41"/>
    <w:rsid w:val="00CB271C"/>
    <w:rsid w:val="00CC0F87"/>
    <w:rsid w:val="00CD239E"/>
    <w:rsid w:val="00CE4F96"/>
    <w:rsid w:val="00CF0AB1"/>
    <w:rsid w:val="00CF4B9B"/>
    <w:rsid w:val="00CF55E6"/>
    <w:rsid w:val="00CF772F"/>
    <w:rsid w:val="00D048DB"/>
    <w:rsid w:val="00D14F0B"/>
    <w:rsid w:val="00D178CA"/>
    <w:rsid w:val="00D25076"/>
    <w:rsid w:val="00D3311C"/>
    <w:rsid w:val="00D33367"/>
    <w:rsid w:val="00D456C1"/>
    <w:rsid w:val="00D53405"/>
    <w:rsid w:val="00D5457B"/>
    <w:rsid w:val="00D72995"/>
    <w:rsid w:val="00D73685"/>
    <w:rsid w:val="00DA3891"/>
    <w:rsid w:val="00DA7FA2"/>
    <w:rsid w:val="00DC2D8D"/>
    <w:rsid w:val="00DC7F67"/>
    <w:rsid w:val="00DE1F5D"/>
    <w:rsid w:val="00DE4319"/>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C3480"/>
    <w:rsid w:val="00EE1F87"/>
    <w:rsid w:val="00EE3931"/>
    <w:rsid w:val="00EE5AF6"/>
    <w:rsid w:val="00EF2CEF"/>
    <w:rsid w:val="00F03D0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ydp47823e9dtableparagraph">
    <w:name w:val="ydp47823e9dtableparagraph"/>
    <w:basedOn w:val="Normal"/>
    <w:rsid w:val="005E13F7"/>
    <w:pPr>
      <w:spacing w:before="100" w:beforeAutospacing="1" w:after="100" w:afterAutospacing="1"/>
      <w:ind w:left="0" w:firstLine="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99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hlbi.nih.gov/health-pro/guidelines/sickle-cell-disease-guidelines"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06FF12CCF28C4E02B819E68BA3ADC9FC"/>
        <w:category>
          <w:name w:val="General"/>
          <w:gallery w:val="placeholder"/>
        </w:category>
        <w:types>
          <w:type w:val="bbPlcHdr"/>
        </w:types>
        <w:behaviors>
          <w:behavior w:val="content"/>
        </w:behaviors>
        <w:guid w:val="{875687FC-A828-4B1C-8EE6-E74AD60578B6}"/>
      </w:docPartPr>
      <w:docPartBody>
        <w:p w:rsidR="0032502A" w:rsidRDefault="00CC59FF" w:rsidP="00CC59FF">
          <w:pPr>
            <w:pStyle w:val="06FF12CCF28C4E02B819E68BA3ADC9FC"/>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2502A"/>
    <w:rsid w:val="003A1E4B"/>
    <w:rsid w:val="00455EB5"/>
    <w:rsid w:val="00461C1C"/>
    <w:rsid w:val="004E2027"/>
    <w:rsid w:val="005F21F3"/>
    <w:rsid w:val="008F6A9B"/>
    <w:rsid w:val="009B20BF"/>
    <w:rsid w:val="00A77B15"/>
    <w:rsid w:val="00BA6A93"/>
    <w:rsid w:val="00BE0F2D"/>
    <w:rsid w:val="00C03643"/>
    <w:rsid w:val="00C2797F"/>
    <w:rsid w:val="00C80225"/>
    <w:rsid w:val="00CC59FF"/>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59FF"/>
    <w:rPr>
      <w:color w:val="808080"/>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06FF12CCF28C4E02B819E68BA3ADC9FC">
    <w:name w:val="06FF12CCF28C4E02B819E68BA3ADC9FC"/>
    <w:rsid w:val="00CC59F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CDBE7-7F08-4F52-B308-EE351D98984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836b82f1-340d-495e-85b5-201c5296619a"/>
    <ds:schemaRef ds:uri="http://www.w3.org/XML/1998/namespace"/>
    <ds:schemaRef ds:uri="http://purl.org/dc/dcmitype/"/>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203ACC6D-1B1F-4939-B4BB-73F902BCF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3263</Words>
  <Characters>18605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McCormick, Julie</cp:lastModifiedBy>
  <cp:revision>4</cp:revision>
  <dcterms:created xsi:type="dcterms:W3CDTF">2020-11-18T21:00:00Z</dcterms:created>
  <dcterms:modified xsi:type="dcterms:W3CDTF">2020-11-18T21:08:00Z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