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846B7" w14:textId="77777777" w:rsidR="00996EE4" w:rsidRDefault="00132E82">
      <w:pPr>
        <w:jc w:val="center"/>
        <w:rPr>
          <w:b/>
          <w:noProof/>
          <w:sz w:val="24"/>
          <w:szCs w:val="24"/>
        </w:rPr>
      </w:pPr>
      <w:r>
        <w:rPr>
          <w:b/>
          <w:smallCaps/>
          <w:noProof/>
          <w:sz w:val="24"/>
          <w:szCs w:val="24"/>
        </w:rPr>
        <w:t>National Quality Forum</w:t>
      </w:r>
      <w:r>
        <w:rPr>
          <w:b/>
          <w:noProof/>
          <w:sz w:val="24"/>
          <w:szCs w:val="24"/>
        </w:rPr>
        <w:t xml:space="preserve">—Evidence (subcriterion 1a) </w:t>
      </w:r>
    </w:p>
    <w:p w14:paraId="030DB021" w14:textId="77777777" w:rsidR="00996EE4" w:rsidRDefault="00996EE4">
      <w:pPr>
        <w:rPr>
          <w:noProof/>
        </w:rPr>
      </w:pPr>
    </w:p>
    <w:p w14:paraId="3F2A86B4" w14:textId="0EF04E50" w:rsidR="00996EE4" w:rsidRPr="00085451" w:rsidRDefault="00132E82">
      <w:pPr>
        <w:rPr>
          <w:b/>
          <w:noProof/>
        </w:rPr>
      </w:pPr>
      <w:r w:rsidRPr="00085451">
        <w:rPr>
          <w:rFonts w:cstheme="minorHAnsi"/>
          <w:b/>
          <w:noProof/>
        </w:rPr>
        <w:t xml:space="preserve">Measure Number </w:t>
      </w:r>
      <w:r w:rsidRPr="00085451">
        <w:rPr>
          <w:rFonts w:cstheme="minorHAnsi"/>
          <w:noProof/>
        </w:rPr>
        <w:t>(</w:t>
      </w:r>
      <w:r w:rsidRPr="00085451">
        <w:rPr>
          <w:rFonts w:cstheme="minorHAnsi"/>
          <w:i/>
          <w:noProof/>
        </w:rPr>
        <w:t>if previously endorsed</w:t>
      </w:r>
      <w:r w:rsidRPr="00085451">
        <w:rPr>
          <w:rFonts w:cstheme="minorHAnsi"/>
          <w:noProof/>
        </w:rPr>
        <w:t>)</w:t>
      </w:r>
      <w:r w:rsidRPr="00085451">
        <w:rPr>
          <w:rFonts w:cstheme="minorHAnsi"/>
          <w:b/>
          <w:noProof/>
        </w:rPr>
        <w:t xml:space="preserve">: </w:t>
      </w:r>
      <w:sdt>
        <w:sdtPr>
          <w:rPr>
            <w:rStyle w:val="Style1"/>
            <w:color w:val="auto"/>
          </w:rPr>
          <w:id w:val="1103681744"/>
          <w:placeholder>
            <w:docPart w:val="AB1B0578B87C4E9EA043F449B0E6989F"/>
          </w:placeholder>
        </w:sdtPr>
        <w:sdtEndPr>
          <w:rPr>
            <w:rStyle w:val="DefaultParagraphFont"/>
            <w:rFonts w:cstheme="minorHAnsi"/>
            <w:b/>
            <w:noProof/>
          </w:rPr>
        </w:sdtEndPr>
        <w:sdtContent>
          <w:r w:rsidR="00AC00B3" w:rsidRPr="00085451">
            <w:rPr>
              <w:rStyle w:val="Style1"/>
              <w:color w:val="auto"/>
            </w:rPr>
            <w:t>Not previously endorsed</w:t>
          </w:r>
        </w:sdtContent>
      </w:sdt>
    </w:p>
    <w:p w14:paraId="118677B7" w14:textId="7B7744F2" w:rsidR="00942EA4" w:rsidRPr="00085451" w:rsidRDefault="00942EA4" w:rsidP="00942EA4">
      <w:pPr>
        <w:rPr>
          <w:noProof/>
        </w:rPr>
      </w:pPr>
      <w:r w:rsidRPr="00085451">
        <w:rPr>
          <w:b/>
          <w:noProof/>
        </w:rPr>
        <w:t>Measure Title</w:t>
      </w:r>
      <w:r w:rsidRPr="00085451">
        <w:rPr>
          <w:noProof/>
        </w:rPr>
        <w:t xml:space="preserve">:  </w:t>
      </w:r>
      <w:sdt>
        <w:sdtPr>
          <w:rPr>
            <w:rStyle w:val="Style1"/>
            <w:color w:val="auto"/>
          </w:rPr>
          <w:id w:val="-882640736"/>
          <w:placeholder>
            <w:docPart w:val="290B7F71793147E7A252ACA4048130B3"/>
          </w:placeholder>
        </w:sdtPr>
        <w:sdtEndPr>
          <w:rPr>
            <w:rStyle w:val="DefaultParagraphFont"/>
            <w:noProof/>
          </w:rPr>
        </w:sdtEndPr>
        <w:sdtContent>
          <w:r w:rsidR="00C847CB" w:rsidRPr="00085451">
            <w:rPr>
              <w:rStyle w:val="Style1"/>
              <w:color w:val="auto"/>
            </w:rPr>
            <w:t xml:space="preserve">Clinician Group </w:t>
          </w:r>
          <w:r w:rsidRPr="00085451">
            <w:rPr>
              <w:rStyle w:val="Style1"/>
              <w:color w:val="auto"/>
            </w:rPr>
            <w:t>Risk-Standardized Hospital Admission Rate for Patients with Multiple Chronic Conditions under the Merit-based Incentive Payment System</w:t>
          </w:r>
          <w:r w:rsidR="00601807">
            <w:rPr>
              <w:rStyle w:val="Style1"/>
              <w:color w:val="auto"/>
            </w:rPr>
            <w:t xml:space="preserve"> </w:t>
          </w:r>
        </w:sdtContent>
      </w:sdt>
    </w:p>
    <w:p w14:paraId="59365CD9" w14:textId="384CE19B" w:rsidR="00996EE4" w:rsidRPr="00085451" w:rsidRDefault="00132E82">
      <w:pPr>
        <w:rPr>
          <w:b/>
          <w:noProof/>
        </w:rPr>
      </w:pPr>
      <w:r w:rsidRPr="00085451">
        <w:rPr>
          <w:i/>
          <w:noProof/>
        </w:rPr>
        <w:t xml:space="preserve"> </w:t>
      </w:r>
      <w:r w:rsidRPr="00085451">
        <w:rPr>
          <w:b/>
          <w:noProof/>
        </w:rPr>
        <w:t>IF the measure is a component in a composite performance measure, provide the title of the Composite Measure here:</w:t>
      </w:r>
      <w:r w:rsidRPr="00085451">
        <w:rPr>
          <w:noProof/>
        </w:rPr>
        <w:t xml:space="preserve"> </w:t>
      </w:r>
      <w:sdt>
        <w:sdtPr>
          <w:rPr>
            <w:rStyle w:val="Style1"/>
            <w:color w:val="auto"/>
          </w:rPr>
          <w:id w:val="474719354"/>
          <w:placeholder>
            <w:docPart w:val="8924E7CB4D5C4CC4905BEA5FE80343E5"/>
          </w:placeholder>
        </w:sdtPr>
        <w:sdtEndPr>
          <w:rPr>
            <w:rStyle w:val="DefaultParagraphFont"/>
            <w:noProof/>
          </w:rPr>
        </w:sdtEndPr>
        <w:sdtContent>
          <w:r w:rsidR="00AC00B3" w:rsidRPr="00085451">
            <w:rPr>
              <w:rStyle w:val="Style1"/>
              <w:color w:val="auto"/>
            </w:rPr>
            <w:t>Not a composite measure</w:t>
          </w:r>
        </w:sdtContent>
      </w:sdt>
    </w:p>
    <w:p w14:paraId="1594DF47" w14:textId="419AA2F6" w:rsidR="00996EE4" w:rsidRDefault="00132E82">
      <w:pPr>
        <w:rPr>
          <w:rStyle w:val="Style2"/>
        </w:rPr>
      </w:pPr>
      <w:r>
        <w:rPr>
          <w:b/>
          <w:noProof/>
        </w:rPr>
        <w:t>Date of Submission</w:t>
      </w:r>
      <w:r>
        <w:rPr>
          <w:noProof/>
        </w:rPr>
        <w:t xml:space="preserve">: </w:t>
      </w:r>
      <w:r w:rsidR="00E14989">
        <w:rPr>
          <w:noProof/>
        </w:rPr>
        <w:t>To be updated upon submission to NQF</w:t>
      </w:r>
      <w:r w:rsidR="00461180">
        <w:rPr>
          <w:noProof/>
        </w:rPr>
        <w:t xml:space="preserve"> (anticipated November 2020 per NQF project timeline)</w:t>
      </w:r>
    </w:p>
    <w:p w14:paraId="0B467698" w14:textId="77777777" w:rsidR="00996EE4" w:rsidRDefault="00996EE4">
      <w:pPr>
        <w:rPr>
          <w:rStyle w:val="Style2"/>
        </w:rPr>
      </w:pPr>
    </w:p>
    <w:tbl>
      <w:tblPr>
        <w:tblStyle w:val="TableGrid"/>
        <w:tblW w:w="5500" w:type="pct"/>
        <w:jc w:val="center"/>
        <w:tblLook w:val="04A0" w:firstRow="1" w:lastRow="0" w:firstColumn="1" w:lastColumn="0" w:noHBand="0" w:noVBand="1"/>
      </w:tblPr>
      <w:tblGrid>
        <w:gridCol w:w="10285"/>
      </w:tblGrid>
      <w:tr w:rsidR="00996EE4" w14:paraId="11F747F7" w14:textId="77777777">
        <w:trPr>
          <w:jc w:val="center"/>
        </w:trPr>
        <w:tc>
          <w:tcPr>
            <w:tcW w:w="9576" w:type="dxa"/>
          </w:tcPr>
          <w:p w14:paraId="294069DB" w14:textId="77777777" w:rsidR="00996EE4" w:rsidRDefault="00132E82">
            <w:pPr>
              <w:pStyle w:val="CommentText"/>
              <w:rPr>
                <w:b/>
                <w:i/>
                <w:sz w:val="22"/>
                <w:szCs w:val="22"/>
              </w:rPr>
            </w:pPr>
            <w:r>
              <w:rPr>
                <w:rFonts w:cstheme="minorHAnsi"/>
                <w:b/>
                <w:noProof/>
                <w:sz w:val="22"/>
                <w:szCs w:val="22"/>
              </w:rPr>
              <w:t>Instructions</w:t>
            </w:r>
          </w:p>
          <w:p w14:paraId="2729B8B9" w14:textId="77777777" w:rsidR="00996EE4" w:rsidRDefault="00132E82">
            <w:pPr>
              <w:pStyle w:val="CommentText"/>
              <w:numPr>
                <w:ilvl w:val="0"/>
                <w:numId w:val="5"/>
              </w:numPr>
              <w:rPr>
                <w:i/>
                <w:sz w:val="22"/>
                <w:szCs w:val="22"/>
              </w:rPr>
            </w:pPr>
            <w:r>
              <w:rPr>
                <w:i/>
                <w:sz w:val="22"/>
                <w:szCs w:val="22"/>
              </w:rPr>
              <w:t>Complete 1a.1 and 1a.2 for all measures. If instrument-based measure, complete 1a.3.</w:t>
            </w:r>
          </w:p>
          <w:p w14:paraId="06A05399" w14:textId="77777777" w:rsidR="00996EE4" w:rsidRDefault="00132E82">
            <w:pPr>
              <w:pStyle w:val="CommentText"/>
              <w:numPr>
                <w:ilvl w:val="0"/>
                <w:numId w:val="5"/>
              </w:numPr>
              <w:rPr>
                <w:i/>
                <w:sz w:val="22"/>
                <w:szCs w:val="22"/>
              </w:rPr>
            </w:pPr>
            <w:r>
              <w:rPr>
                <w:i/>
                <w:sz w:val="22"/>
                <w:szCs w:val="22"/>
              </w:rPr>
              <w:t xml:space="preserve">Complete </w:t>
            </w:r>
            <w:r>
              <w:rPr>
                <w:b/>
                <w:i/>
                <w:sz w:val="22"/>
                <w:szCs w:val="22"/>
              </w:rPr>
              <w:t xml:space="preserve">EITHER 1a.2, 1a.3 or 1a.4 </w:t>
            </w:r>
            <w:r>
              <w:rPr>
                <w:i/>
                <w:sz w:val="22"/>
                <w:szCs w:val="22"/>
              </w:rPr>
              <w:t>as applicable for the type of measure and evidence.</w:t>
            </w:r>
          </w:p>
          <w:p w14:paraId="4FB3C582" w14:textId="77777777" w:rsidR="00996EE4" w:rsidRDefault="00132E82">
            <w:pPr>
              <w:pStyle w:val="CommentText"/>
              <w:numPr>
                <w:ilvl w:val="0"/>
                <w:numId w:val="5"/>
              </w:numPr>
              <w:rPr>
                <w:i/>
                <w:sz w:val="22"/>
                <w:szCs w:val="22"/>
              </w:rPr>
            </w:pPr>
            <w:r>
              <w:rPr>
                <w:i/>
                <w:sz w:val="22"/>
                <w:szCs w:val="22"/>
              </w:rPr>
              <w:t xml:space="preserve">For composite performance measures:  </w:t>
            </w:r>
          </w:p>
          <w:p w14:paraId="3EACFD85" w14:textId="77777777" w:rsidR="00996EE4" w:rsidRDefault="00132E82">
            <w:pPr>
              <w:pStyle w:val="CommentText"/>
              <w:numPr>
                <w:ilvl w:val="1"/>
                <w:numId w:val="5"/>
              </w:numPr>
              <w:ind w:left="792"/>
              <w:rPr>
                <w:i/>
                <w:sz w:val="22"/>
                <w:szCs w:val="22"/>
              </w:rPr>
            </w:pPr>
            <w:r>
              <w:rPr>
                <w:i/>
                <w:sz w:val="22"/>
                <w:szCs w:val="22"/>
              </w:rPr>
              <w:t xml:space="preserve"> A separate evidence form is required for each component measure unless several components were studied together.</w:t>
            </w:r>
          </w:p>
          <w:p w14:paraId="0D86A35F" w14:textId="77777777" w:rsidR="00996EE4" w:rsidRDefault="00132E82">
            <w:pPr>
              <w:pStyle w:val="CommentText"/>
              <w:numPr>
                <w:ilvl w:val="1"/>
                <w:numId w:val="5"/>
              </w:numPr>
              <w:ind w:left="792"/>
              <w:rPr>
                <w:i/>
                <w:sz w:val="22"/>
                <w:szCs w:val="22"/>
              </w:rPr>
            </w:pPr>
            <w:r>
              <w:rPr>
                <w:i/>
                <w:sz w:val="22"/>
                <w:szCs w:val="22"/>
              </w:rPr>
              <w:t xml:space="preserve"> If a component measure is submitted as an individual performance measure, attach the evidence form to the individual measure submission.</w:t>
            </w:r>
          </w:p>
          <w:p w14:paraId="01363501" w14:textId="77777777" w:rsidR="00996EE4" w:rsidRDefault="00132E82">
            <w:pPr>
              <w:pStyle w:val="ListParagraph"/>
              <w:numPr>
                <w:ilvl w:val="0"/>
                <w:numId w:val="5"/>
              </w:numPr>
              <w:spacing w:after="0" w:line="240" w:lineRule="auto"/>
            </w:pPr>
            <w:r>
              <w:t xml:space="preserve">All information needed to demonstrate meeting the </w:t>
            </w:r>
            <w:r>
              <w:rPr>
                <w:rFonts w:cstheme="minorHAnsi"/>
              </w:rPr>
              <w:t xml:space="preserve">evidence </w:t>
            </w:r>
            <w:proofErr w:type="spellStart"/>
            <w:r>
              <w:rPr>
                <w:rFonts w:cstheme="minorHAnsi"/>
              </w:rPr>
              <w:t>subcriterion</w:t>
            </w:r>
            <w:proofErr w:type="spellEnd"/>
            <w:r>
              <w:rPr>
                <w:rFonts w:cstheme="minorHAnsi"/>
              </w:rPr>
              <w:t xml:space="preserve"> (1a)</w:t>
            </w:r>
            <w:r>
              <w:t xml:space="preserve"> must be in this form.  An appendix of </w:t>
            </w:r>
            <w:r>
              <w:rPr>
                <w:i/>
              </w:rPr>
              <w:t>supplemental</w:t>
            </w:r>
            <w:r>
              <w:t xml:space="preserve"> materials may be submitted, but there is no guarantee it will be reviewed.</w:t>
            </w:r>
          </w:p>
          <w:p w14:paraId="179C1167" w14:textId="77777777" w:rsidR="00996EE4" w:rsidRDefault="00132E82">
            <w:pPr>
              <w:pStyle w:val="ListParagraph"/>
              <w:numPr>
                <w:ilvl w:val="0"/>
                <w:numId w:val="5"/>
              </w:numPr>
              <w:spacing w:after="0" w:line="240" w:lineRule="auto"/>
            </w:pPr>
            <w:r>
              <w:t>If you are unable to check a box, please highlight or shade the box for your response.</w:t>
            </w:r>
          </w:p>
          <w:p w14:paraId="59544C13" w14:textId="77777777" w:rsidR="00996EE4" w:rsidRDefault="00132E82">
            <w:pPr>
              <w:pStyle w:val="ListParagraph"/>
              <w:numPr>
                <w:ilvl w:val="0"/>
                <w:numId w:val="5"/>
              </w:numPr>
              <w:spacing w:after="0" w:line="240" w:lineRule="auto"/>
              <w:rPr>
                <w:u w:val="single"/>
              </w:rPr>
            </w:pPr>
            <w:r>
              <w:t xml:space="preserve">Contact NQF staff regarding questions. Check for resources at </w:t>
            </w:r>
            <w:hyperlink r:id="rId12" w:history="1">
              <w:r>
                <w:rPr>
                  <w:rStyle w:val="Hyperlink"/>
                </w:rPr>
                <w:t>Submitting Standards webpage</w:t>
              </w:r>
            </w:hyperlink>
            <w:r>
              <w:t>.</w:t>
            </w:r>
          </w:p>
        </w:tc>
      </w:tr>
    </w:tbl>
    <w:p w14:paraId="56907C70" w14:textId="77777777" w:rsidR="00996EE4" w:rsidRDefault="00996EE4"/>
    <w:tbl>
      <w:tblPr>
        <w:tblStyle w:val="TableGrid"/>
        <w:tblW w:w="5500" w:type="pct"/>
        <w:jc w:val="center"/>
        <w:tblLook w:val="04A0" w:firstRow="1" w:lastRow="0" w:firstColumn="1" w:lastColumn="0" w:noHBand="0" w:noVBand="1"/>
      </w:tblPr>
      <w:tblGrid>
        <w:gridCol w:w="10285"/>
      </w:tblGrid>
      <w:tr w:rsidR="00996EE4" w14:paraId="233BB8C3" w14:textId="77777777">
        <w:trPr>
          <w:jc w:val="center"/>
        </w:trPr>
        <w:tc>
          <w:tcPr>
            <w:tcW w:w="10534" w:type="dxa"/>
          </w:tcPr>
          <w:p w14:paraId="0002A6E3" w14:textId="77777777" w:rsidR="00996EE4" w:rsidRDefault="00132E82">
            <w:pPr>
              <w:rPr>
                <w:sz w:val="20"/>
                <w:szCs w:val="20"/>
              </w:rPr>
            </w:pPr>
            <w:r>
              <w:rPr>
                <w:b/>
                <w:bCs/>
                <w:sz w:val="20"/>
                <w:szCs w:val="20"/>
                <w:u w:val="single"/>
              </w:rPr>
              <w:t>Note</w:t>
            </w:r>
            <w:r>
              <w:rPr>
                <w:b/>
                <w:bCs/>
                <w:sz w:val="20"/>
                <w:szCs w:val="20"/>
              </w:rPr>
              <w:t>: The information provided in this form is intended to aid the Standing Committee and other stakeholders in understanding to what degree the evidence for this measure meets NQF’s evaluation criteria.</w:t>
            </w:r>
          </w:p>
          <w:p w14:paraId="00C90FE9" w14:textId="77777777" w:rsidR="00996EE4" w:rsidRDefault="00996EE4">
            <w:pPr>
              <w:ind w:left="90" w:hanging="90"/>
              <w:rPr>
                <w:sz w:val="20"/>
                <w:szCs w:val="20"/>
              </w:rPr>
            </w:pPr>
            <w:bookmarkStart w:id="0" w:name="Note2"/>
            <w:bookmarkEnd w:id="0"/>
          </w:p>
          <w:p w14:paraId="3C740F06" w14:textId="77777777" w:rsidR="00996EE4" w:rsidRDefault="00132E82">
            <w:pPr>
              <w:pStyle w:val="Heading3"/>
              <w:rPr>
                <w:rFonts w:asciiTheme="minorHAnsi" w:hAnsiTheme="minorHAnsi"/>
                <w:sz w:val="20"/>
                <w:szCs w:val="20"/>
              </w:rPr>
            </w:pPr>
            <w:r>
              <w:rPr>
                <w:rFonts w:asciiTheme="minorHAnsi" w:hAnsiTheme="minorHAnsi"/>
                <w:sz w:val="20"/>
                <w:szCs w:val="20"/>
              </w:rPr>
              <w:t xml:space="preserve">1a. Evidence to Support the Measure Focus  </w:t>
            </w:r>
          </w:p>
          <w:p w14:paraId="4B713564" w14:textId="77777777" w:rsidR="00996EE4" w:rsidRDefault="00132E82">
            <w:pPr>
              <w:rPr>
                <w:rFonts w:eastAsia="Calibri" w:cs="Calibri"/>
                <w:sz w:val="20"/>
                <w:szCs w:val="20"/>
              </w:rPr>
            </w:pPr>
            <w:r>
              <w:rPr>
                <w:rFonts w:eastAsia="Calibri" w:cs="Calibri"/>
                <w:sz w:val="20"/>
                <w:szCs w:val="20"/>
              </w:rPr>
              <w:t xml:space="preserve">The measure focus is evidence-based, demonstrated as follows: </w:t>
            </w:r>
          </w:p>
          <w:p w14:paraId="511A0BED" w14:textId="77777777" w:rsidR="00996EE4" w:rsidRDefault="00132E82">
            <w:pPr>
              <w:numPr>
                <w:ilvl w:val="0"/>
                <w:numId w:val="7"/>
              </w:numPr>
              <w:rPr>
                <w:rFonts w:eastAsia="Calibri" w:cs="Calibri"/>
                <w:sz w:val="20"/>
                <w:szCs w:val="20"/>
              </w:rPr>
            </w:pPr>
            <w:r>
              <w:rPr>
                <w:rFonts w:eastAsia="Calibri" w:cs="Calibri"/>
                <w:sz w:val="20"/>
                <w:szCs w:val="20"/>
                <w:u w:val="single"/>
              </w:rPr>
              <w:t>Outcome</w:t>
            </w:r>
            <w:r>
              <w:rPr>
                <w:rFonts w:eastAsia="Calibri" w:cs="Calibri"/>
                <w:color w:val="0000FF"/>
                <w:sz w:val="20"/>
                <w:szCs w:val="20"/>
              </w:rPr>
              <w:t xml:space="preserve">: </w:t>
            </w:r>
            <w:hyperlink w:anchor="Note3" w:history="1">
              <w:r>
                <w:rPr>
                  <w:rStyle w:val="Hyperlink"/>
                  <w:rFonts w:eastAsia="Calibri" w:cs="Calibri"/>
                  <w:b/>
                  <w:sz w:val="20"/>
                  <w:szCs w:val="20"/>
                  <w:vertAlign w:val="superscript"/>
                </w:rPr>
                <w:t>3</w:t>
              </w:r>
            </w:hyperlink>
            <w:r>
              <w:rPr>
                <w:rFonts w:eastAsia="Calibri" w:cs="Calibri"/>
                <w:color w:val="0000FF"/>
                <w:sz w:val="20"/>
                <w:szCs w:val="20"/>
              </w:rPr>
              <w:t xml:space="preserve"> </w:t>
            </w:r>
            <w:r>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6F4871B0" w14:textId="77777777" w:rsidR="00996EE4" w:rsidRDefault="00132E82">
            <w:pPr>
              <w:numPr>
                <w:ilvl w:val="0"/>
                <w:numId w:val="7"/>
              </w:numPr>
              <w:rPr>
                <w:rFonts w:eastAsia="Calibri" w:cs="Calibri"/>
                <w:sz w:val="20"/>
                <w:szCs w:val="20"/>
              </w:rPr>
            </w:pPr>
            <w:r>
              <w:rPr>
                <w:rFonts w:eastAsia="Calibri" w:cs="Calibri"/>
                <w:sz w:val="20"/>
                <w:szCs w:val="20"/>
                <w:u w:val="single"/>
              </w:rPr>
              <w:t>Intermediate clinical outcome</w:t>
            </w:r>
            <w:r>
              <w:rPr>
                <w:rFonts w:eastAsia="Calibri" w:cs="Calibri"/>
                <w:sz w:val="20"/>
                <w:szCs w:val="20"/>
              </w:rPr>
              <w:t xml:space="preserve">: a systematic assessment and grading of the quantity, quality, and consistency of the body of evidence </w:t>
            </w:r>
            <w:hyperlink w:anchor="Note4" w:history="1">
              <w:r>
                <w:rPr>
                  <w:rStyle w:val="Hyperlink"/>
                  <w:rFonts w:eastAsia="Calibri" w:cs="Calibri"/>
                  <w:b/>
                  <w:sz w:val="20"/>
                  <w:szCs w:val="20"/>
                  <w:vertAlign w:val="superscript"/>
                </w:rPr>
                <w:t>4</w:t>
              </w:r>
            </w:hyperlink>
            <w:r>
              <w:rPr>
                <w:rFonts w:eastAsia="Calibri" w:cs="Calibri"/>
                <w:b/>
                <w:sz w:val="20"/>
                <w:szCs w:val="20"/>
                <w:vertAlign w:val="superscript"/>
              </w:rPr>
              <w:t xml:space="preserve"> </w:t>
            </w:r>
            <w:r>
              <w:rPr>
                <w:rFonts w:eastAsia="Calibri" w:cs="Calibri"/>
                <w:bCs/>
                <w:sz w:val="20"/>
                <w:szCs w:val="20"/>
              </w:rPr>
              <w:t>that the measured intermediate clinical outcome leads to a desired health outcome.</w:t>
            </w:r>
          </w:p>
          <w:p w14:paraId="493E7109" w14:textId="77777777" w:rsidR="00996EE4" w:rsidRDefault="00132E82">
            <w:pPr>
              <w:numPr>
                <w:ilvl w:val="0"/>
                <w:numId w:val="7"/>
              </w:numPr>
              <w:rPr>
                <w:rFonts w:eastAsia="Calibri" w:cs="Calibri"/>
                <w:sz w:val="20"/>
                <w:szCs w:val="20"/>
              </w:rPr>
            </w:pPr>
            <w:r>
              <w:rPr>
                <w:rFonts w:eastAsia="Calibri" w:cs="Calibri"/>
                <w:sz w:val="20"/>
                <w:szCs w:val="20"/>
                <w:u w:val="single"/>
              </w:rPr>
              <w:t>Process</w:t>
            </w:r>
            <w:r>
              <w:rPr>
                <w:rFonts w:eastAsia="Calibri" w:cs="Calibri"/>
                <w:sz w:val="20"/>
                <w:szCs w:val="20"/>
              </w:rPr>
              <w:t xml:space="preserve">: </w:t>
            </w:r>
            <w:hyperlink w:anchor="Note5" w:history="1">
              <w:r>
                <w:rPr>
                  <w:rStyle w:val="Hyperlink"/>
                  <w:rFonts w:eastAsia="Calibri" w:cs="Calibri"/>
                  <w:b/>
                  <w:sz w:val="20"/>
                  <w:szCs w:val="20"/>
                  <w:vertAlign w:val="superscript"/>
                </w:rPr>
                <w:t>5</w:t>
              </w:r>
            </w:hyperlink>
            <w:r>
              <w:rPr>
                <w:rFonts w:eastAsia="Calibri" w:cs="Calibri"/>
                <w:sz w:val="20"/>
                <w:szCs w:val="20"/>
              </w:rPr>
              <w:t xml:space="preserve"> a systematic assessment and grading of the quantity, quality, and consistency of the body of evidence </w:t>
            </w:r>
            <w:hyperlink w:anchor="Note4" w:history="1">
              <w:r>
                <w:rPr>
                  <w:rStyle w:val="Hyperlink"/>
                  <w:rFonts w:eastAsia="Calibri" w:cs="Calibri"/>
                  <w:b/>
                  <w:sz w:val="20"/>
                  <w:szCs w:val="20"/>
                  <w:vertAlign w:val="superscript"/>
                </w:rPr>
                <w:t>4</w:t>
              </w:r>
            </w:hyperlink>
            <w:r>
              <w:rPr>
                <w:rFonts w:eastAsia="Calibri" w:cs="Calibri"/>
                <w:bCs/>
                <w:sz w:val="20"/>
                <w:szCs w:val="20"/>
              </w:rPr>
              <w:t xml:space="preserve"> that the measured process leads to a desired health outcome.</w:t>
            </w:r>
          </w:p>
          <w:p w14:paraId="7B834919" w14:textId="77777777" w:rsidR="00996EE4" w:rsidRDefault="00132E82">
            <w:pPr>
              <w:numPr>
                <w:ilvl w:val="0"/>
                <w:numId w:val="8"/>
              </w:numPr>
              <w:autoSpaceDE w:val="0"/>
              <w:autoSpaceDN w:val="0"/>
              <w:adjustRightInd w:val="0"/>
              <w:contextualSpacing/>
              <w:rPr>
                <w:sz w:val="20"/>
                <w:szCs w:val="20"/>
              </w:rPr>
            </w:pPr>
            <w:r>
              <w:rPr>
                <w:rFonts w:eastAsia="Calibri" w:cs="Calibri"/>
                <w:sz w:val="20"/>
                <w:szCs w:val="20"/>
                <w:u w:val="single"/>
              </w:rPr>
              <w:t>Structure</w:t>
            </w:r>
            <w:r>
              <w:rPr>
                <w:rFonts w:eastAsia="Calibri" w:cs="Calibri"/>
                <w:sz w:val="20"/>
                <w:szCs w:val="20"/>
              </w:rPr>
              <w:t xml:space="preserve">: a systematic assessment and grading of the quantity, quality, and consistency of the body of evidence </w:t>
            </w:r>
            <w:hyperlink w:anchor="Note4" w:history="1">
              <w:r>
                <w:rPr>
                  <w:rStyle w:val="Hyperlink"/>
                  <w:rFonts w:eastAsia="Calibri" w:cs="Calibri"/>
                  <w:b/>
                  <w:sz w:val="20"/>
                  <w:szCs w:val="20"/>
                  <w:vertAlign w:val="superscript"/>
                </w:rPr>
                <w:t>4</w:t>
              </w:r>
            </w:hyperlink>
            <w:r>
              <w:rPr>
                <w:rFonts w:eastAsia="Calibri" w:cs="Calibri"/>
                <w:b/>
                <w:sz w:val="20"/>
                <w:szCs w:val="20"/>
                <w:vertAlign w:val="superscript"/>
              </w:rPr>
              <w:t xml:space="preserve"> </w:t>
            </w:r>
            <w:r>
              <w:rPr>
                <w:rFonts w:eastAsia="Calibri" w:cs="Calibri"/>
                <w:bCs/>
                <w:sz w:val="20"/>
                <w:szCs w:val="20"/>
              </w:rPr>
              <w:t xml:space="preserve"> that the measured structure leads to a desired health outcome.</w:t>
            </w:r>
          </w:p>
          <w:p w14:paraId="76983452" w14:textId="77777777" w:rsidR="00996EE4" w:rsidRDefault="00132E82">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Pr>
                <w:rFonts w:eastAsia="Calibri" w:cs="Calibri"/>
                <w:sz w:val="20"/>
                <w:szCs w:val="20"/>
                <w:u w:val="single"/>
              </w:rPr>
              <w:t>Efficiency</w:t>
            </w:r>
            <w:r>
              <w:rPr>
                <w:rFonts w:eastAsia="Calibri" w:cs="Calibri"/>
                <w:sz w:val="20"/>
                <w:szCs w:val="20"/>
              </w:rPr>
              <w:t xml:space="preserve">: </w:t>
            </w:r>
            <w:hyperlink w:anchor="Note6" w:history="1">
              <w:r>
                <w:rPr>
                  <w:rStyle w:val="Hyperlink"/>
                  <w:rFonts w:eastAsia="Calibri" w:cs="Calibri"/>
                  <w:b/>
                  <w:sz w:val="20"/>
                  <w:szCs w:val="20"/>
                  <w:vertAlign w:val="superscript"/>
                </w:rPr>
                <w:t>6</w:t>
              </w:r>
            </w:hyperlink>
            <w:r>
              <w:rPr>
                <w:rFonts w:eastAsia="Calibri" w:cs="Calibri"/>
                <w:sz w:val="20"/>
                <w:szCs w:val="20"/>
              </w:rPr>
              <w:t xml:space="preserve"> evidence not required for the resource use component.</w:t>
            </w:r>
            <w:r>
              <w:rPr>
                <w:rFonts w:ascii="Calibri" w:hAnsi="Calibri" w:cstheme="minorHAnsi"/>
                <w:bCs/>
                <w:iCs/>
                <w:sz w:val="20"/>
                <w:szCs w:val="20"/>
              </w:rPr>
              <w:t xml:space="preserve"> </w:t>
            </w:r>
          </w:p>
          <w:p w14:paraId="481C31E3" w14:textId="77777777" w:rsidR="00996EE4" w:rsidRDefault="00132E82">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Pr>
                <w:rFonts w:ascii="Calibri" w:hAnsi="Calibri" w:cstheme="minorHAnsi"/>
                <w:sz w:val="20"/>
                <w:szCs w:val="20"/>
              </w:rPr>
              <w:t xml:space="preserve">For measures derived from </w:t>
            </w:r>
            <w:r>
              <w:rPr>
                <w:rFonts w:ascii="Calibri" w:hAnsi="Calibri" w:cstheme="minorHAnsi"/>
                <w:sz w:val="20"/>
                <w:szCs w:val="20"/>
                <w:u w:val="single"/>
              </w:rPr>
              <w:t>patient reports</w:t>
            </w:r>
            <w:r>
              <w:rPr>
                <w:rFonts w:ascii="Calibri" w:hAnsi="Calibri" w:cstheme="minorHAnsi"/>
                <w:sz w:val="20"/>
                <w:szCs w:val="20"/>
              </w:rPr>
              <w:t>, evidence should demonstrate that the target population values the measured outcome, process, or structure and finds it meaningful.</w:t>
            </w:r>
          </w:p>
          <w:p w14:paraId="7CB2B44B" w14:textId="77777777" w:rsidR="00996EE4" w:rsidRDefault="00132E82">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measures incorporating Appropriate Use Criteria:</w:t>
            </w:r>
            <w:r>
              <w:rPr>
                <w:sz w:val="20"/>
                <w:szCs w:val="20"/>
              </w:rPr>
              <w:t xml:space="preserve"> See NQF’s guidance for evidence for measures, in general; guidance for measures specifically based on clinical practice guidelines apply as well. </w:t>
            </w:r>
          </w:p>
          <w:p w14:paraId="6EBB917C" w14:textId="77777777" w:rsidR="00996EE4" w:rsidRDefault="00996EE4">
            <w:pPr>
              <w:autoSpaceDE w:val="0"/>
              <w:autoSpaceDN w:val="0"/>
              <w:adjustRightInd w:val="0"/>
              <w:rPr>
                <w:rFonts w:eastAsia="Calibri" w:cs="Calibri"/>
                <w:b/>
                <w:bCs/>
                <w:iCs/>
                <w:sz w:val="18"/>
              </w:rPr>
            </w:pPr>
          </w:p>
          <w:p w14:paraId="2CC94626" w14:textId="77777777" w:rsidR="00996EE4" w:rsidRDefault="00132E82">
            <w:pPr>
              <w:autoSpaceDE w:val="0"/>
              <w:autoSpaceDN w:val="0"/>
              <w:adjustRightInd w:val="0"/>
              <w:rPr>
                <w:rFonts w:eastAsia="Calibri" w:cs="Calibri"/>
                <w:b/>
                <w:bCs/>
                <w:iCs/>
                <w:sz w:val="20"/>
                <w:szCs w:val="20"/>
              </w:rPr>
            </w:pPr>
            <w:r>
              <w:rPr>
                <w:rFonts w:eastAsia="Calibri" w:cs="Calibri"/>
                <w:b/>
                <w:bCs/>
                <w:iCs/>
                <w:sz w:val="20"/>
                <w:szCs w:val="20"/>
              </w:rPr>
              <w:t>Notes</w:t>
            </w:r>
          </w:p>
          <w:p w14:paraId="4094DC46" w14:textId="77777777" w:rsidR="00996EE4" w:rsidRDefault="00132E82">
            <w:pPr>
              <w:rPr>
                <w:rFonts w:eastAsia="Calibri" w:cs="Calibri"/>
                <w:sz w:val="20"/>
                <w:szCs w:val="20"/>
              </w:rPr>
            </w:pPr>
            <w:bookmarkStart w:id="1" w:name="Note3"/>
            <w:bookmarkEnd w:id="1"/>
            <w:r>
              <w:rPr>
                <w:rFonts w:eastAsia="Calibri" w:cs="Calibri"/>
                <w:b/>
                <w:sz w:val="20"/>
                <w:szCs w:val="20"/>
              </w:rPr>
              <w:lastRenderedPageBreak/>
              <w:t>3.</w:t>
            </w:r>
            <w:r>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29D33350" w14:textId="77777777" w:rsidR="00996EE4" w:rsidRDefault="00132E82">
            <w:pPr>
              <w:rPr>
                <w:rFonts w:eastAsia="Calibri" w:cs="Calibri"/>
                <w:sz w:val="20"/>
                <w:szCs w:val="20"/>
              </w:rPr>
            </w:pPr>
            <w:bookmarkStart w:id="2" w:name="Note4"/>
            <w:bookmarkEnd w:id="2"/>
            <w:r>
              <w:rPr>
                <w:rFonts w:eastAsia="Calibri" w:cs="Calibri"/>
                <w:b/>
                <w:sz w:val="20"/>
                <w:szCs w:val="20"/>
              </w:rPr>
              <w:t>4.</w:t>
            </w:r>
            <w:r>
              <w:rPr>
                <w:rFonts w:eastAsia="Calibri" w:cs="Calibri"/>
                <w:sz w:val="20"/>
                <w:szCs w:val="20"/>
              </w:rPr>
              <w:t xml:space="preserve"> The preferred systems for grading the evidence are the Grading of Recommendations, Assessment, Development and Evaluation </w:t>
            </w:r>
            <w:hyperlink r:id="rId13" w:history="1">
              <w:r>
                <w:rPr>
                  <w:rFonts w:eastAsia="Calibri" w:cs="Calibri"/>
                  <w:color w:val="0000FF"/>
                  <w:sz w:val="20"/>
                  <w:szCs w:val="20"/>
                  <w:u w:val="single"/>
                </w:rPr>
                <w:t>(GRADE) guidelines</w:t>
              </w:r>
            </w:hyperlink>
            <w:r>
              <w:rPr>
                <w:rFonts w:eastAsia="Calibri" w:cs="Calibri"/>
                <w:sz w:val="20"/>
                <w:szCs w:val="20"/>
              </w:rPr>
              <w:t xml:space="preserve"> and/or modified GRADE.</w:t>
            </w:r>
          </w:p>
          <w:p w14:paraId="26643B49" w14:textId="77777777" w:rsidR="00996EE4" w:rsidRDefault="00132E82">
            <w:pPr>
              <w:rPr>
                <w:rFonts w:eastAsia="Calibri" w:cs="Calibri"/>
                <w:sz w:val="20"/>
                <w:szCs w:val="20"/>
              </w:rPr>
            </w:pPr>
            <w:bookmarkStart w:id="3" w:name="Note5"/>
            <w:bookmarkEnd w:id="3"/>
            <w:r>
              <w:rPr>
                <w:rFonts w:eastAsia="Calibri" w:cs="Calibri"/>
                <w:b/>
                <w:sz w:val="20"/>
                <w:szCs w:val="20"/>
              </w:rPr>
              <w:t>5.</w:t>
            </w:r>
            <w:r>
              <w:rPr>
                <w:rFonts w:eastAsia="Calibri" w:cs="Calibri"/>
                <w:sz w:val="20"/>
                <w:szCs w:val="20"/>
              </w:rPr>
              <w:t xml:space="preserve"> Clinical care processes typically include multiple steps: assess </w:t>
            </w:r>
            <w:r>
              <w:rPr>
                <w:rFonts w:eastAsia="Calibri" w:cs="Calibri"/>
                <w:sz w:val="20"/>
                <w:szCs w:val="20"/>
              </w:rPr>
              <w:sym w:font="Symbol" w:char="F0AE"/>
            </w:r>
            <w:r>
              <w:rPr>
                <w:rFonts w:eastAsia="Calibri" w:cs="Calibri"/>
                <w:sz w:val="20"/>
                <w:szCs w:val="20"/>
              </w:rPr>
              <w:t xml:space="preserve"> identify problem/potential problem </w:t>
            </w:r>
            <w:r>
              <w:rPr>
                <w:rFonts w:eastAsia="Calibri" w:cs="Calibri"/>
                <w:sz w:val="20"/>
                <w:szCs w:val="20"/>
              </w:rPr>
              <w:sym w:font="Symbol" w:char="F0AE"/>
            </w:r>
            <w:r>
              <w:rPr>
                <w:rFonts w:eastAsia="Calibri" w:cs="Calibri"/>
                <w:sz w:val="20"/>
                <w:szCs w:val="20"/>
              </w:rPr>
              <w:t xml:space="preserve"> choose/plan intervention (with patient input) </w:t>
            </w:r>
            <w:r>
              <w:rPr>
                <w:rFonts w:eastAsia="Calibri" w:cs="Calibri"/>
                <w:sz w:val="20"/>
                <w:szCs w:val="20"/>
              </w:rPr>
              <w:sym w:font="Symbol" w:char="F0AE"/>
            </w:r>
            <w:r>
              <w:rPr>
                <w:rFonts w:eastAsia="Calibri" w:cs="Calibri"/>
                <w:sz w:val="20"/>
                <w:szCs w:val="20"/>
              </w:rPr>
              <w:t xml:space="preserve"> provide intervention </w:t>
            </w:r>
            <w:r>
              <w:rPr>
                <w:rFonts w:eastAsia="Calibri" w:cs="Calibri"/>
                <w:sz w:val="20"/>
                <w:szCs w:val="20"/>
              </w:rPr>
              <w:sym w:font="Symbol" w:char="F0AE"/>
            </w:r>
            <w:r>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6E433456" w14:textId="77777777" w:rsidR="00996EE4" w:rsidRDefault="00132E82">
            <w:pPr>
              <w:autoSpaceDE w:val="0"/>
              <w:autoSpaceDN w:val="0"/>
              <w:adjustRightInd w:val="0"/>
              <w:contextualSpacing/>
            </w:pPr>
            <w:bookmarkStart w:id="4" w:name="Note6"/>
            <w:bookmarkEnd w:id="4"/>
            <w:r>
              <w:rPr>
                <w:rFonts w:eastAsia="Calibri" w:cs="Calibri"/>
                <w:b/>
                <w:sz w:val="20"/>
                <w:szCs w:val="20"/>
              </w:rPr>
              <w:t xml:space="preserve">6. </w:t>
            </w:r>
            <w:r>
              <w:rPr>
                <w:rFonts w:eastAsia="Calibri" w:cs="Calibri"/>
                <w:sz w:val="20"/>
                <w:szCs w:val="20"/>
              </w:rPr>
              <w:t xml:space="preserve">Measures of efficiency combine the concepts of resource use </w:t>
            </w:r>
            <w:r>
              <w:rPr>
                <w:rFonts w:eastAsia="Calibri" w:cs="Calibri"/>
                <w:sz w:val="20"/>
                <w:szCs w:val="20"/>
                <w:u w:val="single"/>
              </w:rPr>
              <w:t>and</w:t>
            </w:r>
            <w:r>
              <w:rPr>
                <w:rFonts w:eastAsia="Calibri" w:cs="Calibri"/>
                <w:sz w:val="20"/>
                <w:szCs w:val="20"/>
              </w:rPr>
              <w:t xml:space="preserve"> quality (see NQF’s </w:t>
            </w:r>
            <w:hyperlink r:id="rId14" w:history="1">
              <w:r>
                <w:rPr>
                  <w:rFonts w:eastAsia="Calibri" w:cs="Calibri"/>
                  <w:color w:val="0000FF"/>
                  <w:sz w:val="20"/>
                  <w:szCs w:val="20"/>
                  <w:u w:val="single"/>
                </w:rPr>
                <w:t>Measurement Framework: Evaluating Efficiency Across Episodes of Care</w:t>
              </w:r>
            </w:hyperlink>
            <w:r>
              <w:rPr>
                <w:rFonts w:eastAsia="Calibri" w:cs="Calibri"/>
                <w:sz w:val="20"/>
                <w:szCs w:val="20"/>
              </w:rPr>
              <w:t xml:space="preserve">; </w:t>
            </w:r>
            <w:hyperlink r:id="rId15" w:history="1">
              <w:r>
                <w:rPr>
                  <w:rFonts w:eastAsia="Calibri" w:cs="Calibri"/>
                  <w:color w:val="0000FF"/>
                  <w:sz w:val="20"/>
                  <w:szCs w:val="20"/>
                  <w:u w:val="single"/>
                </w:rPr>
                <w:t>AQA Principles of Efficiency Measures</w:t>
              </w:r>
            </w:hyperlink>
            <w:r>
              <w:rPr>
                <w:rFonts w:eastAsia="Calibri" w:cs="Calibri"/>
                <w:sz w:val="20"/>
                <w:szCs w:val="20"/>
              </w:rPr>
              <w:t>).</w:t>
            </w:r>
          </w:p>
        </w:tc>
      </w:tr>
    </w:tbl>
    <w:p w14:paraId="452BCB82" w14:textId="77777777" w:rsidR="00996EE4" w:rsidRDefault="00996EE4">
      <w:pPr>
        <w:rPr>
          <w:b/>
          <w:bCs/>
          <w:color w:val="0000FF"/>
        </w:rPr>
      </w:pPr>
    </w:p>
    <w:p w14:paraId="3C2B1CAF" w14:textId="77777777" w:rsidR="00996EE4" w:rsidRDefault="00132E82">
      <w:pPr>
        <w:rPr>
          <w:bCs/>
          <w:i/>
        </w:rPr>
      </w:pPr>
      <w:r>
        <w:rPr>
          <w:b/>
          <w:bCs/>
          <w:color w:val="0000FF"/>
        </w:rPr>
        <w:t>1a.1.</w:t>
      </w:r>
      <w:r>
        <w:rPr>
          <w:b/>
          <w:bCs/>
        </w:rPr>
        <w:t>This is a measure of</w:t>
      </w:r>
      <w:r>
        <w:rPr>
          <w:bCs/>
        </w:rPr>
        <w:t>: (</w:t>
      </w:r>
      <w:r>
        <w:rPr>
          <w:bCs/>
          <w:i/>
        </w:rPr>
        <w:t>should be consistent with type of measure entered in De.1</w:t>
      </w:r>
      <w:r>
        <w:rPr>
          <w:bCs/>
        </w:rPr>
        <w:t xml:space="preserve">) </w:t>
      </w:r>
    </w:p>
    <w:p w14:paraId="5CF832F9" w14:textId="77777777" w:rsidR="00996EE4" w:rsidRDefault="00132E82">
      <w:pPr>
        <w:ind w:left="432" w:hanging="432"/>
        <w:rPr>
          <w:rFonts w:cs="Calibri"/>
          <w:bCs/>
        </w:rPr>
      </w:pPr>
      <w:r>
        <w:rPr>
          <w:rFonts w:cs="Calibri"/>
          <w:bCs/>
        </w:rPr>
        <w:t>Outcome</w:t>
      </w:r>
    </w:p>
    <w:p w14:paraId="38C86CA6" w14:textId="42590C17" w:rsidR="00996EE4" w:rsidRDefault="00904A47">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132E82">
            <w:rPr>
              <w:rFonts w:ascii="MS Gothic" w:eastAsia="MS Gothic" w:hAnsi="MS Gothic" w:hint="eastAsia"/>
              <w:bCs/>
              <w:color w:val="0000FF"/>
              <w:u w:val="single"/>
            </w:rPr>
            <w:t>☒</w:t>
          </w:r>
        </w:sdtContent>
      </w:sdt>
      <w:r w:rsidR="00132E82">
        <w:rPr>
          <w:bCs/>
          <w:color w:val="0000FF"/>
        </w:rPr>
        <w:t xml:space="preserve"> O</w:t>
      </w:r>
      <w:r w:rsidR="00132E82">
        <w:rPr>
          <w:bCs/>
        </w:rPr>
        <w:t xml:space="preserve">utcome: </w:t>
      </w:r>
    </w:p>
    <w:p w14:paraId="7BFCEF3F" w14:textId="77777777" w:rsidR="00996EE4" w:rsidRDefault="00904A47">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132E82">
            <w:rPr>
              <w:rFonts w:ascii="MS Gothic" w:eastAsia="MS Gothic" w:hAnsi="MS Gothic" w:hint="eastAsia"/>
              <w:bCs/>
              <w:color w:val="0000FF"/>
            </w:rPr>
            <w:t>☐</w:t>
          </w:r>
        </w:sdtContent>
      </w:sdt>
      <w:r w:rsidR="00132E82">
        <w:rPr>
          <w:bCs/>
        </w:rPr>
        <w:t xml:space="preserve">Patient-reported outcome (PRO): </w:t>
      </w:r>
      <w:sdt>
        <w:sdtPr>
          <w:rPr>
            <w:rStyle w:val="Style2"/>
            <w:rFonts w:cstheme="minorHAnsi"/>
          </w:rPr>
          <w:id w:val="528310131"/>
          <w:showingPlcHdr/>
        </w:sdtPr>
        <w:sdtEndPr>
          <w:rPr>
            <w:rStyle w:val="DefaultParagraphFont"/>
            <w:rFonts w:cstheme="minorBidi"/>
            <w:color w:val="auto"/>
            <w:u w:val="none"/>
          </w:rPr>
        </w:sdtEndPr>
        <w:sdtContent>
          <w:r w:rsidR="00132E82">
            <w:rPr>
              <w:color w:val="A6A6A6" w:themeColor="background1" w:themeShade="A6"/>
            </w:rPr>
            <w:t>Click here to n</w:t>
          </w:r>
          <w:r w:rsidR="00132E82">
            <w:rPr>
              <w:rStyle w:val="PlaceholderText"/>
              <w:rFonts w:cstheme="minorHAnsi"/>
              <w:color w:val="A6A6A6" w:themeColor="background1" w:themeShade="A6"/>
            </w:rPr>
            <w:t>ame the PRO</w:t>
          </w:r>
        </w:sdtContent>
      </w:sdt>
    </w:p>
    <w:p w14:paraId="31734703" w14:textId="77777777" w:rsidR="00996EE4" w:rsidRDefault="00132E82">
      <w:pPr>
        <w:ind w:left="720"/>
        <w:rPr>
          <w:rFonts w:eastAsia="MS Gothic" w:cs="MS Gothic"/>
          <w:bCs/>
          <w:i/>
          <w:color w:val="0000FF"/>
        </w:rPr>
      </w:pPr>
      <w:r>
        <w:rPr>
          <w:bCs/>
          <w:i/>
        </w:rPr>
        <w:t xml:space="preserve">PROs include </w:t>
      </w:r>
      <w:proofErr w:type="spellStart"/>
      <w:r>
        <w:rPr>
          <w:bCs/>
          <w:i/>
        </w:rPr>
        <w:t>HRQoL</w:t>
      </w:r>
      <w:proofErr w:type="spellEnd"/>
      <w:r>
        <w:rPr>
          <w:bCs/>
          <w:i/>
        </w:rPr>
        <w:t>/functional status, symptom/symptom burden, experience with care, health-related behaviors.</w:t>
      </w:r>
      <w:r>
        <w:rPr>
          <w:rFonts w:eastAsia="Calibri" w:cs="Calibri"/>
          <w:sz w:val="20"/>
          <w:szCs w:val="20"/>
        </w:rPr>
        <w:t xml:space="preserve"> </w:t>
      </w:r>
      <w:r>
        <w:rPr>
          <w:rFonts w:eastAsia="Calibri" w:cs="Calibri"/>
        </w:rPr>
        <w:t>(</w:t>
      </w:r>
      <w:r>
        <w:rPr>
          <w:rFonts w:eastAsia="Calibri" w:cs="Calibri"/>
          <w:i/>
        </w:rPr>
        <w:t>A PRO-based performance measure is not a survey instrument. Data may be collected using a survey instrument to construct a PRO measure.)</w:t>
      </w:r>
    </w:p>
    <w:p w14:paraId="2E781323" w14:textId="77777777" w:rsidR="00996EE4" w:rsidRDefault="00904A47">
      <w:pPr>
        <w:rPr>
          <w:bCs/>
        </w:rPr>
      </w:pPr>
      <w:sdt>
        <w:sdtPr>
          <w:rPr>
            <w:bCs/>
            <w:color w:val="0000FF"/>
          </w:rPr>
          <w:id w:val="-720977531"/>
          <w14:checkbox>
            <w14:checked w14:val="0"/>
            <w14:checkedState w14:val="2612" w14:font="MS Gothic"/>
            <w14:uncheckedState w14:val="2610" w14:font="MS Gothic"/>
          </w14:checkbox>
        </w:sdtPr>
        <w:sdtEndPr/>
        <w:sdtContent>
          <w:r w:rsidR="00132E82">
            <w:rPr>
              <w:rFonts w:ascii="Segoe UI Symbol" w:hAnsi="Segoe UI Symbol" w:cs="Segoe UI Symbol"/>
              <w:bCs/>
              <w:color w:val="0000FF"/>
            </w:rPr>
            <w:t>☐</w:t>
          </w:r>
        </w:sdtContent>
      </w:sdt>
      <w:r w:rsidR="00132E82">
        <w:rPr>
          <w:bCs/>
          <w:color w:val="0000FF"/>
        </w:rPr>
        <w:t xml:space="preserve"> </w:t>
      </w:r>
      <w:r w:rsidR="00132E82">
        <w:rPr>
          <w:bCs/>
        </w:rPr>
        <w:t>Intermediate clinical outcome (</w:t>
      </w:r>
      <w:r w:rsidR="00132E82">
        <w:rPr>
          <w:bCs/>
          <w:i/>
        </w:rPr>
        <w:t>e.g., lab value</w:t>
      </w:r>
      <w:r w:rsidR="00132E82">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the intermediate outcome</w:t>
          </w:r>
        </w:sdtContent>
      </w:sdt>
    </w:p>
    <w:p w14:paraId="4F82DF69" w14:textId="77777777" w:rsidR="00996EE4" w:rsidRDefault="00904A47">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32E82">
            <w:rPr>
              <w:rFonts w:ascii="MS Gothic" w:eastAsia="MS Gothic" w:hAnsi="MS Gothic" w:hint="eastAsia"/>
              <w:bCs/>
              <w:color w:val="0000FF"/>
            </w:rPr>
            <w:t>☐</w:t>
          </w:r>
        </w:sdtContent>
      </w:sdt>
      <w:r w:rsidR="00132E82">
        <w:rPr>
          <w:bCs/>
        </w:rPr>
        <w:t xml:space="preserve"> Process:  </w:t>
      </w:r>
      <w:sdt>
        <w:sdtPr>
          <w:rPr>
            <w:rStyle w:val="Style2"/>
            <w:rFonts w:cstheme="minorHAnsi"/>
          </w:rPr>
          <w:id w:val="-247648753"/>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what is being measured</w:t>
          </w:r>
        </w:sdtContent>
      </w:sdt>
    </w:p>
    <w:p w14:paraId="6AC193BC" w14:textId="77777777" w:rsidR="00996EE4" w:rsidRDefault="00132E82">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Pr>
              <w:rFonts w:ascii="MS Gothic" w:eastAsia="MS Gothic" w:hAnsi="MS Gothic" w:hint="eastAsia"/>
              <w:bCs/>
              <w:color w:val="0000FF"/>
            </w:rPr>
            <w:t>☐</w:t>
          </w:r>
        </w:sdtContent>
      </w:sdt>
      <w:r>
        <w:rPr>
          <w:rFonts w:ascii="MS Gothic" w:eastAsia="MS Gothic" w:hAnsi="MS Gothic"/>
          <w:bCs/>
          <w:color w:val="0000FF"/>
        </w:rPr>
        <w:t xml:space="preserve"> </w:t>
      </w:r>
      <w:r>
        <w:rPr>
          <w:rFonts w:eastAsia="MS Gothic"/>
          <w:bCs/>
        </w:rPr>
        <w:t>Appropriate use measure:</w:t>
      </w:r>
      <w:r>
        <w:rPr>
          <w:bCs/>
        </w:rPr>
        <w:t xml:space="preserve"> </w:t>
      </w:r>
      <w:r>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1F4D9646" w14:textId="77777777" w:rsidR="00996EE4" w:rsidRDefault="00904A47">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32E82">
            <w:rPr>
              <w:rFonts w:ascii="MS Gothic" w:eastAsia="MS Gothic" w:hAnsi="MS Gothic" w:hint="eastAsia"/>
              <w:bCs/>
              <w:color w:val="0000FF"/>
            </w:rPr>
            <w:t>☐</w:t>
          </w:r>
        </w:sdtContent>
      </w:sdt>
      <w:r w:rsidR="00132E82">
        <w:rPr>
          <w:bCs/>
        </w:rPr>
        <w:t xml:space="preserve"> Structure:  </w:t>
      </w:r>
      <w:sdt>
        <w:sdtPr>
          <w:rPr>
            <w:rStyle w:val="Style2"/>
            <w:rFonts w:cstheme="minorHAnsi"/>
          </w:rPr>
          <w:id w:val="399486169"/>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the structure</w:t>
          </w:r>
        </w:sdtContent>
      </w:sdt>
    </w:p>
    <w:p w14:paraId="7E8AC262" w14:textId="77777777" w:rsidR="00996EE4" w:rsidRDefault="00904A47">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32E82">
            <w:rPr>
              <w:rFonts w:ascii="MS Gothic" w:eastAsia="MS Gothic" w:hAnsi="MS Gothic" w:cs="MS Gothic" w:hint="eastAsia"/>
              <w:bCs/>
              <w:color w:val="0000FF"/>
            </w:rPr>
            <w:t>☐</w:t>
          </w:r>
        </w:sdtContent>
      </w:sdt>
      <w:r w:rsidR="00132E82">
        <w:rPr>
          <w:bCs/>
        </w:rPr>
        <w:t xml:space="preserve"> Composite:  </w:t>
      </w:r>
      <w:sdt>
        <w:sdtPr>
          <w:rPr>
            <w:rStyle w:val="Style2"/>
            <w:rFonts w:cstheme="minorHAnsi"/>
          </w:rPr>
          <w:id w:val="949512032"/>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what is being measured</w:t>
          </w:r>
        </w:sdtContent>
      </w:sdt>
    </w:p>
    <w:p w14:paraId="2C502A54" w14:textId="77777777" w:rsidR="00996EE4" w:rsidRDefault="00996EE4">
      <w:pPr>
        <w:rPr>
          <w:bCs/>
        </w:rPr>
      </w:pPr>
    </w:p>
    <w:p w14:paraId="1A74B4C1" w14:textId="39FDD4A5" w:rsidR="00996EE4" w:rsidRDefault="00132E82">
      <w:pPr>
        <w:ind w:left="432" w:hanging="432"/>
        <w:rPr>
          <w:iCs/>
        </w:rPr>
      </w:pPr>
      <w:r>
        <w:rPr>
          <w:b/>
          <w:bCs/>
          <w:color w:val="0000FF"/>
        </w:rPr>
        <w:t>1a</w:t>
      </w:r>
      <w:r w:rsidRPr="0039621A">
        <w:rPr>
          <w:b/>
          <w:bCs/>
          <w:color w:val="0000FF"/>
        </w:rPr>
        <w:t>.2</w:t>
      </w:r>
      <w:r w:rsidRPr="0039621A">
        <w:rPr>
          <w:bCs/>
        </w:rPr>
        <w:t xml:space="preserve"> </w:t>
      </w:r>
      <w:r w:rsidRPr="0039621A">
        <w:rPr>
          <w:b/>
          <w:bCs/>
          <w:highlight w:val="cyan"/>
        </w:rPr>
        <w:t>LOGIC MODEL</w:t>
      </w:r>
      <w:r w:rsidRPr="0039621A">
        <w:rPr>
          <w:bCs/>
          <w:highlight w:val="cyan"/>
        </w:rPr>
        <w:t xml:space="preserve"> </w:t>
      </w:r>
      <w:r w:rsidRPr="0039621A">
        <w:rPr>
          <w:iCs/>
          <w:highlight w:val="cyan"/>
        </w:rPr>
        <w:t>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14:paraId="7825CEE0" w14:textId="77777777" w:rsidR="00120280" w:rsidRDefault="00942EA4" w:rsidP="00942EA4">
      <w:pPr>
        <w:pBdr>
          <w:top w:val="single" w:sz="4" w:space="1" w:color="auto"/>
          <w:left w:val="single" w:sz="4" w:space="4" w:color="auto"/>
          <w:bottom w:val="single" w:sz="4" w:space="1" w:color="auto"/>
          <w:right w:val="single" w:sz="4" w:space="4" w:color="auto"/>
        </w:pBdr>
        <w:spacing w:before="240" w:after="240"/>
        <w:rPr>
          <w:rFonts w:ascii="Calibri" w:eastAsia="Calibri" w:hAnsi="Calibri" w:cs="Times New Roman"/>
        </w:rPr>
      </w:pPr>
      <w:r w:rsidRPr="004B0060">
        <w:rPr>
          <w:rFonts w:ascii="Calibri" w:eastAsia="Calibri" w:hAnsi="Calibri" w:cs="Times New Roman"/>
        </w:rPr>
        <w:t>Hospital admission rates are an effective marker of ambulatory care quality. Hospital admissions from the outpatient setting reflect a deterioration in patients’ clinical status and as such reflect an outcome that is meaningful to both patients and providers. Patients receiving optimal, coordinated high-quality care should use fewer inpatient services than patients receiving fragmented, low-quality care. Thus, high population rates of hospitalization may signal poor quality of care or inefficiency in health system performance.</w:t>
      </w:r>
      <w:r w:rsidR="003131E4">
        <w:rPr>
          <w:rFonts w:ascii="Calibri" w:eastAsia="Calibri" w:hAnsi="Calibri" w:cs="Times New Roman"/>
        </w:rPr>
        <w:t xml:space="preserve"> Furthermore, these effects may be exacerbated in disadvantaged areas. [1]</w:t>
      </w:r>
      <w:r w:rsidR="00120280">
        <w:rPr>
          <w:rFonts w:ascii="Calibri" w:eastAsia="Calibri" w:hAnsi="Calibri" w:cs="Times New Roman"/>
        </w:rPr>
        <w:t xml:space="preserve"> </w:t>
      </w:r>
    </w:p>
    <w:p w14:paraId="619D725B" w14:textId="1C3A6E4D" w:rsidR="00942EA4" w:rsidRPr="004B0060" w:rsidRDefault="00634AB5" w:rsidP="00942EA4">
      <w:pPr>
        <w:pBdr>
          <w:top w:val="single" w:sz="4" w:space="1" w:color="auto"/>
          <w:left w:val="single" w:sz="4" w:space="4" w:color="auto"/>
          <w:bottom w:val="single" w:sz="4" w:space="1" w:color="auto"/>
          <w:right w:val="single" w:sz="4" w:space="4" w:color="auto"/>
        </w:pBdr>
        <w:spacing w:before="240" w:after="240"/>
        <w:rPr>
          <w:rFonts w:ascii="Calibri" w:eastAsia="Calibri" w:hAnsi="Calibri" w:cs="Times New Roman"/>
        </w:rPr>
      </w:pPr>
      <w:r>
        <w:rPr>
          <w:rFonts w:eastAsia="Calibri" w:cs="Times New Roman"/>
        </w:rPr>
        <w:t>Patients with MCC</w:t>
      </w:r>
      <w:r w:rsidR="00A638AC">
        <w:rPr>
          <w:rFonts w:eastAsia="Calibri" w:cs="Times New Roman"/>
        </w:rPr>
        <w:t>s</w:t>
      </w:r>
      <w:r w:rsidR="00120280" w:rsidRPr="004B0060">
        <w:rPr>
          <w:rFonts w:eastAsia="Calibri" w:cs="Times New Roman"/>
        </w:rPr>
        <w:t xml:space="preserve"> are at high risk for hospital admission, often for potentially preventable causes, such as exacerbation of pulmonary disease. [</w:t>
      </w:r>
      <w:r w:rsidR="00120280">
        <w:rPr>
          <w:rFonts w:eastAsia="Calibri" w:cs="Times New Roman"/>
        </w:rPr>
        <w:t>2</w:t>
      </w:r>
      <w:r w:rsidR="00120280" w:rsidRPr="004B0060">
        <w:rPr>
          <w:rFonts w:eastAsia="Calibri" w:cs="Times New Roman"/>
        </w:rPr>
        <w:t>] Evidence from several Medicare demonstration projects suggests that care coordination results in decreased hospital admission rates among high-risk patients. [</w:t>
      </w:r>
      <w:r w:rsidR="00120280">
        <w:rPr>
          <w:rFonts w:eastAsia="Calibri" w:cs="Times New Roman"/>
        </w:rPr>
        <w:t>3</w:t>
      </w:r>
      <w:r w:rsidR="00120280" w:rsidRPr="004B0060">
        <w:rPr>
          <w:rFonts w:eastAsia="Calibri" w:cs="Times New Roman"/>
        </w:rPr>
        <w:t xml:space="preserve">] In addition, studies have shown that the types of ambulatory care clinicians this measure targets (for example, primary care providers and specialists caring for patients </w:t>
      </w:r>
      <w:r>
        <w:rPr>
          <w:rFonts w:eastAsia="Calibri" w:cs="Times New Roman"/>
        </w:rPr>
        <w:t>with MCC</w:t>
      </w:r>
      <w:r w:rsidR="00A638AC">
        <w:rPr>
          <w:rFonts w:eastAsia="Calibri" w:cs="Times New Roman"/>
        </w:rPr>
        <w:t>s</w:t>
      </w:r>
      <w:r w:rsidR="00120280" w:rsidRPr="004B0060">
        <w:rPr>
          <w:rFonts w:eastAsia="Calibri" w:cs="Times New Roman"/>
        </w:rPr>
        <w:t>) can influence admission rates through primary care clinician supply, continuity of care,</w:t>
      </w:r>
      <w:r w:rsidR="00120280">
        <w:rPr>
          <w:rFonts w:eastAsia="Calibri" w:cs="Times New Roman"/>
        </w:rPr>
        <w:t xml:space="preserve"> medication prescribing and dispensing interventions, as well as</w:t>
      </w:r>
      <w:r w:rsidR="00120280" w:rsidRPr="004B0060">
        <w:rPr>
          <w:rFonts w:eastAsia="Calibri" w:cs="Times New Roman"/>
        </w:rPr>
        <w:t xml:space="preserve"> patient-centered medical home interventions such as team-based</w:t>
      </w:r>
      <w:r w:rsidR="00120280">
        <w:rPr>
          <w:rFonts w:eastAsia="Calibri" w:cs="Times New Roman"/>
        </w:rPr>
        <w:t xml:space="preserve"> care, home visits,</w:t>
      </w:r>
      <w:r w:rsidR="00120280" w:rsidRPr="004B0060">
        <w:rPr>
          <w:rFonts w:eastAsia="Calibri" w:cs="Times New Roman"/>
        </w:rPr>
        <w:t xml:space="preserve"> and patient-oriented care. [</w:t>
      </w:r>
      <w:r w:rsidR="00120280">
        <w:rPr>
          <w:rFonts w:eastAsia="Calibri" w:cs="Times New Roman"/>
        </w:rPr>
        <w:t>4</w:t>
      </w:r>
      <w:r w:rsidR="00120280" w:rsidRPr="004B0060">
        <w:rPr>
          <w:rFonts w:eastAsia="Calibri" w:cs="Times New Roman"/>
        </w:rPr>
        <w:t>-</w:t>
      </w:r>
      <w:r w:rsidR="00120280">
        <w:rPr>
          <w:rFonts w:eastAsia="Calibri" w:cs="Times New Roman"/>
        </w:rPr>
        <w:t xml:space="preserve">11] Other studies </w:t>
      </w:r>
      <w:r w:rsidR="00120280" w:rsidRPr="00063E97">
        <w:rPr>
          <w:rFonts w:eastAsia="Calibri" w:cs="Times New Roman"/>
        </w:rPr>
        <w:t>speak directly to the positive effect that individual providers and group practices can have on lowering patients’ hospital visit rates</w:t>
      </w:r>
      <w:r w:rsidR="00120280">
        <w:rPr>
          <w:rFonts w:eastAsia="Calibri" w:cs="Times New Roman"/>
        </w:rPr>
        <w:t xml:space="preserve">. </w:t>
      </w:r>
      <w:proofErr w:type="gramStart"/>
      <w:r w:rsidR="00120280">
        <w:rPr>
          <w:rFonts w:eastAsia="Calibri" w:cs="Times New Roman"/>
        </w:rPr>
        <w:t>In particular, they</w:t>
      </w:r>
      <w:proofErr w:type="gramEnd"/>
      <w:r w:rsidR="00120280">
        <w:rPr>
          <w:rFonts w:eastAsia="Calibri" w:cs="Times New Roman"/>
        </w:rPr>
        <w:t xml:space="preserve"> </w:t>
      </w:r>
      <w:r w:rsidR="00120280">
        <w:rPr>
          <w:rFonts w:eastAsia="Calibri" w:cs="Times New Roman"/>
        </w:rPr>
        <w:lastRenderedPageBreak/>
        <w:t>support that comprehensive and continuous care by individual providers can decrease care utilization. [12-13]</w:t>
      </w:r>
      <w:bookmarkStart w:id="5" w:name="_Hlk13472752"/>
    </w:p>
    <w:bookmarkEnd w:id="5"/>
    <w:p w14:paraId="70390385" w14:textId="28F113F3" w:rsidR="00942EA4" w:rsidRDefault="00942EA4" w:rsidP="00942EA4">
      <w:pPr>
        <w:pBdr>
          <w:top w:val="single" w:sz="4" w:space="1" w:color="auto"/>
          <w:left w:val="single" w:sz="4" w:space="4" w:color="auto"/>
          <w:bottom w:val="single" w:sz="4" w:space="1" w:color="auto"/>
          <w:right w:val="single" w:sz="4" w:space="4" w:color="auto"/>
        </w:pBdr>
        <w:spacing w:before="240" w:after="240"/>
        <w:rPr>
          <w:rFonts w:ascii="Calibri" w:eastAsia="Calibri" w:hAnsi="Calibri" w:cs="Times New Roman"/>
        </w:rPr>
      </w:pPr>
      <w:r w:rsidRPr="004B0060">
        <w:rPr>
          <w:rFonts w:ascii="Calibri" w:eastAsia="Calibri" w:hAnsi="Calibri" w:cs="Times New Roman"/>
        </w:rPr>
        <w:t>Given evidence that ambulatory care clinicians can influence hospital admission rates through optimal care and coordination, this measure will incentivize quality improvement efforts leading to improved patient outcomes.</w:t>
      </w:r>
    </w:p>
    <w:p w14:paraId="63DE65F2" w14:textId="30B8B3C4" w:rsidR="005F5141" w:rsidRPr="004B0060" w:rsidRDefault="005F5141" w:rsidP="0039621A">
      <w:pPr>
        <w:pBdr>
          <w:top w:val="single" w:sz="4" w:space="1" w:color="auto"/>
          <w:left w:val="single" w:sz="4" w:space="4" w:color="auto"/>
          <w:bottom w:val="single" w:sz="4" w:space="1" w:color="auto"/>
          <w:right w:val="single" w:sz="4" w:space="4" w:color="auto"/>
        </w:pBdr>
        <w:spacing w:before="240" w:after="240"/>
        <w:jc w:val="center"/>
        <w:rPr>
          <w:rFonts w:ascii="Calibri" w:eastAsia="Calibri" w:hAnsi="Calibri" w:cs="Times New Roman"/>
        </w:rPr>
      </w:pPr>
      <w:r>
        <w:rPr>
          <w:rFonts w:ascii="Calibri" w:eastAsia="Calibri" w:hAnsi="Calibri" w:cs="Times New Roman"/>
          <w:noProof/>
        </w:rPr>
        <w:drawing>
          <wp:inline distT="0" distB="0" distL="0" distR="0" wp14:anchorId="7358AE63" wp14:editId="5EF9FD95">
            <wp:extent cx="5166360" cy="1447270"/>
            <wp:effectExtent l="0" t="0" r="0" b="635"/>
            <wp:docPr id="1" name="Picture 1" descr="Logic model showing:&#10;1) (first box) Patients with MCCs are at a higher risk of admissions due to the additional challenges of caring for multiple conditions.&#10;2) (second box) Outpatient providers can provide improved care coordination and continuity of care.&#10;3) (third, box) Decreased rate of hospital admissions for patients with MC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13055" cy="1460351"/>
                    </a:xfrm>
                    <a:prstGeom prst="rect">
                      <a:avLst/>
                    </a:prstGeom>
                    <a:noFill/>
                  </pic:spPr>
                </pic:pic>
              </a:graphicData>
            </a:graphic>
          </wp:inline>
        </w:drawing>
      </w:r>
    </w:p>
    <w:p w14:paraId="5648E5D3" w14:textId="77777777" w:rsidR="00942EA4" w:rsidRPr="0039621A" w:rsidRDefault="00942EA4" w:rsidP="00942EA4">
      <w:pPr>
        <w:pBdr>
          <w:top w:val="single" w:sz="4" w:space="1" w:color="auto"/>
          <w:left w:val="single" w:sz="4" w:space="4" w:color="auto"/>
          <w:bottom w:val="single" w:sz="4" w:space="1" w:color="auto"/>
          <w:right w:val="single" w:sz="4" w:space="4" w:color="auto"/>
        </w:pBdr>
        <w:ind w:left="432" w:hanging="432"/>
        <w:rPr>
          <w:rFonts w:cstheme="minorHAnsi"/>
        </w:rPr>
      </w:pPr>
      <w:r w:rsidRPr="0039621A">
        <w:rPr>
          <w:rFonts w:cstheme="minorHAnsi"/>
        </w:rPr>
        <w:t>Citations:</w:t>
      </w:r>
    </w:p>
    <w:p w14:paraId="4614CDB9" w14:textId="5A408689" w:rsidR="003131E4" w:rsidRPr="001F1EB6" w:rsidRDefault="003131E4"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sidRPr="0039621A">
        <w:rPr>
          <w:rFonts w:cstheme="minorHAnsi"/>
        </w:rPr>
        <w:t xml:space="preserve">Jencks, S. F., et al. (2019). "Safety-Net Hospitals, Neighborhood Disadvantage, and Readmissions Under Maryland's All-Payer Program: An Observational Study." </w:t>
      </w:r>
      <w:r w:rsidRPr="0039621A">
        <w:rPr>
          <w:rFonts w:cstheme="minorHAnsi"/>
          <w:i/>
        </w:rPr>
        <w:t>Ann Intern Med</w:t>
      </w:r>
      <w:r w:rsidRPr="0039621A">
        <w:rPr>
          <w:rFonts w:cstheme="minorHAnsi"/>
        </w:rPr>
        <w:t>.</w:t>
      </w:r>
      <w:r w:rsidR="001F1EB6" w:rsidRPr="001F1EB6">
        <w:t xml:space="preserve"> </w:t>
      </w:r>
      <w:proofErr w:type="spellStart"/>
      <w:r w:rsidR="001F1EB6" w:rsidRPr="001F1EB6">
        <w:rPr>
          <w:rFonts w:cstheme="minorHAnsi"/>
        </w:rPr>
        <w:t>doi</w:t>
      </w:r>
      <w:proofErr w:type="spellEnd"/>
      <w:r w:rsidR="001F1EB6" w:rsidRPr="001F1EB6">
        <w:rPr>
          <w:rFonts w:cstheme="minorHAnsi"/>
        </w:rPr>
        <w:t>: 10.7326/M16-2671</w:t>
      </w:r>
    </w:p>
    <w:p w14:paraId="45A5A7B1" w14:textId="47531256" w:rsidR="00942EA4" w:rsidRPr="0039621A" w:rsidRDefault="00942EA4"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bookmarkStart w:id="6" w:name="_Hlk13473000"/>
      <w:r w:rsidRPr="0039621A">
        <w:rPr>
          <w:rFonts w:cstheme="minorHAnsi"/>
        </w:rPr>
        <w:t xml:space="preserve">Abernathy K, Zhang J, Mauldin P, et al. Acute Care Utilization in Patients </w:t>
      </w:r>
      <w:proofErr w:type="gramStart"/>
      <w:r w:rsidRPr="0039621A">
        <w:rPr>
          <w:rFonts w:cstheme="minorHAnsi"/>
        </w:rPr>
        <w:t>With</w:t>
      </w:r>
      <w:proofErr w:type="gramEnd"/>
      <w:r w:rsidRPr="0039621A">
        <w:rPr>
          <w:rFonts w:cstheme="minorHAnsi"/>
        </w:rPr>
        <w:t xml:space="preserve"> Concurrent Mental Health and Complex Chronic Medical Conditions. J</w:t>
      </w:r>
      <w:r w:rsidR="001F1EB6">
        <w:rPr>
          <w:rFonts w:cstheme="minorHAnsi"/>
        </w:rPr>
        <w:t xml:space="preserve"> Prim Care Community Health</w:t>
      </w:r>
      <w:r w:rsidRPr="0039621A">
        <w:rPr>
          <w:rFonts w:cstheme="minorHAnsi"/>
        </w:rPr>
        <w:t xml:space="preserve">. 2016;7(4):226-233. </w:t>
      </w:r>
    </w:p>
    <w:p w14:paraId="7F1F1B8C" w14:textId="77777777" w:rsidR="00942EA4" w:rsidRPr="0039621A" w:rsidRDefault="00942EA4"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sidRPr="0039621A">
        <w:rPr>
          <w:rFonts w:cstheme="minorHAnsi"/>
        </w:rPr>
        <w:t xml:space="preserve">Brown RS, </w:t>
      </w:r>
      <w:proofErr w:type="spellStart"/>
      <w:r w:rsidRPr="0039621A">
        <w:rPr>
          <w:rFonts w:cstheme="minorHAnsi"/>
        </w:rPr>
        <w:t>Peikes</w:t>
      </w:r>
      <w:proofErr w:type="spellEnd"/>
      <w:r w:rsidRPr="0039621A">
        <w:rPr>
          <w:rFonts w:cstheme="minorHAnsi"/>
        </w:rPr>
        <w:t xml:space="preserve"> D, Peterson G, </w:t>
      </w:r>
      <w:proofErr w:type="spellStart"/>
      <w:r w:rsidRPr="0039621A">
        <w:rPr>
          <w:rFonts w:cstheme="minorHAnsi"/>
        </w:rPr>
        <w:t>Schore</w:t>
      </w:r>
      <w:proofErr w:type="spellEnd"/>
      <w:r w:rsidRPr="0039621A">
        <w:rPr>
          <w:rFonts w:cstheme="minorHAnsi"/>
        </w:rPr>
        <w:t xml:space="preserve"> J, </w:t>
      </w:r>
      <w:proofErr w:type="spellStart"/>
      <w:r w:rsidRPr="0039621A">
        <w:rPr>
          <w:rFonts w:cstheme="minorHAnsi"/>
        </w:rPr>
        <w:t>Razafindrakoto</w:t>
      </w:r>
      <w:proofErr w:type="spellEnd"/>
      <w:r w:rsidRPr="0039621A">
        <w:rPr>
          <w:rFonts w:cstheme="minorHAnsi"/>
        </w:rPr>
        <w:t xml:space="preserve"> CM. Six features of Medicare coordinated care demonstration programs that cut hospital admissions of high-risk patients. </w:t>
      </w:r>
      <w:r w:rsidRPr="0039621A">
        <w:rPr>
          <w:rFonts w:cstheme="minorHAnsi"/>
          <w:i/>
          <w:iCs/>
        </w:rPr>
        <w:t xml:space="preserve">Health </w:t>
      </w:r>
      <w:proofErr w:type="spellStart"/>
      <w:r w:rsidRPr="0039621A">
        <w:rPr>
          <w:rFonts w:cstheme="minorHAnsi"/>
          <w:i/>
          <w:iCs/>
        </w:rPr>
        <w:t>Aff</w:t>
      </w:r>
      <w:proofErr w:type="spellEnd"/>
      <w:r w:rsidRPr="0039621A">
        <w:rPr>
          <w:rFonts w:cstheme="minorHAnsi"/>
          <w:i/>
          <w:iCs/>
        </w:rPr>
        <w:t xml:space="preserve"> (Millwood). </w:t>
      </w:r>
      <w:r w:rsidRPr="0039621A">
        <w:rPr>
          <w:rFonts w:cstheme="minorHAnsi"/>
        </w:rPr>
        <w:t xml:space="preserve">2012;31(6):1156-1166.  </w:t>
      </w:r>
    </w:p>
    <w:p w14:paraId="6770B96D" w14:textId="77777777" w:rsidR="00942EA4" w:rsidRPr="0039621A" w:rsidRDefault="00942EA4"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sidRPr="0039621A">
        <w:rPr>
          <w:rFonts w:cstheme="minorHAnsi"/>
        </w:rPr>
        <w:t xml:space="preserve">van </w:t>
      </w:r>
      <w:proofErr w:type="spellStart"/>
      <w:r w:rsidRPr="0039621A">
        <w:rPr>
          <w:rFonts w:cstheme="minorHAnsi"/>
        </w:rPr>
        <w:t>Loenen</w:t>
      </w:r>
      <w:proofErr w:type="spellEnd"/>
      <w:r w:rsidRPr="0039621A">
        <w:rPr>
          <w:rFonts w:cstheme="minorHAnsi"/>
        </w:rPr>
        <w:t xml:space="preserve"> T, van den Berg MJ, </w:t>
      </w:r>
      <w:proofErr w:type="spellStart"/>
      <w:r w:rsidRPr="0039621A">
        <w:rPr>
          <w:rFonts w:cstheme="minorHAnsi"/>
        </w:rPr>
        <w:t>Westert</w:t>
      </w:r>
      <w:proofErr w:type="spellEnd"/>
      <w:r w:rsidRPr="0039621A">
        <w:rPr>
          <w:rFonts w:cstheme="minorHAnsi"/>
        </w:rPr>
        <w:t xml:space="preserve"> GP, Faber MJ. Organizational aspects of primary care related to avoidable hospitalization: a systematic review.</w:t>
      </w:r>
      <w:r w:rsidRPr="0039621A">
        <w:rPr>
          <w:rFonts w:cstheme="minorHAnsi"/>
          <w:i/>
        </w:rPr>
        <w:t xml:space="preserve"> Fam </w:t>
      </w:r>
      <w:proofErr w:type="spellStart"/>
      <w:r w:rsidRPr="0039621A">
        <w:rPr>
          <w:rFonts w:cstheme="minorHAnsi"/>
          <w:i/>
        </w:rPr>
        <w:t>Pract</w:t>
      </w:r>
      <w:proofErr w:type="spellEnd"/>
      <w:r w:rsidRPr="0039621A">
        <w:rPr>
          <w:rFonts w:cstheme="minorHAnsi"/>
          <w:i/>
        </w:rPr>
        <w:t>.</w:t>
      </w:r>
      <w:r w:rsidRPr="0039621A">
        <w:rPr>
          <w:rFonts w:cstheme="minorHAnsi"/>
        </w:rPr>
        <w:t xml:space="preserve"> 2014;31(5):502-516.</w:t>
      </w:r>
    </w:p>
    <w:p w14:paraId="6A867644" w14:textId="77777777" w:rsidR="00942EA4" w:rsidRPr="0039621A" w:rsidRDefault="00942EA4"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sidRPr="0039621A">
        <w:rPr>
          <w:rFonts w:cstheme="minorHAnsi"/>
        </w:rPr>
        <w:t xml:space="preserve">Dale SB, Ghosh A, </w:t>
      </w:r>
      <w:proofErr w:type="spellStart"/>
      <w:r w:rsidRPr="0039621A">
        <w:rPr>
          <w:rFonts w:cstheme="minorHAnsi"/>
        </w:rPr>
        <w:t>Peikes</w:t>
      </w:r>
      <w:proofErr w:type="spellEnd"/>
      <w:r w:rsidRPr="0039621A">
        <w:rPr>
          <w:rFonts w:cstheme="minorHAnsi"/>
        </w:rPr>
        <w:t xml:space="preserve"> DN, et al. Two-Year Costs and Quality in the Comprehensive Primary Care Initiative. </w:t>
      </w:r>
      <w:r w:rsidRPr="0039621A">
        <w:rPr>
          <w:rFonts w:cstheme="minorHAnsi"/>
          <w:i/>
        </w:rPr>
        <w:t xml:space="preserve">N </w:t>
      </w:r>
      <w:proofErr w:type="spellStart"/>
      <w:r w:rsidRPr="0039621A">
        <w:rPr>
          <w:rFonts w:cstheme="minorHAnsi"/>
          <w:i/>
        </w:rPr>
        <w:t>Engl</w:t>
      </w:r>
      <w:proofErr w:type="spellEnd"/>
      <w:r w:rsidRPr="0039621A">
        <w:rPr>
          <w:rFonts w:cstheme="minorHAnsi"/>
          <w:i/>
        </w:rPr>
        <w:t xml:space="preserve"> J Med.</w:t>
      </w:r>
      <w:r w:rsidRPr="0039621A">
        <w:rPr>
          <w:rFonts w:cstheme="minorHAnsi"/>
        </w:rPr>
        <w:t xml:space="preserve"> 2016;374(24):2345-2356.</w:t>
      </w:r>
    </w:p>
    <w:p w14:paraId="43740F94" w14:textId="4DAB34B9" w:rsidR="00942EA4" w:rsidRDefault="00942EA4"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proofErr w:type="spellStart"/>
      <w:r w:rsidRPr="0039621A">
        <w:rPr>
          <w:rFonts w:cstheme="minorHAnsi"/>
        </w:rPr>
        <w:t>Casalino</w:t>
      </w:r>
      <w:proofErr w:type="spellEnd"/>
      <w:r w:rsidRPr="0039621A">
        <w:rPr>
          <w:rFonts w:cstheme="minorHAnsi"/>
        </w:rPr>
        <w:t xml:space="preserve"> LP, </w:t>
      </w:r>
      <w:proofErr w:type="spellStart"/>
      <w:r w:rsidRPr="0039621A">
        <w:rPr>
          <w:rFonts w:cstheme="minorHAnsi"/>
        </w:rPr>
        <w:t>Pesko</w:t>
      </w:r>
      <w:proofErr w:type="spellEnd"/>
      <w:r w:rsidRPr="0039621A">
        <w:rPr>
          <w:rFonts w:cstheme="minorHAnsi"/>
        </w:rPr>
        <w:t xml:space="preserve"> MF, Ryan AM, et al. Small primary care physician practices have low rates of preventable hospital admissions. </w:t>
      </w:r>
      <w:r w:rsidRPr="0039621A">
        <w:rPr>
          <w:rFonts w:cstheme="minorHAnsi"/>
          <w:i/>
        </w:rPr>
        <w:t xml:space="preserve">Health </w:t>
      </w:r>
      <w:proofErr w:type="spellStart"/>
      <w:r w:rsidRPr="0039621A">
        <w:rPr>
          <w:rFonts w:cstheme="minorHAnsi"/>
          <w:i/>
        </w:rPr>
        <w:t>Aff</w:t>
      </w:r>
      <w:proofErr w:type="spellEnd"/>
      <w:r w:rsidRPr="0039621A">
        <w:rPr>
          <w:rFonts w:cstheme="minorHAnsi"/>
          <w:i/>
        </w:rPr>
        <w:t xml:space="preserve"> (Millwood).</w:t>
      </w:r>
      <w:r w:rsidRPr="0039621A">
        <w:rPr>
          <w:rFonts w:cstheme="minorHAnsi"/>
        </w:rPr>
        <w:t xml:space="preserve"> 2014;33(9):1680-1688</w:t>
      </w:r>
    </w:p>
    <w:p w14:paraId="6FC9AAE2" w14:textId="021237CF" w:rsidR="002E52C3" w:rsidRPr="00461180" w:rsidRDefault="002E52C3"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Pr>
          <w:sz w:val="23"/>
          <w:szCs w:val="23"/>
        </w:rPr>
        <w:t xml:space="preserve">Matzke GR, </w:t>
      </w:r>
      <w:proofErr w:type="spellStart"/>
      <w:r>
        <w:rPr>
          <w:sz w:val="23"/>
          <w:szCs w:val="23"/>
        </w:rPr>
        <w:t>Moczygemba</w:t>
      </w:r>
      <w:proofErr w:type="spellEnd"/>
      <w:r>
        <w:rPr>
          <w:sz w:val="23"/>
          <w:szCs w:val="23"/>
        </w:rPr>
        <w:t xml:space="preserve"> LR, Williams KJ, Czar MJ, Lee WT. Impact of a pharmacist–physician collaborative care model on patient outcomes and health services utilization. </w:t>
      </w:r>
      <w:r>
        <w:rPr>
          <w:i/>
          <w:iCs/>
          <w:sz w:val="23"/>
          <w:szCs w:val="23"/>
        </w:rPr>
        <w:t xml:space="preserve">American Journal of Health-System Pharmacy. </w:t>
      </w:r>
      <w:r>
        <w:rPr>
          <w:sz w:val="23"/>
          <w:szCs w:val="23"/>
        </w:rPr>
        <w:t>2018;75(14):1039-1047</w:t>
      </w:r>
    </w:p>
    <w:p w14:paraId="0FF3A37E" w14:textId="2B7D1754" w:rsidR="002E52C3" w:rsidRDefault="002E52C3"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Pr>
          <w:sz w:val="23"/>
          <w:szCs w:val="23"/>
        </w:rPr>
        <w:t xml:space="preserve">Ruiz S, Snyder LP, </w:t>
      </w:r>
      <w:proofErr w:type="spellStart"/>
      <w:r>
        <w:rPr>
          <w:sz w:val="23"/>
          <w:szCs w:val="23"/>
        </w:rPr>
        <w:t>Rotondo</w:t>
      </w:r>
      <w:proofErr w:type="spellEnd"/>
      <w:r>
        <w:rPr>
          <w:sz w:val="23"/>
          <w:szCs w:val="23"/>
        </w:rPr>
        <w:t xml:space="preserve"> C, Cross-Barnet C, Colligan EM, </w:t>
      </w:r>
      <w:proofErr w:type="spellStart"/>
      <w:r>
        <w:rPr>
          <w:sz w:val="23"/>
          <w:szCs w:val="23"/>
        </w:rPr>
        <w:t>Giuriceo</w:t>
      </w:r>
      <w:proofErr w:type="spellEnd"/>
      <w:r>
        <w:rPr>
          <w:sz w:val="23"/>
          <w:szCs w:val="23"/>
        </w:rPr>
        <w:t xml:space="preserve"> K. Innovative Home Visit Models Associated </w:t>
      </w:r>
      <w:proofErr w:type="gramStart"/>
      <w:r>
        <w:rPr>
          <w:sz w:val="23"/>
          <w:szCs w:val="23"/>
        </w:rPr>
        <w:t>With</w:t>
      </w:r>
      <w:proofErr w:type="gramEnd"/>
      <w:r>
        <w:rPr>
          <w:sz w:val="23"/>
          <w:szCs w:val="23"/>
        </w:rPr>
        <w:t xml:space="preserve"> Reductions In Costs, Hospitalizations, And Emergency Department Use. </w:t>
      </w:r>
      <w:r>
        <w:rPr>
          <w:i/>
          <w:iCs/>
          <w:sz w:val="23"/>
          <w:szCs w:val="23"/>
        </w:rPr>
        <w:t xml:space="preserve">Health Affairs. </w:t>
      </w:r>
      <w:r>
        <w:rPr>
          <w:sz w:val="23"/>
          <w:szCs w:val="23"/>
        </w:rPr>
        <w:t xml:space="preserve">2017;36(3):425-432 </w:t>
      </w:r>
      <w:r>
        <w:t xml:space="preserve"> </w:t>
      </w:r>
    </w:p>
    <w:p w14:paraId="577A5A7B" w14:textId="47633DA9" w:rsidR="002E52C3" w:rsidRPr="00D91918" w:rsidRDefault="002E52C3"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Pr>
          <w:sz w:val="23"/>
          <w:szCs w:val="23"/>
        </w:rPr>
        <w:t xml:space="preserve">Edwards ST, </w:t>
      </w:r>
      <w:proofErr w:type="spellStart"/>
      <w:r>
        <w:rPr>
          <w:sz w:val="23"/>
          <w:szCs w:val="23"/>
        </w:rPr>
        <w:t>Saha</w:t>
      </w:r>
      <w:proofErr w:type="spellEnd"/>
      <w:r>
        <w:rPr>
          <w:sz w:val="23"/>
          <w:szCs w:val="23"/>
        </w:rPr>
        <w:t xml:space="preserve"> S, Prentice JC, Pizer SD. Preventing Hospitalization with Veterans Affairs Home-Based Primary Care: Which Individuals Benefit Most? </w:t>
      </w:r>
      <w:r>
        <w:rPr>
          <w:i/>
          <w:iCs/>
          <w:sz w:val="23"/>
          <w:szCs w:val="23"/>
        </w:rPr>
        <w:t xml:space="preserve">Journal of the American Geriatrics Society. </w:t>
      </w:r>
      <w:r>
        <w:rPr>
          <w:sz w:val="23"/>
          <w:szCs w:val="23"/>
        </w:rPr>
        <w:t xml:space="preserve">2017;65(8):1676-1683 </w:t>
      </w:r>
      <w:r>
        <w:t xml:space="preserve"> </w:t>
      </w:r>
      <w:r w:rsidR="00D91918">
        <w:t xml:space="preserve"> </w:t>
      </w:r>
    </w:p>
    <w:p w14:paraId="45414C0B" w14:textId="750F1F0E" w:rsidR="00D91918" w:rsidRDefault="00D91918"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proofErr w:type="spellStart"/>
      <w:r w:rsidRPr="00461180">
        <w:rPr>
          <w:rFonts w:eastAsia="Times New Roman" w:cstheme="minorHAnsi"/>
          <w:color w:val="212121"/>
          <w:sz w:val="23"/>
          <w:szCs w:val="23"/>
          <w:shd w:val="clear" w:color="auto" w:fill="FFFFFF"/>
        </w:rPr>
        <w:t>Krumme</w:t>
      </w:r>
      <w:proofErr w:type="spellEnd"/>
      <w:r w:rsidRPr="00461180">
        <w:rPr>
          <w:rFonts w:eastAsia="Times New Roman" w:cstheme="minorHAnsi"/>
          <w:color w:val="212121"/>
          <w:sz w:val="23"/>
          <w:szCs w:val="23"/>
          <w:shd w:val="clear" w:color="auto" w:fill="FFFFFF"/>
        </w:rPr>
        <w:t xml:space="preserve"> AA, Glynn RJ, </w:t>
      </w:r>
      <w:proofErr w:type="spellStart"/>
      <w:r w:rsidRPr="00461180">
        <w:rPr>
          <w:rFonts w:eastAsia="Times New Roman" w:cstheme="minorHAnsi"/>
          <w:color w:val="212121"/>
          <w:sz w:val="23"/>
          <w:szCs w:val="23"/>
          <w:shd w:val="clear" w:color="auto" w:fill="FFFFFF"/>
        </w:rPr>
        <w:t>Schneeweiss</w:t>
      </w:r>
      <w:proofErr w:type="spellEnd"/>
      <w:r w:rsidRPr="00461180">
        <w:rPr>
          <w:rFonts w:eastAsia="Times New Roman" w:cstheme="minorHAnsi"/>
          <w:color w:val="212121"/>
          <w:sz w:val="23"/>
          <w:szCs w:val="23"/>
          <w:shd w:val="clear" w:color="auto" w:fill="FFFFFF"/>
        </w:rPr>
        <w:t xml:space="preserve"> S, et al. Medication Synchronization Programs Improve Adherence </w:t>
      </w:r>
      <w:proofErr w:type="gramStart"/>
      <w:r w:rsidRPr="00461180">
        <w:rPr>
          <w:rFonts w:eastAsia="Times New Roman" w:cstheme="minorHAnsi"/>
          <w:color w:val="212121"/>
          <w:sz w:val="23"/>
          <w:szCs w:val="23"/>
          <w:shd w:val="clear" w:color="auto" w:fill="FFFFFF"/>
        </w:rPr>
        <w:t>To</w:t>
      </w:r>
      <w:proofErr w:type="gramEnd"/>
      <w:r w:rsidRPr="00461180">
        <w:rPr>
          <w:rFonts w:eastAsia="Times New Roman" w:cstheme="minorHAnsi"/>
          <w:color w:val="212121"/>
          <w:sz w:val="23"/>
          <w:szCs w:val="23"/>
          <w:shd w:val="clear" w:color="auto" w:fill="FFFFFF"/>
        </w:rPr>
        <w:t xml:space="preserve"> Cardiovascular Medications And Health Care Use. </w:t>
      </w:r>
      <w:r w:rsidRPr="00461180">
        <w:rPr>
          <w:rFonts w:eastAsia="Times New Roman" w:cstheme="minorHAnsi"/>
          <w:i/>
          <w:iCs/>
          <w:color w:val="212121"/>
          <w:sz w:val="23"/>
          <w:szCs w:val="23"/>
          <w:shd w:val="clear" w:color="auto" w:fill="FFFFFF"/>
        </w:rPr>
        <w:t xml:space="preserve">Health </w:t>
      </w:r>
      <w:proofErr w:type="spellStart"/>
      <w:r w:rsidRPr="00461180">
        <w:rPr>
          <w:rFonts w:eastAsia="Times New Roman" w:cstheme="minorHAnsi"/>
          <w:i/>
          <w:iCs/>
          <w:color w:val="212121"/>
          <w:sz w:val="23"/>
          <w:szCs w:val="23"/>
          <w:shd w:val="clear" w:color="auto" w:fill="FFFFFF"/>
        </w:rPr>
        <w:t>Aff</w:t>
      </w:r>
      <w:proofErr w:type="spellEnd"/>
      <w:r w:rsidRPr="00461180">
        <w:rPr>
          <w:rFonts w:eastAsia="Times New Roman" w:cstheme="minorHAnsi"/>
          <w:i/>
          <w:iCs/>
          <w:color w:val="212121"/>
          <w:sz w:val="23"/>
          <w:szCs w:val="23"/>
          <w:shd w:val="clear" w:color="auto" w:fill="FFFFFF"/>
        </w:rPr>
        <w:t xml:space="preserve"> (Millwood)</w:t>
      </w:r>
      <w:r w:rsidRPr="00461180">
        <w:rPr>
          <w:rFonts w:eastAsia="Times New Roman" w:cstheme="minorHAnsi"/>
          <w:color w:val="212121"/>
          <w:sz w:val="23"/>
          <w:szCs w:val="23"/>
          <w:shd w:val="clear" w:color="auto" w:fill="FFFFFF"/>
        </w:rPr>
        <w:t>. 2018;37(1):125-133. doi:10.1377/hlthaff.2017</w:t>
      </w:r>
    </w:p>
    <w:p w14:paraId="5059154A" w14:textId="526DBDDD" w:rsidR="002E52C3" w:rsidRPr="0039621A" w:rsidRDefault="007A0F3E"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Pr>
          <w:sz w:val="23"/>
          <w:szCs w:val="23"/>
        </w:rPr>
        <w:t xml:space="preserve">Gabriel M, Powers C, </w:t>
      </w:r>
      <w:proofErr w:type="spellStart"/>
      <w:r>
        <w:rPr>
          <w:sz w:val="23"/>
          <w:szCs w:val="23"/>
        </w:rPr>
        <w:t>Encinosa</w:t>
      </w:r>
      <w:proofErr w:type="spellEnd"/>
      <w:r>
        <w:rPr>
          <w:sz w:val="23"/>
          <w:szCs w:val="23"/>
        </w:rPr>
        <w:t xml:space="preserve"> W, Bynum J. E-Prescribing and Adverse Drug Events: An Observational Study of the Medicare Part D Population </w:t>
      </w:r>
      <w:proofErr w:type="gramStart"/>
      <w:r>
        <w:rPr>
          <w:sz w:val="23"/>
          <w:szCs w:val="23"/>
        </w:rPr>
        <w:t>With</w:t>
      </w:r>
      <w:proofErr w:type="gramEnd"/>
      <w:r>
        <w:rPr>
          <w:sz w:val="23"/>
          <w:szCs w:val="23"/>
        </w:rPr>
        <w:t xml:space="preserve"> Diabetes. </w:t>
      </w:r>
      <w:r>
        <w:rPr>
          <w:i/>
          <w:iCs/>
          <w:sz w:val="23"/>
          <w:szCs w:val="23"/>
        </w:rPr>
        <w:t xml:space="preserve">Medical care. </w:t>
      </w:r>
      <w:r>
        <w:rPr>
          <w:sz w:val="23"/>
          <w:szCs w:val="23"/>
        </w:rPr>
        <w:t xml:space="preserve">2017;55 </w:t>
      </w:r>
      <w:r>
        <w:t xml:space="preserve"> </w:t>
      </w:r>
    </w:p>
    <w:p w14:paraId="6974C0AB" w14:textId="7C3F4A72" w:rsidR="00355752" w:rsidRPr="0039621A" w:rsidRDefault="00355752"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iCs/>
        </w:rPr>
      </w:pPr>
      <w:r w:rsidRPr="0039621A">
        <w:rPr>
          <w:rFonts w:cstheme="minorHAnsi"/>
          <w:iCs/>
        </w:rPr>
        <w:lastRenderedPageBreak/>
        <w:t xml:space="preserve">Bazemore, A., et al. (2018). "Higher Primary Care Physician Continuity is Associated </w:t>
      </w:r>
      <w:proofErr w:type="gramStart"/>
      <w:r w:rsidRPr="0039621A">
        <w:rPr>
          <w:rFonts w:cstheme="minorHAnsi"/>
          <w:iCs/>
        </w:rPr>
        <w:t>With</w:t>
      </w:r>
      <w:proofErr w:type="gramEnd"/>
      <w:r w:rsidRPr="0039621A">
        <w:rPr>
          <w:rFonts w:cstheme="minorHAnsi"/>
          <w:iCs/>
        </w:rPr>
        <w:t xml:space="preserve"> Lower Costs and Hospitalizations." </w:t>
      </w:r>
      <w:r w:rsidRPr="0039621A">
        <w:rPr>
          <w:rFonts w:cstheme="minorHAnsi"/>
          <w:i/>
          <w:iCs/>
        </w:rPr>
        <w:t>Ann Fam Med</w:t>
      </w:r>
      <w:r w:rsidR="001F1EB6">
        <w:rPr>
          <w:rFonts w:cstheme="minorHAnsi"/>
          <w:i/>
          <w:iCs/>
        </w:rPr>
        <w:t>.</w:t>
      </w:r>
      <w:r w:rsidRPr="0039621A">
        <w:rPr>
          <w:rFonts w:cstheme="minorHAnsi"/>
          <w:iCs/>
        </w:rPr>
        <w:t xml:space="preserve"> 16(6): 492-497.</w:t>
      </w:r>
    </w:p>
    <w:p w14:paraId="3F1055E9" w14:textId="2317E5C9" w:rsidR="00355752" w:rsidRPr="0039621A" w:rsidRDefault="00355752" w:rsidP="0039621A">
      <w:pPr>
        <w:pStyle w:val="ListParagraph"/>
        <w:numPr>
          <w:ilvl w:val="0"/>
          <w:numId w:val="15"/>
        </w:numPr>
        <w:pBdr>
          <w:top w:val="single" w:sz="4" w:space="1" w:color="auto"/>
          <w:left w:val="single" w:sz="4" w:space="4" w:color="auto"/>
          <w:bottom w:val="single" w:sz="4" w:space="1" w:color="auto"/>
          <w:right w:val="single" w:sz="4" w:space="4" w:color="auto"/>
        </w:pBdr>
        <w:spacing w:before="240" w:after="240" w:line="240" w:lineRule="auto"/>
        <w:rPr>
          <w:rFonts w:cstheme="minorHAnsi"/>
          <w:iCs/>
        </w:rPr>
      </w:pPr>
      <w:r w:rsidRPr="0039621A">
        <w:rPr>
          <w:rFonts w:cstheme="minorHAnsi"/>
          <w:iCs/>
        </w:rPr>
        <w:t xml:space="preserve">O'Malley, A. S., et al. (2019). "New approaches to measuring the comprehensiveness of primary care physicians." </w:t>
      </w:r>
      <w:r w:rsidRPr="0039621A">
        <w:rPr>
          <w:rFonts w:cstheme="minorHAnsi"/>
          <w:i/>
          <w:iCs/>
        </w:rPr>
        <w:t>Health Serv Res</w:t>
      </w:r>
      <w:r w:rsidR="001F1EB6">
        <w:rPr>
          <w:rFonts w:cstheme="minorHAnsi"/>
          <w:iCs/>
        </w:rPr>
        <w:t>.</w:t>
      </w:r>
      <w:r w:rsidRPr="0039621A">
        <w:rPr>
          <w:rFonts w:cstheme="minorHAnsi"/>
          <w:iCs/>
        </w:rPr>
        <w:t xml:space="preserve"> 54(2): 356-366.</w:t>
      </w:r>
    </w:p>
    <w:bookmarkEnd w:id="6"/>
    <w:p w14:paraId="025773CE" w14:textId="77777777" w:rsidR="00996EE4" w:rsidRDefault="00132E82">
      <w:pPr>
        <w:ind w:right="140"/>
        <w:rPr>
          <w:b/>
          <w:iCs/>
        </w:rPr>
      </w:pPr>
      <w:r>
        <w:rPr>
          <w:b/>
          <w:bCs/>
          <w:color w:val="0000FF"/>
        </w:rPr>
        <w:t>1a.3</w:t>
      </w:r>
      <w:r>
        <w:rPr>
          <w:bCs/>
        </w:rPr>
        <w:t xml:space="preserve"> </w:t>
      </w:r>
      <w:r>
        <w:rPr>
          <w:b/>
          <w:bCs/>
          <w:highlight w:val="cyan"/>
        </w:rPr>
        <w:t xml:space="preserve">Value and Meaningfulness:  </w:t>
      </w:r>
      <w:r>
        <w:rPr>
          <w:bCs/>
          <w:highlight w:val="cyan"/>
        </w:rPr>
        <w:t xml:space="preserve"> </w:t>
      </w:r>
      <w:r>
        <w:rPr>
          <w:b/>
          <w:iCs/>
          <w:highlight w:val="cyan"/>
        </w:rPr>
        <w:t xml:space="preserve">IF </w:t>
      </w:r>
      <w:r>
        <w:rPr>
          <w:iCs/>
          <w:highlight w:val="cyan"/>
        </w:rPr>
        <w:t xml:space="preserve">this measure is derived from patient report, provide evidence that the target population values the measured </w:t>
      </w:r>
      <w:r>
        <w:rPr>
          <w:b/>
          <w:i/>
          <w:iCs/>
          <w:highlight w:val="cyan"/>
        </w:rPr>
        <w:t>outcome, process, or structure</w:t>
      </w:r>
      <w:r>
        <w:rPr>
          <w:iCs/>
          <w:highlight w:val="cyan"/>
        </w:rPr>
        <w:t xml:space="preserve"> and finds it meaningful. (Describe how and from whom their input was obtained.)</w:t>
      </w:r>
    </w:p>
    <w:p w14:paraId="70024441" w14:textId="77777777" w:rsidR="00996EE4" w:rsidRDefault="00996EE4">
      <w:pPr>
        <w:rPr>
          <w:b/>
          <w:color w:val="0000FF"/>
        </w:rPr>
      </w:pPr>
    </w:p>
    <w:p w14:paraId="22016814" w14:textId="77777777" w:rsidR="00996EE4" w:rsidRDefault="00996EE4">
      <w:pPr>
        <w:ind w:left="432" w:hanging="432"/>
        <w:rPr>
          <w:b/>
          <w:color w:val="0000FF"/>
        </w:rPr>
      </w:pPr>
    </w:p>
    <w:p w14:paraId="2B02986A" w14:textId="77777777" w:rsidR="00996EE4" w:rsidRDefault="00132E82">
      <w:pPr>
        <w:ind w:left="432" w:hanging="432"/>
        <w:rPr>
          <w:b/>
          <w:color w:val="0000FF"/>
        </w:rPr>
      </w:pPr>
      <w:r>
        <w:rPr>
          <w:b/>
          <w:color w:val="0000FF"/>
        </w:rPr>
        <w:t>**RESPOND TO ONLY ONE SECTION BELOW -EITHER 1a.2, 1a.3 or 1a.4) **</w:t>
      </w:r>
    </w:p>
    <w:p w14:paraId="1D9DE97C" w14:textId="77777777" w:rsidR="00996EE4" w:rsidRDefault="00996EE4">
      <w:pPr>
        <w:ind w:left="432" w:hanging="432"/>
        <w:rPr>
          <w:b/>
          <w:color w:val="0000FF"/>
        </w:rPr>
      </w:pPr>
    </w:p>
    <w:p w14:paraId="4E12FEC1" w14:textId="77777777" w:rsidR="00996EE4" w:rsidRDefault="00132E82">
      <w:pPr>
        <w:ind w:left="432" w:hanging="432"/>
        <w:rPr>
          <w:b/>
        </w:rPr>
      </w:pPr>
      <w:r>
        <w:rPr>
          <w:b/>
          <w:color w:val="0000FF"/>
          <w:highlight w:val="cyan"/>
        </w:rPr>
        <w:t>1a.2</w:t>
      </w:r>
      <w:r>
        <w:rPr>
          <w:iCs/>
          <w:highlight w:val="cyan"/>
        </w:rPr>
        <w:t xml:space="preserve"> </w:t>
      </w:r>
      <w:r>
        <w:rPr>
          <w:b/>
          <w:highlight w:val="cyan"/>
        </w:rPr>
        <w:t>FOR OUTCOME MEASURES including PATIENT REPORTED OUTCOMES -</w:t>
      </w:r>
      <w:r>
        <w:rPr>
          <w:b/>
          <w:iCs/>
          <w:highlight w:val="cyan"/>
        </w:rPr>
        <w:t xml:space="preserve"> Provide empirical data demonstrating the relationship between the outcome (or PRO) to at least one healthcare structure, process, intervention, or service.</w:t>
      </w:r>
      <w:r>
        <w:rPr>
          <w:b/>
          <w:iCs/>
        </w:rPr>
        <w:t xml:space="preserve"> </w:t>
      </w:r>
    </w:p>
    <w:p w14:paraId="5A8D5683" w14:textId="77777777" w:rsidR="00634AB5" w:rsidRDefault="00942EA4" w:rsidP="00942EA4">
      <w:pPr>
        <w:pBdr>
          <w:top w:val="single" w:sz="4" w:space="1" w:color="auto"/>
          <w:left w:val="single" w:sz="4" w:space="4" w:color="auto"/>
          <w:bottom w:val="single" w:sz="4" w:space="1" w:color="auto"/>
          <w:right w:val="single" w:sz="4" w:space="4" w:color="auto"/>
        </w:pBdr>
        <w:spacing w:before="240" w:after="240"/>
        <w:rPr>
          <w:rFonts w:ascii="Calibri" w:eastAsia="Calibri" w:hAnsi="Calibri" w:cs="Times New Roman"/>
        </w:rPr>
      </w:pPr>
      <w:r w:rsidRPr="00514A2C">
        <w:rPr>
          <w:rFonts w:ascii="Calibri" w:eastAsia="Calibri" w:hAnsi="Calibri" w:cs="Times New Roman"/>
        </w:rPr>
        <w:t>As noted above, hospital admission rates are an effective marker of ambulatory care quality. Patients receiving optimal, coordinated high-quality care should use fewer inpatient services than patients receiving fragmented, low-quality care. Thus, high population rates of hospitalization may signal poor quality of care or inefficiency in health system performance.</w:t>
      </w:r>
      <w:r w:rsidR="00634AB5">
        <w:rPr>
          <w:rFonts w:ascii="Calibri" w:eastAsia="Calibri" w:hAnsi="Calibri" w:cs="Times New Roman"/>
        </w:rPr>
        <w:t xml:space="preserve"> </w:t>
      </w:r>
    </w:p>
    <w:p w14:paraId="3640FB67" w14:textId="3E92F4E4" w:rsidR="00942EA4" w:rsidRPr="00514A2C" w:rsidRDefault="00634AB5" w:rsidP="00634AB5">
      <w:pPr>
        <w:pBdr>
          <w:top w:val="single" w:sz="4" w:space="1" w:color="auto"/>
          <w:left w:val="single" w:sz="4" w:space="4" w:color="auto"/>
          <w:bottom w:val="single" w:sz="4" w:space="1" w:color="auto"/>
          <w:right w:val="single" w:sz="4" w:space="4" w:color="auto"/>
        </w:pBdr>
        <w:spacing w:before="240" w:after="240"/>
        <w:rPr>
          <w:rFonts w:ascii="Calibri" w:eastAsia="Calibri" w:hAnsi="Calibri" w:cs="Times New Roman"/>
        </w:rPr>
      </w:pPr>
      <w:r w:rsidRPr="00514A2C">
        <w:rPr>
          <w:rFonts w:eastAsia="Calibri" w:cs="Times New Roman"/>
        </w:rPr>
        <w:t>There is strong evidence supporting the assertion that ambulatory care clinicians can influence admission rates through quality of care. [1-7] For example, Brown et al.</w:t>
      </w:r>
      <w:r>
        <w:rPr>
          <w:rFonts w:eastAsia="Calibri" w:cs="Times New Roman"/>
        </w:rPr>
        <w:t xml:space="preserve"> (2012)</w:t>
      </w:r>
      <w:r w:rsidRPr="00514A2C">
        <w:rPr>
          <w:rFonts w:eastAsia="Calibri" w:cs="Times New Roman"/>
        </w:rPr>
        <w:t xml:space="preserve"> pointed to four Medicare Coordinated Care Demonstration programs that reduced hospitalizations for high-risk patients by 13-30 per 100 beneficiaries per year (8-33% of hospitalizations). Brown et al. highlighted six program features that were associated with successfully reducing hospitalizations: 1) supplementing patient telephone calls with in-person meetings; 2) occasionally meeting in person with providers; 3) acting as a communication hub for providers; 4) providing patients with evidence-based education; 5) providing strong medication management; and 6) providing comprehensive and timely transitional care after hospitalizations.</w:t>
      </w:r>
      <w:r>
        <w:rPr>
          <w:rFonts w:eastAsia="Calibri" w:cs="Times New Roman"/>
        </w:rPr>
        <w:t xml:space="preserve"> </w:t>
      </w:r>
      <w:r w:rsidRPr="00514A2C">
        <w:rPr>
          <w:rFonts w:eastAsia="Calibri" w:cs="Times New Roman"/>
        </w:rPr>
        <w:t xml:space="preserve">[8] In addition, van </w:t>
      </w:r>
      <w:proofErr w:type="spellStart"/>
      <w:r w:rsidRPr="00514A2C">
        <w:rPr>
          <w:rFonts w:eastAsia="Calibri" w:cs="Times New Roman"/>
        </w:rPr>
        <w:t>Loenen</w:t>
      </w:r>
      <w:proofErr w:type="spellEnd"/>
      <w:r w:rsidRPr="00514A2C">
        <w:rPr>
          <w:rFonts w:eastAsia="Calibri" w:cs="Times New Roman"/>
        </w:rPr>
        <w:t xml:space="preserve"> et al. found that higher levels of provider continuity decreased the risk of avoidable hospitalizations for ambulatory care-sensitive conditions (ACSCs) and chronic diseases, regardless of country and age group.</w:t>
      </w:r>
      <w:r>
        <w:rPr>
          <w:rFonts w:eastAsia="Calibri" w:cs="Times New Roman"/>
        </w:rPr>
        <w:t xml:space="preserve"> </w:t>
      </w:r>
      <w:r w:rsidRPr="00514A2C">
        <w:rPr>
          <w:rFonts w:eastAsia="Calibri" w:cs="Times New Roman"/>
        </w:rPr>
        <w:t xml:space="preserve">[9] Favorable results were also shown by Dorr et al. (2000), Levine et al. (2012), </w:t>
      </w:r>
      <w:proofErr w:type="spellStart"/>
      <w:r w:rsidRPr="00514A2C">
        <w:rPr>
          <w:rFonts w:eastAsia="Calibri" w:cs="Times New Roman"/>
        </w:rPr>
        <w:t>Littleford</w:t>
      </w:r>
      <w:proofErr w:type="spellEnd"/>
      <w:r w:rsidRPr="00514A2C">
        <w:rPr>
          <w:rFonts w:eastAsia="Calibri" w:cs="Times New Roman"/>
        </w:rPr>
        <w:t xml:space="preserve"> et al. (2010), and Zhang et al. (2008). [10-13] </w:t>
      </w:r>
      <w:r>
        <w:rPr>
          <w:rFonts w:eastAsia="Calibri" w:cs="Times New Roman"/>
        </w:rPr>
        <w:t>Ad</w:t>
      </w:r>
      <w:r w:rsidRPr="00355752">
        <w:rPr>
          <w:rFonts w:eastAsia="Calibri" w:cs="Times New Roman"/>
        </w:rPr>
        <w:t>d</w:t>
      </w:r>
      <w:r>
        <w:rPr>
          <w:rFonts w:eastAsia="Calibri" w:cs="Times New Roman"/>
        </w:rPr>
        <w:t xml:space="preserve">itionally, using </w:t>
      </w:r>
      <w:r w:rsidRPr="00CE3844">
        <w:rPr>
          <w:rFonts w:eastAsia="Calibri" w:cs="Times New Roman"/>
        </w:rPr>
        <w:t>Medicare data, Bazemore et al. (2018) found that primary care physicians with higher patient continuity-of-care scores had lower beneficiary expenditures and odds of hospitalization.</w:t>
      </w:r>
      <w:r w:rsidRPr="00210711">
        <w:rPr>
          <w:rFonts w:eastAsia="Calibri" w:cs="Times New Roman"/>
        </w:rPr>
        <w:t xml:space="preserve"> [14</w:t>
      </w:r>
      <w:r w:rsidRPr="00CE3844">
        <w:rPr>
          <w:rFonts w:eastAsia="Calibri" w:cs="Times New Roman"/>
        </w:rPr>
        <w:t xml:space="preserve">] Similarly, O’Malley et al. (2019) found that PCPs with greater comprehensiveness scores (i.e., provided more comprehensive care) had lower beneficiary expenditures and hospitalization rates. [15] Other studies suggested that collaborative care models and home-based visits could reduce hospitalizations. </w:t>
      </w:r>
      <w:r w:rsidRPr="00461180">
        <w:t>Matzke et al. (2018) found that physician-pharmacist collaborative care-based patient-centered medical home models reduced hospital admissions</w:t>
      </w:r>
      <w:r>
        <w:t xml:space="preserve"> [16]</w:t>
      </w:r>
      <w:r w:rsidRPr="00461180">
        <w:t>. Ruiz et al. (2017) showed that some home visit program models significantly reduced hospitalization rates</w:t>
      </w:r>
      <w:r>
        <w:t>,</w:t>
      </w:r>
      <w:r w:rsidRPr="00461180">
        <w:t xml:space="preserve"> while Edwards et al. (2017) found that home-based primary care versus usual care was associated with lower odds of admissions for ambulatory care sensitive conditions</w:t>
      </w:r>
      <w:r>
        <w:t xml:space="preserve"> [17-18].</w:t>
      </w:r>
    </w:p>
    <w:p w14:paraId="2595946B" w14:textId="43161277" w:rsidR="00942EA4" w:rsidRPr="00514A2C" w:rsidRDefault="00A638AC" w:rsidP="0039621A">
      <w:pPr>
        <w:pBdr>
          <w:top w:val="single" w:sz="4" w:space="1" w:color="auto"/>
          <w:left w:val="single" w:sz="4" w:space="4" w:color="auto"/>
          <w:bottom w:val="single" w:sz="4" w:space="1" w:color="auto"/>
          <w:right w:val="single" w:sz="4" w:space="4" w:color="auto"/>
        </w:pBdr>
        <w:spacing w:before="240" w:after="240"/>
        <w:rPr>
          <w:iCs/>
        </w:rPr>
      </w:pPr>
      <w:r>
        <w:rPr>
          <w:rFonts w:ascii="Calibri" w:eastAsia="Calibri" w:hAnsi="Calibri" w:cs="Times New Roman"/>
        </w:rPr>
        <w:t xml:space="preserve">The </w:t>
      </w:r>
      <w:r w:rsidR="00942EA4" w:rsidRPr="00514A2C">
        <w:rPr>
          <w:rFonts w:ascii="Calibri" w:eastAsia="Calibri" w:hAnsi="Calibri" w:cs="Times New Roman"/>
        </w:rPr>
        <w:t>MIPS</w:t>
      </w:r>
      <w:r>
        <w:rPr>
          <w:rFonts w:ascii="Calibri" w:eastAsia="Calibri" w:hAnsi="Calibri" w:cs="Times New Roman"/>
        </w:rPr>
        <w:t xml:space="preserve"> MCC</w:t>
      </w:r>
      <w:r w:rsidR="00942EA4" w:rsidRPr="00514A2C">
        <w:rPr>
          <w:rFonts w:ascii="Calibri" w:eastAsia="Calibri" w:hAnsi="Calibri" w:cs="Times New Roman"/>
        </w:rPr>
        <w:t xml:space="preserve"> admission measure</w:t>
      </w:r>
      <w:r w:rsidR="00CE0B15">
        <w:rPr>
          <w:rFonts w:ascii="Calibri" w:eastAsia="Calibri" w:hAnsi="Calibri" w:cs="Times New Roman"/>
        </w:rPr>
        <w:t xml:space="preserve"> is</w:t>
      </w:r>
      <w:r w:rsidR="00942EA4" w:rsidRPr="00514A2C">
        <w:rPr>
          <w:rFonts w:ascii="Calibri" w:eastAsia="Calibri" w:hAnsi="Calibri" w:cs="Times New Roman"/>
        </w:rPr>
        <w:t xml:space="preserve"> consistent with CMS’s goal of providing eligible clinicians with actionable data, while at the same time providing patients with a meaningful outcome. CORE expects that sharing measure scores with eligible clinicians, in addition to tying reimbursement payment </w:t>
      </w:r>
      <w:r w:rsidR="00942EA4" w:rsidRPr="00514A2C">
        <w:rPr>
          <w:rFonts w:ascii="Calibri" w:eastAsia="Calibri" w:hAnsi="Calibri" w:cs="Times New Roman"/>
        </w:rPr>
        <w:lastRenderedPageBreak/>
        <w:t xml:space="preserve">adjustments to these scores, will strongly encourage eligible clinicians to improve care quality and patient outcomes. </w:t>
      </w:r>
      <w:r w:rsidR="00942EA4" w:rsidRPr="00514A2C">
        <w:rPr>
          <w:iCs/>
        </w:rPr>
        <w:t>Overall, th</w:t>
      </w:r>
      <w:r w:rsidR="00CE0B15">
        <w:rPr>
          <w:iCs/>
        </w:rPr>
        <w:t>is</w:t>
      </w:r>
      <w:r w:rsidR="00942EA4" w:rsidRPr="00514A2C">
        <w:rPr>
          <w:iCs/>
        </w:rPr>
        <w:t xml:space="preserve"> measure will provide CMS with valuable tool</w:t>
      </w:r>
      <w:r w:rsidR="00F65B0F">
        <w:rPr>
          <w:iCs/>
        </w:rPr>
        <w:t>s</w:t>
      </w:r>
      <w:r w:rsidR="00942EA4" w:rsidRPr="00514A2C">
        <w:rPr>
          <w:iCs/>
        </w:rPr>
        <w:t xml:space="preserve"> for assessing the performance of outpatient clinicians and groups of clinicians in the MIPS program.</w:t>
      </w:r>
    </w:p>
    <w:p w14:paraId="766B9805" w14:textId="77777777" w:rsidR="00942EA4" w:rsidRPr="00514A2C" w:rsidRDefault="00942EA4" w:rsidP="00942EA4">
      <w:pPr>
        <w:pBdr>
          <w:top w:val="single" w:sz="4" w:space="1" w:color="auto"/>
          <w:left w:val="single" w:sz="4" w:space="4" w:color="auto"/>
          <w:bottom w:val="single" w:sz="4" w:space="1" w:color="auto"/>
          <w:right w:val="single" w:sz="4" w:space="4" w:color="auto"/>
        </w:pBdr>
        <w:rPr>
          <w:iCs/>
        </w:rPr>
      </w:pPr>
      <w:r w:rsidRPr="00514A2C">
        <w:rPr>
          <w:iCs/>
        </w:rPr>
        <w:t>Citations:</w:t>
      </w:r>
    </w:p>
    <w:p w14:paraId="18B3FF24" w14:textId="77777777"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514A2C">
        <w:rPr>
          <w:iCs/>
        </w:rPr>
        <w:t xml:space="preserve">Van Cleave JH, Egleston BL, Abbott KM, Hirschman KB, Rao A, Naylor MD. Multiple Chronic Conditions and Hospitalizations Among Recipients of Long-Term Services and Supports. </w:t>
      </w:r>
      <w:proofErr w:type="spellStart"/>
      <w:r w:rsidRPr="0039621A">
        <w:rPr>
          <w:i/>
          <w:iCs/>
        </w:rPr>
        <w:t>Nurs</w:t>
      </w:r>
      <w:proofErr w:type="spellEnd"/>
      <w:r w:rsidRPr="0039621A">
        <w:rPr>
          <w:i/>
          <w:iCs/>
        </w:rPr>
        <w:t xml:space="preserve"> Res</w:t>
      </w:r>
      <w:r w:rsidRPr="00514A2C">
        <w:rPr>
          <w:iCs/>
        </w:rPr>
        <w:t xml:space="preserve">. 2016;65(6):425-434. </w:t>
      </w:r>
    </w:p>
    <w:p w14:paraId="4C4FBD5A" w14:textId="5AD0AEFE"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514A2C">
        <w:rPr>
          <w:iCs/>
        </w:rPr>
        <w:t xml:space="preserve">Jackson GL, Powers BJ, Chatterjee R, et al. The patient centered medical home. A Systematic Review. </w:t>
      </w:r>
      <w:r w:rsidRPr="0039621A">
        <w:rPr>
          <w:i/>
          <w:iCs/>
        </w:rPr>
        <w:t>Ann Intern Med</w:t>
      </w:r>
      <w:r w:rsidRPr="00514A2C">
        <w:rPr>
          <w:iCs/>
        </w:rPr>
        <w:t>. 2013;158(3):169-178.</w:t>
      </w:r>
    </w:p>
    <w:p w14:paraId="2A200528" w14:textId="77777777"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514A2C">
        <w:rPr>
          <w:iCs/>
        </w:rPr>
        <w:t xml:space="preserve">Kern LM, Edwards A, Kaushal R. The Patient-Centered Medical Home and Associations </w:t>
      </w:r>
      <w:proofErr w:type="gramStart"/>
      <w:r w:rsidRPr="00514A2C">
        <w:rPr>
          <w:iCs/>
        </w:rPr>
        <w:t>With</w:t>
      </w:r>
      <w:proofErr w:type="gramEnd"/>
      <w:r w:rsidRPr="00514A2C">
        <w:rPr>
          <w:iCs/>
        </w:rPr>
        <w:t xml:space="preserve"> Health Care Quality and Utilization: A 5-Year Cohort Study. </w:t>
      </w:r>
      <w:r w:rsidRPr="0039621A">
        <w:rPr>
          <w:i/>
          <w:iCs/>
        </w:rPr>
        <w:t>Ann Intern Med</w:t>
      </w:r>
      <w:r w:rsidRPr="00514A2C">
        <w:rPr>
          <w:iCs/>
        </w:rPr>
        <w:t xml:space="preserve">. 2016;164(6):395-405. </w:t>
      </w:r>
    </w:p>
    <w:p w14:paraId="297292BE" w14:textId="77777777"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proofErr w:type="spellStart"/>
      <w:r w:rsidRPr="00514A2C">
        <w:rPr>
          <w:iCs/>
        </w:rPr>
        <w:t>Maeng</w:t>
      </w:r>
      <w:proofErr w:type="spellEnd"/>
      <w:r w:rsidRPr="00514A2C">
        <w:rPr>
          <w:iCs/>
        </w:rPr>
        <w:t xml:space="preserve"> DD, Khan N, </w:t>
      </w:r>
      <w:proofErr w:type="spellStart"/>
      <w:r w:rsidRPr="00514A2C">
        <w:rPr>
          <w:iCs/>
        </w:rPr>
        <w:t>Tomcavage</w:t>
      </w:r>
      <w:proofErr w:type="spellEnd"/>
      <w:r w:rsidRPr="00514A2C">
        <w:rPr>
          <w:iCs/>
        </w:rPr>
        <w:t xml:space="preserve"> J, Graf TR, Davis DE, Steele GD. Reduced acute inpatient care was largest savings component of Geisinger Health System's patient-centered medical home. </w:t>
      </w:r>
      <w:r w:rsidRPr="0039621A">
        <w:rPr>
          <w:i/>
          <w:iCs/>
        </w:rPr>
        <w:t xml:space="preserve">Health </w:t>
      </w:r>
      <w:proofErr w:type="spellStart"/>
      <w:r w:rsidRPr="0039621A">
        <w:rPr>
          <w:i/>
          <w:iCs/>
        </w:rPr>
        <w:t>Aff</w:t>
      </w:r>
      <w:proofErr w:type="spellEnd"/>
      <w:r w:rsidRPr="0039621A">
        <w:rPr>
          <w:i/>
          <w:iCs/>
        </w:rPr>
        <w:t xml:space="preserve"> (Millwood)</w:t>
      </w:r>
      <w:r w:rsidRPr="00514A2C">
        <w:rPr>
          <w:iCs/>
        </w:rPr>
        <w:t>. 2015;34(4):636-644.</w:t>
      </w:r>
    </w:p>
    <w:p w14:paraId="2B745A3E" w14:textId="77777777"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pPr>
      <w:proofErr w:type="spellStart"/>
      <w:r w:rsidRPr="00514A2C">
        <w:t>Casalino</w:t>
      </w:r>
      <w:proofErr w:type="spellEnd"/>
      <w:r w:rsidRPr="00514A2C">
        <w:t xml:space="preserve"> LP, </w:t>
      </w:r>
      <w:proofErr w:type="spellStart"/>
      <w:r w:rsidRPr="00514A2C">
        <w:t>Pesko</w:t>
      </w:r>
      <w:proofErr w:type="spellEnd"/>
      <w:r w:rsidRPr="00514A2C">
        <w:t xml:space="preserve"> MF, Ryan AM, et al. Small primary care physician practices have low rates of preventable hospital admissions. </w:t>
      </w:r>
      <w:r w:rsidRPr="00514A2C">
        <w:rPr>
          <w:i/>
          <w:iCs/>
        </w:rPr>
        <w:t xml:space="preserve">Health </w:t>
      </w:r>
      <w:proofErr w:type="spellStart"/>
      <w:r w:rsidRPr="00514A2C">
        <w:rPr>
          <w:i/>
          <w:iCs/>
        </w:rPr>
        <w:t>Aff</w:t>
      </w:r>
      <w:proofErr w:type="spellEnd"/>
      <w:r w:rsidRPr="00514A2C">
        <w:rPr>
          <w:i/>
          <w:iCs/>
        </w:rPr>
        <w:t xml:space="preserve"> (Millwood). </w:t>
      </w:r>
      <w:r w:rsidRPr="00514A2C">
        <w:t xml:space="preserve">2014;33(9):1680-1688. </w:t>
      </w:r>
    </w:p>
    <w:p w14:paraId="29B6C07C" w14:textId="77777777"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pPr>
      <w:r w:rsidRPr="00514A2C">
        <w:t xml:space="preserve">Chan DK, Chong R, </w:t>
      </w:r>
      <w:proofErr w:type="spellStart"/>
      <w:r w:rsidRPr="00514A2C">
        <w:t>Basilikas</w:t>
      </w:r>
      <w:proofErr w:type="spellEnd"/>
      <w:r w:rsidRPr="00514A2C">
        <w:t xml:space="preserve"> J, </w:t>
      </w:r>
      <w:proofErr w:type="spellStart"/>
      <w:r w:rsidRPr="00514A2C">
        <w:t>Mathie</w:t>
      </w:r>
      <w:proofErr w:type="spellEnd"/>
      <w:r w:rsidRPr="00514A2C">
        <w:t xml:space="preserve"> M, Hung WT. Survey of major chronic </w:t>
      </w:r>
      <w:proofErr w:type="spellStart"/>
      <w:r w:rsidRPr="00514A2C">
        <w:t>iIlnesses</w:t>
      </w:r>
      <w:proofErr w:type="spellEnd"/>
      <w:r w:rsidRPr="00514A2C">
        <w:t xml:space="preserve"> and hospital admissions via the emergency department in a randomized older population in Randwick, Australia. </w:t>
      </w:r>
      <w:r w:rsidRPr="00514A2C">
        <w:rPr>
          <w:i/>
          <w:iCs/>
        </w:rPr>
        <w:t xml:space="preserve">Emergency medicine (Fremantle, W.A.). </w:t>
      </w:r>
      <w:r w:rsidRPr="00514A2C">
        <w:t xml:space="preserve">2002;14(4):387-392. </w:t>
      </w:r>
    </w:p>
    <w:p w14:paraId="63032538" w14:textId="77777777"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514A2C">
        <w:t xml:space="preserve">Glynn LG, </w:t>
      </w:r>
      <w:proofErr w:type="spellStart"/>
      <w:r w:rsidRPr="00514A2C">
        <w:t>Valderas</w:t>
      </w:r>
      <w:proofErr w:type="spellEnd"/>
      <w:r w:rsidRPr="00514A2C">
        <w:t xml:space="preserve"> JM, Healy P, et al. The prevalence of multimorbidity in primary care and its effect on health care utilization and cost. </w:t>
      </w:r>
      <w:r w:rsidRPr="00514A2C">
        <w:rPr>
          <w:i/>
          <w:iCs/>
        </w:rPr>
        <w:t xml:space="preserve">Fam </w:t>
      </w:r>
      <w:proofErr w:type="spellStart"/>
      <w:r w:rsidRPr="00514A2C">
        <w:rPr>
          <w:i/>
          <w:iCs/>
        </w:rPr>
        <w:t>Pract</w:t>
      </w:r>
      <w:proofErr w:type="spellEnd"/>
      <w:r w:rsidRPr="00514A2C">
        <w:rPr>
          <w:i/>
          <w:iCs/>
        </w:rPr>
        <w:t xml:space="preserve">. </w:t>
      </w:r>
      <w:r w:rsidRPr="00514A2C">
        <w:t xml:space="preserve">2011;28(5):516-523.  </w:t>
      </w:r>
    </w:p>
    <w:p w14:paraId="0AB7BCD3" w14:textId="77777777"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514A2C">
        <w:t xml:space="preserve">Brown RS, </w:t>
      </w:r>
      <w:proofErr w:type="spellStart"/>
      <w:r w:rsidRPr="00514A2C">
        <w:t>Peikes</w:t>
      </w:r>
      <w:proofErr w:type="spellEnd"/>
      <w:r w:rsidRPr="00514A2C">
        <w:t xml:space="preserve"> D, Peterson G, </w:t>
      </w:r>
      <w:proofErr w:type="spellStart"/>
      <w:r w:rsidRPr="00514A2C">
        <w:t>Schore</w:t>
      </w:r>
      <w:proofErr w:type="spellEnd"/>
      <w:r w:rsidRPr="00514A2C">
        <w:t xml:space="preserve"> J, </w:t>
      </w:r>
      <w:proofErr w:type="spellStart"/>
      <w:r w:rsidRPr="00514A2C">
        <w:t>Razafindrakoto</w:t>
      </w:r>
      <w:proofErr w:type="spellEnd"/>
      <w:r w:rsidRPr="00514A2C">
        <w:t xml:space="preserve"> CM. Six features of Medicare coordinated care demonstration programs that cut hospital admissions of high-risk patients. </w:t>
      </w:r>
      <w:r w:rsidRPr="00514A2C">
        <w:rPr>
          <w:i/>
          <w:iCs/>
        </w:rPr>
        <w:t xml:space="preserve">Health </w:t>
      </w:r>
      <w:proofErr w:type="spellStart"/>
      <w:r w:rsidRPr="00514A2C">
        <w:rPr>
          <w:i/>
          <w:iCs/>
        </w:rPr>
        <w:t>Aff</w:t>
      </w:r>
      <w:proofErr w:type="spellEnd"/>
      <w:r w:rsidRPr="00514A2C">
        <w:rPr>
          <w:i/>
          <w:iCs/>
        </w:rPr>
        <w:t xml:space="preserve"> (Millwood). </w:t>
      </w:r>
      <w:r w:rsidRPr="00514A2C">
        <w:t xml:space="preserve">2012;31(6):1156-1166.  </w:t>
      </w:r>
    </w:p>
    <w:p w14:paraId="45D39835" w14:textId="77777777"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514A2C">
        <w:t xml:space="preserve">van </w:t>
      </w:r>
      <w:proofErr w:type="spellStart"/>
      <w:r w:rsidRPr="00514A2C">
        <w:t>Loenen</w:t>
      </w:r>
      <w:proofErr w:type="spellEnd"/>
      <w:r w:rsidRPr="00514A2C">
        <w:t xml:space="preserve"> T, van den Berg MJ, </w:t>
      </w:r>
      <w:proofErr w:type="spellStart"/>
      <w:r w:rsidRPr="00514A2C">
        <w:t>Westert</w:t>
      </w:r>
      <w:proofErr w:type="spellEnd"/>
      <w:r w:rsidRPr="00514A2C">
        <w:t xml:space="preserve"> GP, Faber MJ. Organizational aspects of primary care related to avoidable hospitalization: a systematic review. </w:t>
      </w:r>
      <w:r w:rsidRPr="00514A2C">
        <w:rPr>
          <w:i/>
          <w:iCs/>
        </w:rPr>
        <w:t xml:space="preserve">Fam </w:t>
      </w:r>
      <w:proofErr w:type="spellStart"/>
      <w:r w:rsidRPr="00514A2C">
        <w:rPr>
          <w:i/>
          <w:iCs/>
        </w:rPr>
        <w:t>Pract</w:t>
      </w:r>
      <w:proofErr w:type="spellEnd"/>
      <w:r w:rsidRPr="00514A2C">
        <w:rPr>
          <w:i/>
          <w:iCs/>
        </w:rPr>
        <w:t xml:space="preserve">. </w:t>
      </w:r>
      <w:r w:rsidRPr="00514A2C">
        <w:t xml:space="preserve">2014;31(5):502-516.  </w:t>
      </w:r>
    </w:p>
    <w:p w14:paraId="618313E0" w14:textId="12D63279"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514A2C">
        <w:t xml:space="preserve">Dorr DA, Wilcox AB, </w:t>
      </w:r>
      <w:proofErr w:type="spellStart"/>
      <w:r w:rsidRPr="00514A2C">
        <w:t>Brunker</w:t>
      </w:r>
      <w:proofErr w:type="spellEnd"/>
      <w:r w:rsidRPr="00514A2C">
        <w:t xml:space="preserve"> CP, Burdon RE, Donnelly SM. The effect of technology-supported, </w:t>
      </w:r>
      <w:proofErr w:type="spellStart"/>
      <w:r w:rsidRPr="00514A2C">
        <w:t>multidisease</w:t>
      </w:r>
      <w:proofErr w:type="spellEnd"/>
      <w:r w:rsidRPr="00514A2C">
        <w:t xml:space="preserve"> care management on the mortality and hospitalization of seniors. </w:t>
      </w:r>
      <w:r w:rsidR="001F1EB6">
        <w:rPr>
          <w:i/>
          <w:iCs/>
        </w:rPr>
        <w:t xml:space="preserve">U Am </w:t>
      </w:r>
      <w:proofErr w:type="spellStart"/>
      <w:r w:rsidR="001F1EB6">
        <w:rPr>
          <w:i/>
          <w:iCs/>
        </w:rPr>
        <w:t>Geriatr</w:t>
      </w:r>
      <w:proofErr w:type="spellEnd"/>
      <w:r w:rsidR="001F1EB6">
        <w:rPr>
          <w:i/>
          <w:iCs/>
        </w:rPr>
        <w:t xml:space="preserve"> Soc</w:t>
      </w:r>
      <w:r w:rsidRPr="00514A2C">
        <w:rPr>
          <w:i/>
          <w:iCs/>
        </w:rPr>
        <w:t xml:space="preserve">. </w:t>
      </w:r>
      <w:r w:rsidRPr="00514A2C">
        <w:t>2008;56(12):2195-2202.</w:t>
      </w:r>
    </w:p>
    <w:p w14:paraId="7C9E646B" w14:textId="77777777"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514A2C">
        <w:t xml:space="preserve">Levine S, Steinman BA, Attaway K, Jung T, </w:t>
      </w:r>
      <w:proofErr w:type="spellStart"/>
      <w:r w:rsidRPr="00514A2C">
        <w:t>Enguidanos</w:t>
      </w:r>
      <w:proofErr w:type="spellEnd"/>
      <w:r w:rsidRPr="00514A2C">
        <w:t xml:space="preserve"> S. Home care program for patients at high risk of hospitalization. </w:t>
      </w:r>
      <w:r w:rsidRPr="00514A2C">
        <w:rPr>
          <w:i/>
          <w:iCs/>
        </w:rPr>
        <w:t xml:space="preserve">American Journal of Managed Care. </w:t>
      </w:r>
      <w:r w:rsidRPr="00514A2C">
        <w:t>2012;18(8</w:t>
      </w:r>
      <w:proofErr w:type="gramStart"/>
      <w:r w:rsidRPr="00514A2C">
        <w:t>):e</w:t>
      </w:r>
      <w:proofErr w:type="gramEnd"/>
      <w:r w:rsidRPr="00514A2C">
        <w:t xml:space="preserve">269-276. </w:t>
      </w:r>
    </w:p>
    <w:p w14:paraId="637F5A39" w14:textId="77777777" w:rsidR="00942EA4" w:rsidRPr="00514A2C"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proofErr w:type="spellStart"/>
      <w:r w:rsidRPr="00514A2C">
        <w:t>Littleford</w:t>
      </w:r>
      <w:proofErr w:type="spellEnd"/>
      <w:r w:rsidRPr="00514A2C">
        <w:t xml:space="preserve"> A, </w:t>
      </w:r>
      <w:proofErr w:type="spellStart"/>
      <w:r w:rsidRPr="00514A2C">
        <w:t>Kralik</w:t>
      </w:r>
      <w:proofErr w:type="spellEnd"/>
      <w:r w:rsidRPr="00514A2C">
        <w:t xml:space="preserve"> D. Making a difference through integrated community care for older people. </w:t>
      </w:r>
      <w:r w:rsidRPr="00514A2C">
        <w:rPr>
          <w:i/>
          <w:iCs/>
        </w:rPr>
        <w:t xml:space="preserve">Journal of Nursing and Healthcare of Chronic Illness. </w:t>
      </w:r>
      <w:r w:rsidRPr="00514A2C">
        <w:t xml:space="preserve">2010;2(3):178-186.  </w:t>
      </w:r>
    </w:p>
    <w:p w14:paraId="27B53891" w14:textId="0F06B7A5" w:rsidR="00942EA4" w:rsidRPr="001E0606" w:rsidRDefault="00942EA4"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514A2C">
        <w:t xml:space="preserve">Zhang NJ, Wan TT, Rossiter LF, </w:t>
      </w:r>
      <w:proofErr w:type="spellStart"/>
      <w:r w:rsidRPr="00514A2C">
        <w:t>Murawski</w:t>
      </w:r>
      <w:proofErr w:type="spellEnd"/>
      <w:r w:rsidRPr="00514A2C">
        <w:t xml:space="preserve"> MM, Patel UB. Evaluation of chronic disease management on outcomes and cost of care for Medicaid beneficiaries. </w:t>
      </w:r>
      <w:r w:rsidRPr="00514A2C">
        <w:rPr>
          <w:i/>
          <w:iCs/>
        </w:rPr>
        <w:t xml:space="preserve">Health policy (Amsterdam, Netherlands). </w:t>
      </w:r>
      <w:r w:rsidRPr="00514A2C">
        <w:t xml:space="preserve">2008;86(2-3):345-354.  </w:t>
      </w:r>
    </w:p>
    <w:p w14:paraId="0FBFE87F" w14:textId="2572B1B2" w:rsidR="00355752" w:rsidRDefault="00355752"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355752">
        <w:rPr>
          <w:iCs/>
        </w:rPr>
        <w:t xml:space="preserve">Bazemore, A., et al. (2018). "Higher Primary Care Physician Continuity is Associated </w:t>
      </w:r>
      <w:proofErr w:type="gramStart"/>
      <w:r w:rsidRPr="00355752">
        <w:rPr>
          <w:iCs/>
        </w:rPr>
        <w:t>With</w:t>
      </w:r>
      <w:proofErr w:type="gramEnd"/>
      <w:r w:rsidRPr="00355752">
        <w:rPr>
          <w:iCs/>
        </w:rPr>
        <w:t xml:space="preserve"> Lower Costs and Hospitalizations."</w:t>
      </w:r>
      <w:r w:rsidRPr="0039621A">
        <w:rPr>
          <w:i/>
          <w:iCs/>
        </w:rPr>
        <w:t xml:space="preserve"> Ann Fam Med</w:t>
      </w:r>
      <w:r w:rsidR="001F1EB6">
        <w:rPr>
          <w:i/>
          <w:iCs/>
        </w:rPr>
        <w:t>.</w:t>
      </w:r>
      <w:r w:rsidRPr="00355752">
        <w:rPr>
          <w:iCs/>
        </w:rPr>
        <w:t xml:space="preserve"> 16(6): 492-497.</w:t>
      </w:r>
    </w:p>
    <w:p w14:paraId="23CD7F4C" w14:textId="3DDC720D" w:rsidR="00355752" w:rsidRDefault="00355752" w:rsidP="0039621A">
      <w:pPr>
        <w:pStyle w:val="ListParagraph"/>
        <w:numPr>
          <w:ilvl w:val="0"/>
          <w:numId w:val="16"/>
        </w:numPr>
        <w:pBdr>
          <w:top w:val="single" w:sz="4" w:space="1" w:color="auto"/>
          <w:left w:val="single" w:sz="4" w:space="4" w:color="auto"/>
          <w:bottom w:val="single" w:sz="4" w:space="1" w:color="auto"/>
          <w:right w:val="single" w:sz="4" w:space="4" w:color="auto"/>
        </w:pBdr>
        <w:spacing w:line="240" w:lineRule="auto"/>
        <w:rPr>
          <w:iCs/>
        </w:rPr>
      </w:pPr>
      <w:r w:rsidRPr="00355752">
        <w:rPr>
          <w:iCs/>
        </w:rPr>
        <w:t>O'Malley, A. S., et al. (2019). "New approaches to measuring the comprehensiveness of primary care physicians."</w:t>
      </w:r>
      <w:r w:rsidRPr="0039621A">
        <w:rPr>
          <w:i/>
          <w:iCs/>
        </w:rPr>
        <w:t xml:space="preserve"> Health Serv Res</w:t>
      </w:r>
      <w:r w:rsidR="001F1EB6">
        <w:rPr>
          <w:i/>
          <w:iCs/>
        </w:rPr>
        <w:t>.</w:t>
      </w:r>
      <w:r w:rsidRPr="00355752">
        <w:rPr>
          <w:iCs/>
        </w:rPr>
        <w:t xml:space="preserve"> 54(2): 356-366.</w:t>
      </w:r>
    </w:p>
    <w:p w14:paraId="7F97602C" w14:textId="77777777" w:rsidR="00CE3844" w:rsidRPr="001816F8" w:rsidRDefault="00CE3844" w:rsidP="00CE3844">
      <w:pPr>
        <w:pStyle w:val="ListParagraph"/>
        <w:numPr>
          <w:ilvl w:val="0"/>
          <w:numId w:val="16"/>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Pr>
          <w:sz w:val="23"/>
          <w:szCs w:val="23"/>
        </w:rPr>
        <w:t xml:space="preserve">Matzke GR, </w:t>
      </w:r>
      <w:proofErr w:type="spellStart"/>
      <w:r>
        <w:rPr>
          <w:sz w:val="23"/>
          <w:szCs w:val="23"/>
        </w:rPr>
        <w:t>Moczygemba</w:t>
      </w:r>
      <w:proofErr w:type="spellEnd"/>
      <w:r>
        <w:rPr>
          <w:sz w:val="23"/>
          <w:szCs w:val="23"/>
        </w:rPr>
        <w:t xml:space="preserve"> LR, Williams KJ, Czar MJ, Lee WT. Impact of a pharmacist–physician collaborative care model on patient outcomes and health services utilization. </w:t>
      </w:r>
      <w:r>
        <w:rPr>
          <w:i/>
          <w:iCs/>
          <w:sz w:val="23"/>
          <w:szCs w:val="23"/>
        </w:rPr>
        <w:t xml:space="preserve">American Journal of Health-System Pharmacy. </w:t>
      </w:r>
      <w:r>
        <w:rPr>
          <w:sz w:val="23"/>
          <w:szCs w:val="23"/>
        </w:rPr>
        <w:t>2018;75(14):1039-1047</w:t>
      </w:r>
    </w:p>
    <w:p w14:paraId="6D5187C5" w14:textId="77777777" w:rsidR="00CE3844" w:rsidRDefault="00CE3844" w:rsidP="00CE3844">
      <w:pPr>
        <w:pStyle w:val="ListParagraph"/>
        <w:numPr>
          <w:ilvl w:val="0"/>
          <w:numId w:val="16"/>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Pr>
          <w:sz w:val="23"/>
          <w:szCs w:val="23"/>
        </w:rPr>
        <w:t xml:space="preserve">Ruiz S, Snyder LP, </w:t>
      </w:r>
      <w:proofErr w:type="spellStart"/>
      <w:r>
        <w:rPr>
          <w:sz w:val="23"/>
          <w:szCs w:val="23"/>
        </w:rPr>
        <w:t>Rotondo</w:t>
      </w:r>
      <w:proofErr w:type="spellEnd"/>
      <w:r>
        <w:rPr>
          <w:sz w:val="23"/>
          <w:szCs w:val="23"/>
        </w:rPr>
        <w:t xml:space="preserve"> C, Cross-Barnet C, Colligan EM, </w:t>
      </w:r>
      <w:proofErr w:type="spellStart"/>
      <w:r>
        <w:rPr>
          <w:sz w:val="23"/>
          <w:szCs w:val="23"/>
        </w:rPr>
        <w:t>Giuriceo</w:t>
      </w:r>
      <w:proofErr w:type="spellEnd"/>
      <w:r>
        <w:rPr>
          <w:sz w:val="23"/>
          <w:szCs w:val="23"/>
        </w:rPr>
        <w:t xml:space="preserve"> K. Innovative Home Visit Models Associated </w:t>
      </w:r>
      <w:proofErr w:type="gramStart"/>
      <w:r>
        <w:rPr>
          <w:sz w:val="23"/>
          <w:szCs w:val="23"/>
        </w:rPr>
        <w:t>With</w:t>
      </w:r>
      <w:proofErr w:type="gramEnd"/>
      <w:r>
        <w:rPr>
          <w:sz w:val="23"/>
          <w:szCs w:val="23"/>
        </w:rPr>
        <w:t xml:space="preserve"> Reductions In Costs, Hospitalizations, And Emergency Department Use. </w:t>
      </w:r>
      <w:r>
        <w:rPr>
          <w:i/>
          <w:iCs/>
          <w:sz w:val="23"/>
          <w:szCs w:val="23"/>
        </w:rPr>
        <w:t xml:space="preserve">Health Affairs. </w:t>
      </w:r>
      <w:r>
        <w:rPr>
          <w:sz w:val="23"/>
          <w:szCs w:val="23"/>
        </w:rPr>
        <w:t xml:space="preserve">2017;36(3):425-432 </w:t>
      </w:r>
      <w:r>
        <w:t xml:space="preserve"> </w:t>
      </w:r>
    </w:p>
    <w:p w14:paraId="4D10263A" w14:textId="303C5282" w:rsidR="00CE3844" w:rsidRPr="00CE3844" w:rsidRDefault="00CE3844" w:rsidP="00461180">
      <w:pPr>
        <w:pStyle w:val="ListParagraph"/>
        <w:numPr>
          <w:ilvl w:val="0"/>
          <w:numId w:val="16"/>
        </w:numPr>
        <w:pBdr>
          <w:top w:val="single" w:sz="4" w:space="1" w:color="auto"/>
          <w:left w:val="single" w:sz="4" w:space="4" w:color="auto"/>
          <w:bottom w:val="single" w:sz="4" w:space="1" w:color="auto"/>
          <w:right w:val="single" w:sz="4" w:space="4" w:color="auto"/>
        </w:pBdr>
        <w:spacing w:before="240" w:after="240" w:line="240" w:lineRule="auto"/>
        <w:rPr>
          <w:rFonts w:cstheme="minorHAnsi"/>
        </w:rPr>
      </w:pPr>
      <w:r>
        <w:rPr>
          <w:sz w:val="23"/>
          <w:szCs w:val="23"/>
        </w:rPr>
        <w:lastRenderedPageBreak/>
        <w:t xml:space="preserve">Edwards ST, </w:t>
      </w:r>
      <w:proofErr w:type="spellStart"/>
      <w:r>
        <w:rPr>
          <w:sz w:val="23"/>
          <w:szCs w:val="23"/>
        </w:rPr>
        <w:t>Saha</w:t>
      </w:r>
      <w:proofErr w:type="spellEnd"/>
      <w:r>
        <w:rPr>
          <w:sz w:val="23"/>
          <w:szCs w:val="23"/>
        </w:rPr>
        <w:t xml:space="preserve"> S, Prentice JC, Pizer SD. Preventing Hospitalization with Veterans Affairs Home-Based Primary Care: Which Individuals Benefit Most? </w:t>
      </w:r>
      <w:r>
        <w:rPr>
          <w:i/>
          <w:iCs/>
          <w:sz w:val="23"/>
          <w:szCs w:val="23"/>
        </w:rPr>
        <w:t xml:space="preserve">Journal of the American Geriatrics Society. </w:t>
      </w:r>
      <w:r>
        <w:rPr>
          <w:sz w:val="23"/>
          <w:szCs w:val="23"/>
        </w:rPr>
        <w:t xml:space="preserve">2017;65(8):1676-1683 </w:t>
      </w:r>
      <w:r>
        <w:t xml:space="preserve"> </w:t>
      </w:r>
    </w:p>
    <w:p w14:paraId="18881F55" w14:textId="77777777" w:rsidR="00996EE4" w:rsidRDefault="00996EE4">
      <w:pPr>
        <w:rPr>
          <w:i/>
          <w:iCs/>
          <w:highlight w:val="green"/>
          <w:u w:val="single"/>
        </w:rPr>
      </w:pPr>
    </w:p>
    <w:p w14:paraId="3926BD79" w14:textId="77777777" w:rsidR="00996EE4" w:rsidRDefault="00132E82">
      <w:pPr>
        <w:rPr>
          <w:b/>
          <w:iCs/>
        </w:rPr>
      </w:pPr>
      <w:bookmarkStart w:id="7" w:name="Section1a3"/>
      <w:bookmarkEnd w:id="7"/>
      <w:commentRangeStart w:id="8"/>
      <w:r>
        <w:rPr>
          <w:b/>
          <w:iCs/>
          <w:color w:val="0000FF"/>
        </w:rPr>
        <w:t>1a</w:t>
      </w:r>
      <w:commentRangeEnd w:id="8"/>
      <w:r w:rsidR="007C3E3F">
        <w:rPr>
          <w:rStyle w:val="CommentReference"/>
        </w:rPr>
        <w:commentReference w:id="8"/>
      </w:r>
      <w:r>
        <w:rPr>
          <w:b/>
          <w:iCs/>
          <w:color w:val="0000FF"/>
        </w:rPr>
        <w:t>.3.</w:t>
      </w:r>
      <w:r>
        <w:rPr>
          <w:i/>
          <w:iCs/>
          <w:color w:val="0000FF"/>
        </w:rPr>
        <w:t xml:space="preserve"> </w:t>
      </w:r>
      <w:r>
        <w:rPr>
          <w:b/>
          <w:iCs/>
          <w:color w:val="0000FF"/>
        </w:rPr>
        <w:t>SYSTEMATIC REVIEW(SR) OF THE EVIDENCE (</w:t>
      </w:r>
      <w:r>
        <w:rPr>
          <w:b/>
          <w:iCs/>
        </w:rPr>
        <w:t>for</w:t>
      </w:r>
      <w:r>
        <w:rPr>
          <w:b/>
          <w:iCs/>
          <w:caps/>
        </w:rPr>
        <w:t xml:space="preserve"> intermediate outcome, PROCESS, or STRUCTURE PERFORMANCE measures, including those that are instrument-based)</w:t>
      </w:r>
      <w:r>
        <w:rPr>
          <w:b/>
          <w:iCs/>
        </w:rPr>
        <w:t xml:space="preserve"> If the evidence is not based on a systematic review go to section 1a.4) If you wish to include more than one systematic review, add additional tables. </w:t>
      </w:r>
    </w:p>
    <w:p w14:paraId="1E3F8A46" w14:textId="77777777" w:rsidR="00996EE4" w:rsidRDefault="00996EE4">
      <w:pPr>
        <w:rPr>
          <w:i/>
          <w:iCs/>
        </w:rPr>
      </w:pPr>
    </w:p>
    <w:p w14:paraId="06A86591" w14:textId="77777777" w:rsidR="00996EE4" w:rsidRDefault="00132E82">
      <w:pPr>
        <w:rPr>
          <w:rFonts w:ascii="Calibri" w:eastAsia="Calibri" w:hAnsi="Calibri" w:cs="Times New Roman"/>
          <w:b/>
        </w:rPr>
      </w:pPr>
      <w:r>
        <w:rPr>
          <w:rFonts w:ascii="Calibri" w:eastAsia="Calibri" w:hAnsi="Calibri" w:cs="Times New Roman"/>
          <w:b/>
        </w:rPr>
        <w:t xml:space="preserve">What is the source of the </w:t>
      </w:r>
      <w:r>
        <w:rPr>
          <w:rFonts w:ascii="Calibri" w:eastAsia="Calibri" w:hAnsi="Calibri" w:cs="Times New Roman"/>
          <w:b/>
          <w:u w:val="single"/>
        </w:rPr>
        <w:t>systematic review of the body of evidence</w:t>
      </w:r>
      <w:r>
        <w:rPr>
          <w:rFonts w:ascii="Calibri" w:eastAsia="Calibri" w:hAnsi="Calibri" w:cs="Times New Roman"/>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054D1FC1" w14:textId="77777777" w:rsidR="00996EE4" w:rsidRDefault="00132E82">
      <w:pPr>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Pr>
          <w:rFonts w:ascii="Calibri" w:eastAsia="Calibri" w:hAnsi="Calibri" w:cs="Times New Roman"/>
        </w:rPr>
        <w:t>Clinical Practice Guideline recommendation  (with evidence review)</w:t>
      </w:r>
    </w:p>
    <w:p w14:paraId="7AC7EBCD" w14:textId="77777777" w:rsidR="00996EE4" w:rsidRDefault="00132E82">
      <w:pPr>
        <w:rPr>
          <w:rFonts w:ascii="Calibri" w:eastAsia="Calibri" w:hAnsi="Calibri" w:cs="Times New Roman"/>
          <w:b/>
          <w:i/>
        </w:rPr>
      </w:pPr>
      <w:r>
        <w:rPr>
          <w:rFonts w:ascii="Times New Roman" w:eastAsia="Arial Unicode MS" w:hAnsi="Times New Roman" w:cs="Mangal" w:hint="eastAsia"/>
          <w:color w:val="0000FF"/>
          <w:kern w:val="1"/>
          <w:sz w:val="24"/>
          <w:szCs w:val="24"/>
          <w:lang w:eastAsia="hi-IN" w:bidi="hi-IN"/>
        </w:rPr>
        <w:t>☐</w:t>
      </w:r>
      <w:r>
        <w:rPr>
          <w:rFonts w:ascii="Calibri" w:eastAsia="Calibri" w:hAnsi="Calibri" w:cs="Times New Roman"/>
        </w:rPr>
        <w:t xml:space="preserve"> US Preventive Services Task Force Recommendation</w:t>
      </w:r>
    </w:p>
    <w:p w14:paraId="62AE1C9E" w14:textId="77777777" w:rsidR="00996EE4" w:rsidRDefault="00132E82">
      <w:pPr>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w:t>
      </w:r>
      <w:r>
        <w:rPr>
          <w:rFonts w:ascii="Calibri" w:eastAsia="Calibri" w:hAnsi="Calibri" w:cs="Times New Roman"/>
        </w:rPr>
        <w:t xml:space="preserve"> Other systematic review and grading of the body of evidence (</w:t>
      </w:r>
      <w:r>
        <w:rPr>
          <w:rFonts w:ascii="Calibri" w:eastAsia="Calibri" w:hAnsi="Calibri" w:cs="Times New Roman"/>
          <w:i/>
        </w:rPr>
        <w:t>e.g., Cochrane Collaboration, AHRQ Evidence Practice Center</w:t>
      </w:r>
      <w:r>
        <w:rPr>
          <w:rFonts w:ascii="Calibri" w:eastAsia="Calibri" w:hAnsi="Calibri" w:cs="Times New Roman"/>
        </w:rPr>
        <w:t xml:space="preserve">) </w:t>
      </w:r>
    </w:p>
    <w:p w14:paraId="4C8CD10F" w14:textId="77777777" w:rsidR="00996EE4" w:rsidRDefault="00132E82">
      <w:pPr>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w:t>
      </w:r>
      <w:r>
        <w:rPr>
          <w:rFonts w:ascii="Calibri" w:eastAsia="Calibri" w:hAnsi="Calibri" w:cs="Times New Roman"/>
        </w:rPr>
        <w:t xml:space="preserve"> Other </w:t>
      </w:r>
    </w:p>
    <w:p w14:paraId="513D095C" w14:textId="77777777" w:rsidR="00996EE4" w:rsidRDefault="00996EE4">
      <w:pPr>
        <w:rPr>
          <w:i/>
          <w:iCs/>
        </w:rPr>
      </w:pPr>
    </w:p>
    <w:p w14:paraId="2D9CF141" w14:textId="77777777" w:rsidR="00996EE4" w:rsidRDefault="00996EE4">
      <w:pPr>
        <w:rPr>
          <w:i/>
          <w:iCs/>
        </w:rPr>
      </w:pPr>
    </w:p>
    <w:tbl>
      <w:tblPr>
        <w:tblStyle w:val="TableGrid"/>
        <w:tblW w:w="0" w:type="auto"/>
        <w:tblLook w:val="04A0" w:firstRow="1" w:lastRow="0" w:firstColumn="1" w:lastColumn="0" w:noHBand="0" w:noVBand="1"/>
      </w:tblPr>
      <w:tblGrid>
        <w:gridCol w:w="4068"/>
        <w:gridCol w:w="5130"/>
      </w:tblGrid>
      <w:tr w:rsidR="00996EE4" w14:paraId="11EE5936" w14:textId="77777777">
        <w:tc>
          <w:tcPr>
            <w:tcW w:w="4068" w:type="dxa"/>
          </w:tcPr>
          <w:p w14:paraId="78E0147D" w14:textId="77777777" w:rsidR="00996EE4" w:rsidRDefault="00132E82">
            <w:pPr>
              <w:rPr>
                <w:b/>
              </w:rPr>
            </w:pPr>
            <w:r>
              <w:rPr>
                <w:b/>
              </w:rPr>
              <w:t>Source of Systematic Review:</w:t>
            </w:r>
          </w:p>
          <w:p w14:paraId="477F035C" w14:textId="77777777" w:rsidR="00996EE4" w:rsidRDefault="00132E82">
            <w:pPr>
              <w:pStyle w:val="ListParagraph"/>
              <w:numPr>
                <w:ilvl w:val="0"/>
                <w:numId w:val="9"/>
              </w:numPr>
              <w:rPr>
                <w:b/>
              </w:rPr>
            </w:pPr>
            <w:r>
              <w:rPr>
                <w:b/>
              </w:rPr>
              <w:t>Title</w:t>
            </w:r>
          </w:p>
          <w:p w14:paraId="6EB0B550" w14:textId="77777777" w:rsidR="00996EE4" w:rsidRDefault="00132E82">
            <w:pPr>
              <w:pStyle w:val="ListParagraph"/>
              <w:numPr>
                <w:ilvl w:val="0"/>
                <w:numId w:val="9"/>
              </w:numPr>
              <w:rPr>
                <w:b/>
              </w:rPr>
            </w:pPr>
            <w:r>
              <w:rPr>
                <w:b/>
              </w:rPr>
              <w:t>Author</w:t>
            </w:r>
          </w:p>
          <w:p w14:paraId="0C28B68D" w14:textId="77777777" w:rsidR="00996EE4" w:rsidRDefault="00132E82">
            <w:pPr>
              <w:pStyle w:val="ListParagraph"/>
              <w:numPr>
                <w:ilvl w:val="0"/>
                <w:numId w:val="9"/>
              </w:numPr>
              <w:rPr>
                <w:b/>
              </w:rPr>
            </w:pPr>
            <w:r>
              <w:rPr>
                <w:b/>
              </w:rPr>
              <w:t>Date</w:t>
            </w:r>
          </w:p>
          <w:p w14:paraId="10EFF5B3" w14:textId="77777777" w:rsidR="00996EE4" w:rsidRDefault="00132E82">
            <w:pPr>
              <w:pStyle w:val="ListParagraph"/>
              <w:numPr>
                <w:ilvl w:val="0"/>
                <w:numId w:val="9"/>
              </w:numPr>
              <w:rPr>
                <w:b/>
              </w:rPr>
            </w:pPr>
            <w:r>
              <w:rPr>
                <w:b/>
              </w:rPr>
              <w:t>Citation, including page number</w:t>
            </w:r>
          </w:p>
          <w:p w14:paraId="60B18986" w14:textId="77777777" w:rsidR="00996EE4" w:rsidRDefault="00132E82">
            <w:pPr>
              <w:pStyle w:val="ListParagraph"/>
              <w:numPr>
                <w:ilvl w:val="0"/>
                <w:numId w:val="9"/>
              </w:numPr>
              <w:rPr>
                <w:b/>
              </w:rPr>
            </w:pPr>
            <w:r>
              <w:rPr>
                <w:b/>
              </w:rPr>
              <w:t>URL</w:t>
            </w:r>
          </w:p>
        </w:tc>
        <w:tc>
          <w:tcPr>
            <w:tcW w:w="5130" w:type="dxa"/>
          </w:tcPr>
          <w:p w14:paraId="15F5CE0C" w14:textId="309B881E" w:rsidR="00996EE4" w:rsidRDefault="00996EE4">
            <w:pPr>
              <w:rPr>
                <w:b/>
              </w:rPr>
            </w:pPr>
          </w:p>
        </w:tc>
      </w:tr>
      <w:tr w:rsidR="00996EE4" w14:paraId="3EB0320E" w14:textId="77777777">
        <w:tc>
          <w:tcPr>
            <w:tcW w:w="4068" w:type="dxa"/>
          </w:tcPr>
          <w:p w14:paraId="7FE11E97" w14:textId="77777777" w:rsidR="00996EE4" w:rsidRDefault="00132E82">
            <w:r>
              <w:t>Quote the guideline or recommendation verbatim about the process, structure or intermediate outcome being measured. If not a guideline, summarize the conclusions from the SR.</w:t>
            </w:r>
          </w:p>
        </w:tc>
        <w:tc>
          <w:tcPr>
            <w:tcW w:w="5130" w:type="dxa"/>
          </w:tcPr>
          <w:p w14:paraId="7A5F8CF9" w14:textId="77777777" w:rsidR="00996EE4" w:rsidRDefault="00996EE4"/>
        </w:tc>
      </w:tr>
      <w:tr w:rsidR="00996EE4" w14:paraId="498A1B64" w14:textId="77777777">
        <w:tc>
          <w:tcPr>
            <w:tcW w:w="4068" w:type="dxa"/>
          </w:tcPr>
          <w:p w14:paraId="087D17D5" w14:textId="77777777" w:rsidR="00996EE4" w:rsidRDefault="00132E82">
            <w:r>
              <w:t xml:space="preserve">Grade assigned to the </w:t>
            </w:r>
            <w:r>
              <w:rPr>
                <w:b/>
              </w:rPr>
              <w:t>evidence</w:t>
            </w:r>
            <w:r>
              <w:t xml:space="preserve"> associated with the recommendation with the definition of the grade</w:t>
            </w:r>
          </w:p>
        </w:tc>
        <w:tc>
          <w:tcPr>
            <w:tcW w:w="5130" w:type="dxa"/>
          </w:tcPr>
          <w:p w14:paraId="42080A90" w14:textId="77777777" w:rsidR="00996EE4" w:rsidRDefault="00996EE4"/>
        </w:tc>
      </w:tr>
      <w:tr w:rsidR="00996EE4" w14:paraId="355A02C7" w14:textId="77777777">
        <w:tc>
          <w:tcPr>
            <w:tcW w:w="4068" w:type="dxa"/>
          </w:tcPr>
          <w:p w14:paraId="5249A671" w14:textId="77777777" w:rsidR="00996EE4" w:rsidRDefault="00132E82">
            <w:r>
              <w:t>Provide all other grades and definitions from the evidence grading system</w:t>
            </w:r>
          </w:p>
        </w:tc>
        <w:tc>
          <w:tcPr>
            <w:tcW w:w="5130" w:type="dxa"/>
          </w:tcPr>
          <w:p w14:paraId="6E831218" w14:textId="77777777" w:rsidR="00996EE4" w:rsidRDefault="00996EE4"/>
        </w:tc>
      </w:tr>
      <w:tr w:rsidR="00996EE4" w14:paraId="7A66B700" w14:textId="77777777">
        <w:tc>
          <w:tcPr>
            <w:tcW w:w="4068" w:type="dxa"/>
          </w:tcPr>
          <w:p w14:paraId="59296109" w14:textId="77777777" w:rsidR="00996EE4" w:rsidRDefault="00132E82">
            <w:r>
              <w:t xml:space="preserve">Grade assigned to the </w:t>
            </w:r>
            <w:r>
              <w:rPr>
                <w:b/>
              </w:rPr>
              <w:t>recommendation</w:t>
            </w:r>
            <w:r>
              <w:t xml:space="preserve"> with definition of the grade</w:t>
            </w:r>
          </w:p>
        </w:tc>
        <w:tc>
          <w:tcPr>
            <w:tcW w:w="5130" w:type="dxa"/>
          </w:tcPr>
          <w:p w14:paraId="237C80D2" w14:textId="77777777" w:rsidR="00996EE4" w:rsidRDefault="00996EE4"/>
        </w:tc>
      </w:tr>
      <w:tr w:rsidR="00996EE4" w14:paraId="21A2B4D8" w14:textId="77777777">
        <w:tc>
          <w:tcPr>
            <w:tcW w:w="4068" w:type="dxa"/>
          </w:tcPr>
          <w:p w14:paraId="51877C7A" w14:textId="77777777" w:rsidR="00996EE4" w:rsidRDefault="00132E82">
            <w:r>
              <w:t>Provide all other grades and definitions from the recommendation grading system</w:t>
            </w:r>
          </w:p>
        </w:tc>
        <w:tc>
          <w:tcPr>
            <w:tcW w:w="5130" w:type="dxa"/>
          </w:tcPr>
          <w:p w14:paraId="55BF295D" w14:textId="77777777" w:rsidR="00996EE4" w:rsidRDefault="00996EE4"/>
        </w:tc>
      </w:tr>
      <w:tr w:rsidR="00996EE4" w14:paraId="431CD05D" w14:textId="77777777">
        <w:tc>
          <w:tcPr>
            <w:tcW w:w="4068" w:type="dxa"/>
          </w:tcPr>
          <w:p w14:paraId="7A00970F" w14:textId="77777777" w:rsidR="00996EE4" w:rsidRDefault="00132E82">
            <w:r>
              <w:lastRenderedPageBreak/>
              <w:t>Body of evidence:</w:t>
            </w:r>
          </w:p>
          <w:p w14:paraId="03B01D6E" w14:textId="77777777" w:rsidR="00996EE4" w:rsidRDefault="00132E82">
            <w:pPr>
              <w:pStyle w:val="ListParagraph"/>
              <w:numPr>
                <w:ilvl w:val="0"/>
                <w:numId w:val="10"/>
              </w:numPr>
            </w:pPr>
            <w:r>
              <w:t>Quantity – how many studies?</w:t>
            </w:r>
          </w:p>
          <w:p w14:paraId="1665A58F" w14:textId="77777777" w:rsidR="00996EE4" w:rsidRDefault="00132E82">
            <w:pPr>
              <w:pStyle w:val="ListParagraph"/>
              <w:numPr>
                <w:ilvl w:val="0"/>
                <w:numId w:val="10"/>
              </w:numPr>
            </w:pPr>
            <w:r>
              <w:t>Quality – what type of studies?</w:t>
            </w:r>
          </w:p>
        </w:tc>
        <w:tc>
          <w:tcPr>
            <w:tcW w:w="5130" w:type="dxa"/>
          </w:tcPr>
          <w:p w14:paraId="548D12F3" w14:textId="77777777" w:rsidR="00996EE4" w:rsidRDefault="00996EE4"/>
        </w:tc>
      </w:tr>
      <w:tr w:rsidR="00996EE4" w14:paraId="54701845" w14:textId="77777777">
        <w:tc>
          <w:tcPr>
            <w:tcW w:w="4068" w:type="dxa"/>
          </w:tcPr>
          <w:p w14:paraId="437262B1" w14:textId="77777777" w:rsidR="00996EE4" w:rsidRDefault="00132E82">
            <w:r>
              <w:t xml:space="preserve">Estimates of benefit and consistency across studies </w:t>
            </w:r>
          </w:p>
        </w:tc>
        <w:tc>
          <w:tcPr>
            <w:tcW w:w="5130" w:type="dxa"/>
          </w:tcPr>
          <w:p w14:paraId="1640F127" w14:textId="77777777" w:rsidR="00996EE4" w:rsidRDefault="00996EE4"/>
        </w:tc>
      </w:tr>
      <w:tr w:rsidR="00996EE4" w14:paraId="0B200DD0" w14:textId="77777777">
        <w:tc>
          <w:tcPr>
            <w:tcW w:w="4068" w:type="dxa"/>
          </w:tcPr>
          <w:p w14:paraId="6B5FE442" w14:textId="77777777" w:rsidR="00996EE4" w:rsidRDefault="00132E82">
            <w:r>
              <w:t>What harms were identified?</w:t>
            </w:r>
          </w:p>
        </w:tc>
        <w:tc>
          <w:tcPr>
            <w:tcW w:w="5130" w:type="dxa"/>
          </w:tcPr>
          <w:p w14:paraId="58C4A5F8" w14:textId="77777777" w:rsidR="00996EE4" w:rsidRDefault="00996EE4"/>
        </w:tc>
      </w:tr>
      <w:tr w:rsidR="00996EE4" w14:paraId="611CBF96" w14:textId="77777777">
        <w:tc>
          <w:tcPr>
            <w:tcW w:w="4068" w:type="dxa"/>
          </w:tcPr>
          <w:p w14:paraId="67BE9B8F" w14:textId="77777777" w:rsidR="00996EE4" w:rsidRDefault="00132E82">
            <w:r>
              <w:t>Identify any new studies conducted since the SR. Do the new studies change the conclusions from the SR?</w:t>
            </w:r>
          </w:p>
        </w:tc>
        <w:tc>
          <w:tcPr>
            <w:tcW w:w="5130" w:type="dxa"/>
          </w:tcPr>
          <w:p w14:paraId="1662A33B" w14:textId="77777777" w:rsidR="00996EE4" w:rsidRDefault="00996EE4"/>
        </w:tc>
      </w:tr>
    </w:tbl>
    <w:p w14:paraId="26EEBD54" w14:textId="77777777" w:rsidR="00996EE4" w:rsidRDefault="00996EE4"/>
    <w:p w14:paraId="2FE1FF35" w14:textId="77777777" w:rsidR="00996EE4" w:rsidRDefault="00132E82">
      <w:pPr>
        <w:rPr>
          <w:b/>
          <w:color w:val="0070C0"/>
        </w:rPr>
      </w:pPr>
      <w:r>
        <w:rPr>
          <w:b/>
          <w:iCs/>
          <w:caps/>
        </w:rPr>
        <w:t>________________________</w:t>
      </w:r>
    </w:p>
    <w:p w14:paraId="0C0856DE" w14:textId="77777777" w:rsidR="00996EE4" w:rsidRDefault="00132E82">
      <w:pPr>
        <w:rPr>
          <w:b/>
        </w:rPr>
      </w:pPr>
      <w:bookmarkStart w:id="9" w:name="Section1a8"/>
      <w:bookmarkEnd w:id="9"/>
      <w:r>
        <w:rPr>
          <w:b/>
          <w:color w:val="0000FF"/>
        </w:rPr>
        <w:t xml:space="preserve">1a.4 </w:t>
      </w:r>
      <w:r>
        <w:rPr>
          <w:b/>
        </w:rPr>
        <w:t>OTHER SOURCE OF EVIDENCE</w:t>
      </w:r>
    </w:p>
    <w:p w14:paraId="36F9487C" w14:textId="77777777" w:rsidR="00996EE4" w:rsidRDefault="00132E82">
      <w:pPr>
        <w:rPr>
          <w:i/>
        </w:rPr>
      </w:pPr>
      <w:r>
        <w:rPr>
          <w:i/>
        </w:rPr>
        <w:t>If source of evidence is NOT from a clinical practice guideline, USPSTF, or systematic review, please describe the evidence on which you are basing the performance measure.</w:t>
      </w:r>
    </w:p>
    <w:p w14:paraId="145E7B9D" w14:textId="77777777" w:rsidR="00996EE4" w:rsidRDefault="00132E82">
      <w:pPr>
        <w:pBdr>
          <w:top w:val="single" w:sz="4" w:space="1" w:color="auto"/>
          <w:left w:val="single" w:sz="4" w:space="4" w:color="auto"/>
          <w:bottom w:val="single" w:sz="4" w:space="1" w:color="auto"/>
          <w:right w:val="single" w:sz="4" w:space="4" w:color="auto"/>
        </w:pBdr>
      </w:pPr>
      <w:r>
        <w:t>N/A</w:t>
      </w:r>
    </w:p>
    <w:p w14:paraId="07B90337" w14:textId="77777777" w:rsidR="00996EE4" w:rsidRDefault="00132E82">
      <w:r>
        <w:rPr>
          <w:b/>
          <w:color w:val="0000FF"/>
        </w:rPr>
        <w:t>1a.4.1</w:t>
      </w:r>
      <w:r>
        <w:rPr>
          <w:color w:val="0070C0"/>
        </w:rPr>
        <w:t xml:space="preserve"> </w:t>
      </w:r>
      <w:r>
        <w:rPr>
          <w:b/>
        </w:rPr>
        <w:t xml:space="preserve">Briefly SYNTHESIZE the evidence that supports the measure. </w:t>
      </w:r>
      <w:r>
        <w:t>A list of references without a summary is not acceptable.</w:t>
      </w:r>
    </w:p>
    <w:p w14:paraId="5FBD0BE7" w14:textId="77777777" w:rsidR="00996EE4" w:rsidRDefault="00132E82">
      <w:pPr>
        <w:pBdr>
          <w:top w:val="single" w:sz="4" w:space="1" w:color="auto"/>
          <w:left w:val="single" w:sz="4" w:space="4" w:color="auto"/>
          <w:bottom w:val="single" w:sz="4" w:space="1" w:color="auto"/>
          <w:right w:val="single" w:sz="4" w:space="4" w:color="auto"/>
        </w:pBdr>
      </w:pPr>
      <w:r>
        <w:t>N/A</w:t>
      </w:r>
    </w:p>
    <w:p w14:paraId="727E7C39" w14:textId="77777777" w:rsidR="00996EE4" w:rsidRDefault="00996EE4">
      <w:pPr>
        <w:rPr>
          <w:b/>
        </w:rPr>
      </w:pPr>
    </w:p>
    <w:p w14:paraId="797098B4" w14:textId="77777777" w:rsidR="00996EE4" w:rsidRDefault="00132E82">
      <w:r>
        <w:rPr>
          <w:b/>
          <w:color w:val="244061" w:themeColor="accent1" w:themeShade="80"/>
        </w:rPr>
        <w:t xml:space="preserve">1a.4.2 </w:t>
      </w:r>
      <w:r>
        <w:rPr>
          <w:b/>
        </w:rPr>
        <w:t>What process was used to identify the evidence?</w:t>
      </w:r>
    </w:p>
    <w:p w14:paraId="6F9F3749" w14:textId="77777777" w:rsidR="00996EE4" w:rsidRDefault="00132E82">
      <w:pPr>
        <w:pBdr>
          <w:top w:val="single" w:sz="4" w:space="1" w:color="auto"/>
          <w:left w:val="single" w:sz="4" w:space="4" w:color="auto"/>
          <w:bottom w:val="single" w:sz="4" w:space="1" w:color="auto"/>
          <w:right w:val="single" w:sz="4" w:space="4" w:color="auto"/>
        </w:pBdr>
      </w:pPr>
      <w:r>
        <w:t>N/A</w:t>
      </w:r>
    </w:p>
    <w:p w14:paraId="4A18DC23" w14:textId="77777777" w:rsidR="00996EE4" w:rsidRDefault="00996EE4">
      <w:pPr>
        <w:rPr>
          <w:b/>
          <w:color w:val="0000FF"/>
        </w:rPr>
      </w:pPr>
    </w:p>
    <w:p w14:paraId="36C204DB" w14:textId="77777777" w:rsidR="00996EE4" w:rsidRDefault="00132E82">
      <w:pPr>
        <w:rPr>
          <w:b/>
        </w:rPr>
      </w:pPr>
      <w:r>
        <w:rPr>
          <w:b/>
          <w:color w:val="0000FF"/>
        </w:rPr>
        <w:t>1a.4.3.</w:t>
      </w:r>
      <w:r>
        <w:rPr>
          <w:color w:val="0070C0"/>
        </w:rPr>
        <w:t xml:space="preserve"> </w:t>
      </w:r>
      <w:r>
        <w:rPr>
          <w:b/>
        </w:rPr>
        <w:t>Provide the citation(s) for the evidence.</w:t>
      </w:r>
    </w:p>
    <w:p w14:paraId="4C410CBD" w14:textId="77777777" w:rsidR="00996EE4" w:rsidRDefault="00132E82">
      <w:pPr>
        <w:pBdr>
          <w:top w:val="single" w:sz="4" w:space="1" w:color="auto"/>
          <w:left w:val="single" w:sz="4" w:space="4" w:color="auto"/>
          <w:bottom w:val="single" w:sz="4" w:space="1" w:color="auto"/>
          <w:right w:val="single" w:sz="4" w:space="4" w:color="auto"/>
        </w:pBdr>
      </w:pPr>
      <w:r>
        <w:t>N/A</w:t>
      </w:r>
    </w:p>
    <w:sectPr w:rsidR="00996EE4">
      <w:headerReference w:type="default" r:id="rId20"/>
      <w:footerReference w:type="default" r:id="rId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Altaf, Faseeha" w:date="2020-10-27T13:29:00Z" w:initials="AF">
    <w:p w14:paraId="39CEE313" w14:textId="49E7DA9A" w:rsidR="007C3E3F" w:rsidRDefault="007C3E3F">
      <w:pPr>
        <w:pStyle w:val="CommentText"/>
      </w:pPr>
      <w:r>
        <w:rPr>
          <w:rStyle w:val="CommentReference"/>
        </w:rPr>
        <w:annotationRef/>
      </w:r>
      <w:r>
        <w:t>The following sections are not required to be filled out since the measure being submitted is an outcome measure.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CEE3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CEE313" w16cid:durableId="23429F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5187A" w14:textId="77777777" w:rsidR="004D76FC" w:rsidRDefault="004D76FC">
      <w:r>
        <w:separator/>
      </w:r>
    </w:p>
  </w:endnote>
  <w:endnote w:type="continuationSeparator" w:id="0">
    <w:p w14:paraId="38547D85" w14:textId="77777777" w:rsidR="004D76FC" w:rsidRDefault="004D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F5FA0" w14:textId="06BB661A" w:rsidR="00996EE4" w:rsidRDefault="00132E82">
    <w:pPr>
      <w:pStyle w:val="Footer"/>
    </w:pPr>
    <w:r>
      <w:t xml:space="preserve">Version 7.1  </w:t>
    </w:r>
    <w:r>
      <w:ptab w:relativeTo="margin" w:alignment="center" w:leader="none"/>
    </w:r>
    <w:r>
      <w:ptab w:relativeTo="margin" w:alignment="right" w:leader="none"/>
    </w:r>
    <w:r>
      <w:fldChar w:fldCharType="begin"/>
    </w:r>
    <w:r>
      <w:instrText xml:space="preserve"> PAGE   \* MERGEFORMAT </w:instrText>
    </w:r>
    <w:r>
      <w:fldChar w:fldCharType="separate"/>
    </w:r>
    <w:r w:rsidR="001E0606">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1BDD6" w14:textId="77777777" w:rsidR="004D76FC" w:rsidRDefault="004D76FC">
      <w:r>
        <w:separator/>
      </w:r>
    </w:p>
  </w:footnote>
  <w:footnote w:type="continuationSeparator" w:id="0">
    <w:p w14:paraId="318F158E" w14:textId="77777777" w:rsidR="004D76FC" w:rsidRDefault="004D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1E287" w14:textId="5E993213" w:rsidR="00996EE4" w:rsidRPr="005815A2" w:rsidRDefault="00996EE4" w:rsidP="00581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9A8"/>
    <w:multiLevelType w:val="hybridMultilevel"/>
    <w:tmpl w:val="D16800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770C2A"/>
    <w:multiLevelType w:val="hybridMultilevel"/>
    <w:tmpl w:val="6A582936"/>
    <w:lvl w:ilvl="0" w:tplc="0409000F">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EFD1DFF"/>
    <w:multiLevelType w:val="hybridMultilevel"/>
    <w:tmpl w:val="E836F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B974AC"/>
    <w:multiLevelType w:val="hybridMultilevel"/>
    <w:tmpl w:val="67769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B055DA"/>
    <w:multiLevelType w:val="hybridMultilevel"/>
    <w:tmpl w:val="AF80461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3C391A"/>
    <w:multiLevelType w:val="hybridMultilevel"/>
    <w:tmpl w:val="9DD6A6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023E77"/>
    <w:multiLevelType w:val="hybridMultilevel"/>
    <w:tmpl w:val="2FECD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2"/>
  </w:num>
  <w:num w:numId="4">
    <w:abstractNumId w:val="4"/>
  </w:num>
  <w:num w:numId="5">
    <w:abstractNumId w:val="6"/>
  </w:num>
  <w:num w:numId="6">
    <w:abstractNumId w:val="5"/>
  </w:num>
  <w:num w:numId="7">
    <w:abstractNumId w:val="14"/>
  </w:num>
  <w:num w:numId="8">
    <w:abstractNumId w:val="13"/>
  </w:num>
  <w:num w:numId="9">
    <w:abstractNumId w:val="16"/>
  </w:num>
  <w:num w:numId="10">
    <w:abstractNumId w:val="1"/>
  </w:num>
  <w:num w:numId="11">
    <w:abstractNumId w:val="9"/>
  </w:num>
  <w:num w:numId="12">
    <w:abstractNumId w:val="8"/>
  </w:num>
  <w:num w:numId="13">
    <w:abstractNumId w:val="11"/>
  </w:num>
  <w:num w:numId="14">
    <w:abstractNumId w:val="17"/>
  </w:num>
  <w:num w:numId="15">
    <w:abstractNumId w:val="0"/>
  </w:num>
  <w:num w:numId="16">
    <w:abstractNumId w:val="15"/>
  </w:num>
  <w:num w:numId="1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taf, Faseeha">
    <w15:presenceInfo w15:providerId="AD" w15:userId="S-1-5-21-505881439-82067924-1220176271-411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A0Nzc2NzE1NDcxNDVV0lEKTi0uzszPAykwNKgFAPI1le8tAAAA"/>
  </w:docVars>
  <w:rsids>
    <w:rsidRoot w:val="00996EE4"/>
    <w:rsid w:val="000141C1"/>
    <w:rsid w:val="0003353C"/>
    <w:rsid w:val="000560A7"/>
    <w:rsid w:val="00063E97"/>
    <w:rsid w:val="00067AB6"/>
    <w:rsid w:val="00085451"/>
    <w:rsid w:val="000B1403"/>
    <w:rsid w:val="000F23EB"/>
    <w:rsid w:val="00120280"/>
    <w:rsid w:val="00132E82"/>
    <w:rsid w:val="00137CAA"/>
    <w:rsid w:val="00170813"/>
    <w:rsid w:val="00172B8D"/>
    <w:rsid w:val="00181219"/>
    <w:rsid w:val="001C5717"/>
    <w:rsid w:val="001E0606"/>
    <w:rsid w:val="001F1EB6"/>
    <w:rsid w:val="00200A46"/>
    <w:rsid w:val="00210711"/>
    <w:rsid w:val="0024180E"/>
    <w:rsid w:val="0025606E"/>
    <w:rsid w:val="00262B64"/>
    <w:rsid w:val="00266B74"/>
    <w:rsid w:val="002E52C3"/>
    <w:rsid w:val="00303A9E"/>
    <w:rsid w:val="003131E4"/>
    <w:rsid w:val="00355752"/>
    <w:rsid w:val="00362956"/>
    <w:rsid w:val="0039621A"/>
    <w:rsid w:val="003E32C9"/>
    <w:rsid w:val="00461180"/>
    <w:rsid w:val="00494D20"/>
    <w:rsid w:val="004C577C"/>
    <w:rsid w:val="004D76FC"/>
    <w:rsid w:val="00501429"/>
    <w:rsid w:val="0050796C"/>
    <w:rsid w:val="00520E0F"/>
    <w:rsid w:val="005233B3"/>
    <w:rsid w:val="00566CE9"/>
    <w:rsid w:val="005815A2"/>
    <w:rsid w:val="00586165"/>
    <w:rsid w:val="005B3550"/>
    <w:rsid w:val="005F5141"/>
    <w:rsid w:val="00601807"/>
    <w:rsid w:val="00634AB5"/>
    <w:rsid w:val="00692CB3"/>
    <w:rsid w:val="00703253"/>
    <w:rsid w:val="00775019"/>
    <w:rsid w:val="00792FA8"/>
    <w:rsid w:val="007A0F3E"/>
    <w:rsid w:val="007B693B"/>
    <w:rsid w:val="007C38ED"/>
    <w:rsid w:val="007C3E3F"/>
    <w:rsid w:val="00801D42"/>
    <w:rsid w:val="00823448"/>
    <w:rsid w:val="00856D80"/>
    <w:rsid w:val="008748F7"/>
    <w:rsid w:val="008B65D2"/>
    <w:rsid w:val="00904A47"/>
    <w:rsid w:val="00942EA4"/>
    <w:rsid w:val="009662FC"/>
    <w:rsid w:val="00975BED"/>
    <w:rsid w:val="00996EE4"/>
    <w:rsid w:val="009A60AA"/>
    <w:rsid w:val="009D3409"/>
    <w:rsid w:val="009E1B25"/>
    <w:rsid w:val="00A15959"/>
    <w:rsid w:val="00A31243"/>
    <w:rsid w:val="00A313C0"/>
    <w:rsid w:val="00A3560D"/>
    <w:rsid w:val="00A51AD7"/>
    <w:rsid w:val="00A638AC"/>
    <w:rsid w:val="00A84253"/>
    <w:rsid w:val="00AA6BBE"/>
    <w:rsid w:val="00AB58E8"/>
    <w:rsid w:val="00AC00B3"/>
    <w:rsid w:val="00B12F30"/>
    <w:rsid w:val="00B314E4"/>
    <w:rsid w:val="00B41736"/>
    <w:rsid w:val="00B61238"/>
    <w:rsid w:val="00B70930"/>
    <w:rsid w:val="00BA36B3"/>
    <w:rsid w:val="00BC0D2B"/>
    <w:rsid w:val="00BF4978"/>
    <w:rsid w:val="00C220C9"/>
    <w:rsid w:val="00C3401B"/>
    <w:rsid w:val="00C4125C"/>
    <w:rsid w:val="00C847CB"/>
    <w:rsid w:val="00C96C6D"/>
    <w:rsid w:val="00CC1058"/>
    <w:rsid w:val="00CE0B15"/>
    <w:rsid w:val="00CE3844"/>
    <w:rsid w:val="00D00CB2"/>
    <w:rsid w:val="00D252CD"/>
    <w:rsid w:val="00D26B09"/>
    <w:rsid w:val="00D334FC"/>
    <w:rsid w:val="00D7421F"/>
    <w:rsid w:val="00D91918"/>
    <w:rsid w:val="00D94653"/>
    <w:rsid w:val="00DB2F08"/>
    <w:rsid w:val="00DE5C39"/>
    <w:rsid w:val="00E14989"/>
    <w:rsid w:val="00E26575"/>
    <w:rsid w:val="00E31336"/>
    <w:rsid w:val="00EE7220"/>
    <w:rsid w:val="00F11C8B"/>
    <w:rsid w:val="00F50195"/>
    <w:rsid w:val="00F578F9"/>
    <w:rsid w:val="00F659D4"/>
    <w:rsid w:val="00F65B0F"/>
    <w:rsid w:val="00FE40BC"/>
    <w:rsid w:val="00FF1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30B49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6C"/>
    <w:pPr>
      <w:spacing w:after="40"/>
      <w:ind w:left="0" w:firstLine="0"/>
    </w:pPr>
  </w:style>
  <w:style w:type="paragraph" w:styleId="Heading2">
    <w:name w:val="heading 2"/>
    <w:basedOn w:val="Normal"/>
    <w:next w:val="Normal"/>
    <w:link w:val="Heading2Ch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pPr>
      <w:keepNext w:val="0"/>
      <w:keepLines w:val="0"/>
      <w:spacing w:befor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pPr>
      <w:spacing w:after="200" w:line="276" w:lineRule="auto"/>
      <w:ind w:left="720"/>
      <w:contextualSpacing/>
    </w:pPr>
    <w:rPr>
      <w:rFonts w:eastAsiaTheme="minorEastAsia"/>
    </w:rPr>
  </w:style>
  <w:style w:type="character" w:styleId="PlaceholderText">
    <w:name w:val="Placeholder Text"/>
    <w:basedOn w:val="DefaultParagraphFont"/>
    <w:uiPriority w:val="99"/>
    <w:semiHidden/>
    <w:rPr>
      <w:color w:val="808080"/>
    </w:rPr>
  </w:style>
  <w:style w:type="character" w:styleId="Hyperlink">
    <w:name w:val="Hyperlink"/>
    <w:basedOn w:val="DefaultParagraphFont"/>
    <w:uiPriority w:val="99"/>
    <w:unhideWhenUsed/>
    <w:rPr>
      <w:color w:val="0000FF" w:themeColor="hyperlink"/>
      <w:u w:val="single"/>
    </w:rPr>
  </w:style>
  <w:style w:type="character" w:customStyle="1" w:styleId="Style1">
    <w:name w:val="Style1"/>
    <w:basedOn w:val="DefaultParagraphFont"/>
    <w:uiPriority w:val="1"/>
    <w:rPr>
      <w:rFonts w:asciiTheme="minorHAnsi" w:hAnsiTheme="minorHAnsi"/>
      <w:color w:val="0000FF"/>
      <w:sz w:val="22"/>
    </w:rPr>
  </w:style>
  <w:style w:type="character" w:customStyle="1" w:styleId="Style2">
    <w:name w:val="Style2"/>
    <w:basedOn w:val="DefaultParagraphFont"/>
    <w:uiPriority w:val="1"/>
    <w:rPr>
      <w:rFonts w:asciiTheme="minorHAnsi" w:hAnsiTheme="minorHAnsi"/>
      <w:color w:val="0000FF"/>
      <w:sz w:val="22"/>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customStyle="1" w:styleId="Style3">
    <w:name w:val="Style3"/>
    <w:basedOn w:val="DefaultParagraphFont"/>
    <w:uiPriority w:val="1"/>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ind w:left="0" w:firstLine="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FootnoteText">
    <w:name w:val="footnote text"/>
    <w:basedOn w:val="Normal"/>
    <w:link w:val="FootnoteTextChar"/>
    <w:semiHidden/>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Pr>
      <w:rFonts w:ascii="Calibri" w:eastAsia="Calibri" w:hAnsi="Calibri" w:cs="Calibri"/>
      <w:b/>
      <w:bC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Pr>
      <w:rFonts w:eastAsiaTheme="minorEastAsia"/>
    </w:rPr>
  </w:style>
  <w:style w:type="paragraph" w:customStyle="1" w:styleId="Default">
    <w:name w:val="Default"/>
    <w:rsid w:val="00E31336"/>
    <w:pPr>
      <w:autoSpaceDE w:val="0"/>
      <w:autoSpaceDN w:val="0"/>
      <w:adjustRightInd w:val="0"/>
      <w:ind w:left="0" w:firstLine="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859579">
      <w:bodyDiv w:val="1"/>
      <w:marLeft w:val="0"/>
      <w:marRight w:val="0"/>
      <w:marTop w:val="0"/>
      <w:marBottom w:val="0"/>
      <w:divBdr>
        <w:top w:val="none" w:sz="0" w:space="0" w:color="auto"/>
        <w:left w:val="none" w:sz="0" w:space="0" w:color="auto"/>
        <w:bottom w:val="none" w:sz="0" w:space="0" w:color="auto"/>
        <w:right w:val="none" w:sz="0" w:space="0" w:color="auto"/>
      </w:divBdr>
      <w:divsChild>
        <w:div w:id="1074283885">
          <w:marLeft w:val="0"/>
          <w:marRight w:val="0"/>
          <w:marTop w:val="0"/>
          <w:marBottom w:val="0"/>
          <w:divBdr>
            <w:top w:val="none" w:sz="0" w:space="0" w:color="auto"/>
            <w:left w:val="none" w:sz="0" w:space="0" w:color="auto"/>
            <w:bottom w:val="none" w:sz="0" w:space="0" w:color="auto"/>
            <w:right w:val="none" w:sz="0" w:space="0" w:color="auto"/>
          </w:divBdr>
          <w:divsChild>
            <w:div w:id="1698383238">
              <w:marLeft w:val="0"/>
              <w:marRight w:val="0"/>
              <w:marTop w:val="0"/>
              <w:marBottom w:val="0"/>
              <w:divBdr>
                <w:top w:val="none" w:sz="0" w:space="0" w:color="auto"/>
                <w:left w:val="none" w:sz="0" w:space="0" w:color="auto"/>
                <w:bottom w:val="none" w:sz="0" w:space="0" w:color="auto"/>
                <w:right w:val="none" w:sz="0" w:space="0" w:color="auto"/>
              </w:divBdr>
              <w:divsChild>
                <w:div w:id="2025130868">
                  <w:marLeft w:val="0"/>
                  <w:marRight w:val="0"/>
                  <w:marTop w:val="0"/>
                  <w:marBottom w:val="0"/>
                  <w:divBdr>
                    <w:top w:val="none" w:sz="0" w:space="0" w:color="auto"/>
                    <w:left w:val="none" w:sz="0" w:space="0" w:color="auto"/>
                    <w:bottom w:val="none" w:sz="0" w:space="0" w:color="auto"/>
                    <w:right w:val="none" w:sz="0" w:space="0" w:color="auto"/>
                  </w:divBdr>
                  <w:divsChild>
                    <w:div w:id="1995715694">
                      <w:marLeft w:val="0"/>
                      <w:marRight w:val="0"/>
                      <w:marTop w:val="0"/>
                      <w:marBottom w:val="0"/>
                      <w:divBdr>
                        <w:top w:val="none" w:sz="0" w:space="0" w:color="auto"/>
                        <w:left w:val="none" w:sz="0" w:space="0" w:color="auto"/>
                        <w:bottom w:val="none" w:sz="0" w:space="0" w:color="auto"/>
                        <w:right w:val="none" w:sz="0" w:space="0" w:color="auto"/>
                      </w:divBdr>
                      <w:divsChild>
                        <w:div w:id="32386615">
                          <w:marLeft w:val="0"/>
                          <w:marRight w:val="0"/>
                          <w:marTop w:val="0"/>
                          <w:marBottom w:val="0"/>
                          <w:divBdr>
                            <w:top w:val="none" w:sz="0" w:space="0" w:color="auto"/>
                            <w:left w:val="none" w:sz="0" w:space="0" w:color="auto"/>
                            <w:bottom w:val="none" w:sz="0" w:space="0" w:color="auto"/>
                            <w:right w:val="none" w:sz="0" w:space="0" w:color="auto"/>
                          </w:divBdr>
                          <w:divsChild>
                            <w:div w:id="1078359575">
                              <w:marLeft w:val="0"/>
                              <w:marRight w:val="0"/>
                              <w:marTop w:val="0"/>
                              <w:marBottom w:val="0"/>
                              <w:divBdr>
                                <w:top w:val="none" w:sz="0" w:space="0" w:color="auto"/>
                                <w:left w:val="none" w:sz="0" w:space="0" w:color="auto"/>
                                <w:bottom w:val="none" w:sz="0" w:space="0" w:color="auto"/>
                                <w:right w:val="none" w:sz="0" w:space="0" w:color="auto"/>
                              </w:divBdr>
                              <w:divsChild>
                                <w:div w:id="596519590">
                                  <w:marLeft w:val="0"/>
                                  <w:marRight w:val="0"/>
                                  <w:marTop w:val="0"/>
                                  <w:marBottom w:val="0"/>
                                  <w:divBdr>
                                    <w:top w:val="none" w:sz="0" w:space="0" w:color="auto"/>
                                    <w:left w:val="none" w:sz="0" w:space="0" w:color="auto"/>
                                    <w:bottom w:val="none" w:sz="0" w:space="0" w:color="auto"/>
                                    <w:right w:val="none" w:sz="0" w:space="0" w:color="auto"/>
                                  </w:divBdr>
                                  <w:divsChild>
                                    <w:div w:id="523861775">
                                      <w:marLeft w:val="0"/>
                                      <w:marRight w:val="0"/>
                                      <w:marTop w:val="0"/>
                                      <w:marBottom w:val="0"/>
                                      <w:divBdr>
                                        <w:top w:val="none" w:sz="0" w:space="0" w:color="auto"/>
                                        <w:left w:val="none" w:sz="0" w:space="0" w:color="auto"/>
                                        <w:bottom w:val="none" w:sz="0" w:space="0" w:color="auto"/>
                                        <w:right w:val="none" w:sz="0" w:space="0" w:color="auto"/>
                                      </w:divBdr>
                                      <w:divsChild>
                                        <w:div w:id="1209878934">
                                          <w:marLeft w:val="0"/>
                                          <w:marRight w:val="0"/>
                                          <w:marTop w:val="0"/>
                                          <w:marBottom w:val="0"/>
                                          <w:divBdr>
                                            <w:top w:val="none" w:sz="0" w:space="0" w:color="auto"/>
                                            <w:left w:val="none" w:sz="0" w:space="0" w:color="auto"/>
                                            <w:bottom w:val="none" w:sz="0" w:space="0" w:color="auto"/>
                                            <w:right w:val="none" w:sz="0" w:space="0" w:color="auto"/>
                                          </w:divBdr>
                                          <w:divsChild>
                                            <w:div w:id="141242700">
                                              <w:marLeft w:val="0"/>
                                              <w:marRight w:val="0"/>
                                              <w:marTop w:val="0"/>
                                              <w:marBottom w:val="0"/>
                                              <w:divBdr>
                                                <w:top w:val="none" w:sz="0" w:space="0" w:color="auto"/>
                                                <w:left w:val="none" w:sz="0" w:space="0" w:color="auto"/>
                                                <w:bottom w:val="none" w:sz="0" w:space="0" w:color="auto"/>
                                                <w:right w:val="none" w:sz="0" w:space="0" w:color="auto"/>
                                              </w:divBdr>
                                              <w:divsChild>
                                                <w:div w:id="1193763527">
                                                  <w:marLeft w:val="0"/>
                                                  <w:marRight w:val="0"/>
                                                  <w:marTop w:val="0"/>
                                                  <w:marBottom w:val="0"/>
                                                  <w:divBdr>
                                                    <w:top w:val="none" w:sz="0" w:space="0" w:color="auto"/>
                                                    <w:left w:val="none" w:sz="0" w:space="0" w:color="auto"/>
                                                    <w:bottom w:val="none" w:sz="0" w:space="0" w:color="auto"/>
                                                    <w:right w:val="none" w:sz="0" w:space="0" w:color="auto"/>
                                                  </w:divBdr>
                                                  <w:divsChild>
                                                    <w:div w:id="950014529">
                                                      <w:marLeft w:val="0"/>
                                                      <w:marRight w:val="0"/>
                                                      <w:marTop w:val="0"/>
                                                      <w:marBottom w:val="0"/>
                                                      <w:divBdr>
                                                        <w:top w:val="none" w:sz="0" w:space="0" w:color="auto"/>
                                                        <w:left w:val="none" w:sz="0" w:space="0" w:color="auto"/>
                                                        <w:bottom w:val="none" w:sz="0" w:space="0" w:color="auto"/>
                                                        <w:right w:val="none" w:sz="0" w:space="0" w:color="auto"/>
                                                      </w:divBdr>
                                                      <w:divsChild>
                                                        <w:div w:id="1571770312">
                                                          <w:marLeft w:val="0"/>
                                                          <w:marRight w:val="0"/>
                                                          <w:marTop w:val="0"/>
                                                          <w:marBottom w:val="0"/>
                                                          <w:divBdr>
                                                            <w:top w:val="none" w:sz="0" w:space="0" w:color="auto"/>
                                                            <w:left w:val="none" w:sz="0" w:space="0" w:color="auto"/>
                                                            <w:bottom w:val="none" w:sz="0" w:space="0" w:color="auto"/>
                                                            <w:right w:val="none" w:sz="0" w:space="0" w:color="auto"/>
                                                          </w:divBdr>
                                                          <w:divsChild>
                                                            <w:div w:id="802385116">
                                                              <w:marLeft w:val="0"/>
                                                              <w:marRight w:val="0"/>
                                                              <w:marTop w:val="15"/>
                                                              <w:marBottom w:val="0"/>
                                                              <w:divBdr>
                                                                <w:top w:val="none" w:sz="0" w:space="0" w:color="auto"/>
                                                                <w:left w:val="none" w:sz="0" w:space="0" w:color="auto"/>
                                                                <w:bottom w:val="none" w:sz="0" w:space="0" w:color="auto"/>
                                                                <w:right w:val="none" w:sz="0" w:space="0" w:color="auto"/>
                                                              </w:divBdr>
                                                              <w:divsChild>
                                                                <w:div w:id="310869462">
                                                                  <w:marLeft w:val="0"/>
                                                                  <w:marRight w:val="0"/>
                                                                  <w:marTop w:val="0"/>
                                                                  <w:marBottom w:val="0"/>
                                                                  <w:divBdr>
                                                                    <w:top w:val="none" w:sz="0" w:space="0" w:color="auto"/>
                                                                    <w:left w:val="none" w:sz="0" w:space="0" w:color="auto"/>
                                                                    <w:bottom w:val="none" w:sz="0" w:space="0" w:color="auto"/>
                                                                    <w:right w:val="none" w:sz="0" w:space="0" w:color="auto"/>
                                                                  </w:divBdr>
                                                                  <w:divsChild>
                                                                    <w:div w:id="369570625">
                                                                      <w:marLeft w:val="0"/>
                                                                      <w:marRight w:val="0"/>
                                                                      <w:marTop w:val="0"/>
                                                                      <w:marBottom w:val="0"/>
                                                                      <w:divBdr>
                                                                        <w:top w:val="none" w:sz="0" w:space="0" w:color="auto"/>
                                                                        <w:left w:val="none" w:sz="0" w:space="0" w:color="auto"/>
                                                                        <w:bottom w:val="none" w:sz="0" w:space="0" w:color="auto"/>
                                                                        <w:right w:val="none" w:sz="0" w:space="0" w:color="auto"/>
                                                                      </w:divBdr>
                                                                    </w:div>
                                                                    <w:div w:id="1775854963">
                                                                      <w:marLeft w:val="0"/>
                                                                      <w:marRight w:val="0"/>
                                                                      <w:marTop w:val="0"/>
                                                                      <w:marBottom w:val="0"/>
                                                                      <w:divBdr>
                                                                        <w:top w:val="none" w:sz="0" w:space="0" w:color="auto"/>
                                                                        <w:left w:val="none" w:sz="0" w:space="0" w:color="auto"/>
                                                                        <w:bottom w:val="none" w:sz="0" w:space="0" w:color="auto"/>
                                                                        <w:right w:val="none" w:sz="0" w:space="0" w:color="auto"/>
                                                                      </w:divBdr>
                                                                    </w:div>
                                                                    <w:div w:id="519248217">
                                                                      <w:marLeft w:val="0"/>
                                                                      <w:marRight w:val="0"/>
                                                                      <w:marTop w:val="0"/>
                                                                      <w:marBottom w:val="0"/>
                                                                      <w:divBdr>
                                                                        <w:top w:val="none" w:sz="0" w:space="0" w:color="auto"/>
                                                                        <w:left w:val="none" w:sz="0" w:space="0" w:color="auto"/>
                                                                        <w:bottom w:val="none" w:sz="0" w:space="0" w:color="auto"/>
                                                                        <w:right w:val="none" w:sz="0" w:space="0" w:color="auto"/>
                                                                      </w:divBdr>
                                                                    </w:div>
                                                                    <w:div w:id="1772622258">
                                                                      <w:marLeft w:val="0"/>
                                                                      <w:marRight w:val="0"/>
                                                                      <w:marTop w:val="0"/>
                                                                      <w:marBottom w:val="0"/>
                                                                      <w:divBdr>
                                                                        <w:top w:val="none" w:sz="0" w:space="0" w:color="auto"/>
                                                                        <w:left w:val="none" w:sz="0" w:space="0" w:color="auto"/>
                                                                        <w:bottom w:val="none" w:sz="0" w:space="0" w:color="auto"/>
                                                                        <w:right w:val="none" w:sz="0" w:space="0" w:color="auto"/>
                                                                      </w:divBdr>
                                                                    </w:div>
                                                                    <w:div w:id="1675067040">
                                                                      <w:marLeft w:val="0"/>
                                                                      <w:marRight w:val="0"/>
                                                                      <w:marTop w:val="0"/>
                                                                      <w:marBottom w:val="0"/>
                                                                      <w:divBdr>
                                                                        <w:top w:val="none" w:sz="0" w:space="0" w:color="auto"/>
                                                                        <w:left w:val="none" w:sz="0" w:space="0" w:color="auto"/>
                                                                        <w:bottom w:val="none" w:sz="0" w:space="0" w:color="auto"/>
                                                                        <w:right w:val="none" w:sz="0" w:space="0" w:color="auto"/>
                                                                      </w:divBdr>
                                                                    </w:div>
                                                                    <w:div w:id="2126121780">
                                                                      <w:marLeft w:val="0"/>
                                                                      <w:marRight w:val="0"/>
                                                                      <w:marTop w:val="0"/>
                                                                      <w:marBottom w:val="0"/>
                                                                      <w:divBdr>
                                                                        <w:top w:val="none" w:sz="0" w:space="0" w:color="auto"/>
                                                                        <w:left w:val="none" w:sz="0" w:space="0" w:color="auto"/>
                                                                        <w:bottom w:val="none" w:sz="0" w:space="0" w:color="auto"/>
                                                                        <w:right w:val="none" w:sz="0" w:space="0" w:color="auto"/>
                                                                      </w:divBdr>
                                                                    </w:div>
                                                                    <w:div w:id="1114054860">
                                                                      <w:marLeft w:val="0"/>
                                                                      <w:marRight w:val="0"/>
                                                                      <w:marTop w:val="0"/>
                                                                      <w:marBottom w:val="0"/>
                                                                      <w:divBdr>
                                                                        <w:top w:val="none" w:sz="0" w:space="0" w:color="auto"/>
                                                                        <w:left w:val="none" w:sz="0" w:space="0" w:color="auto"/>
                                                                        <w:bottom w:val="none" w:sz="0" w:space="0" w:color="auto"/>
                                                                        <w:right w:val="none" w:sz="0" w:space="0" w:color="auto"/>
                                                                      </w:divBdr>
                                                                    </w:div>
                                                                    <w:div w:id="1351755175">
                                                                      <w:marLeft w:val="0"/>
                                                                      <w:marRight w:val="0"/>
                                                                      <w:marTop w:val="0"/>
                                                                      <w:marBottom w:val="0"/>
                                                                      <w:divBdr>
                                                                        <w:top w:val="none" w:sz="0" w:space="0" w:color="auto"/>
                                                                        <w:left w:val="none" w:sz="0" w:space="0" w:color="auto"/>
                                                                        <w:bottom w:val="none" w:sz="0" w:space="0" w:color="auto"/>
                                                                        <w:right w:val="none" w:sz="0" w:space="0" w:color="auto"/>
                                                                      </w:divBdr>
                                                                    </w:div>
                                                                    <w:div w:id="261841861">
                                                                      <w:marLeft w:val="0"/>
                                                                      <w:marRight w:val="0"/>
                                                                      <w:marTop w:val="0"/>
                                                                      <w:marBottom w:val="0"/>
                                                                      <w:divBdr>
                                                                        <w:top w:val="none" w:sz="0" w:space="0" w:color="auto"/>
                                                                        <w:left w:val="none" w:sz="0" w:space="0" w:color="auto"/>
                                                                        <w:bottom w:val="none" w:sz="0" w:space="0" w:color="auto"/>
                                                                        <w:right w:val="none" w:sz="0" w:space="0" w:color="auto"/>
                                                                      </w:divBdr>
                                                                    </w:div>
                                                                    <w:div w:id="39486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26024693">
      <w:bodyDiv w:val="1"/>
      <w:marLeft w:val="0"/>
      <w:marRight w:val="0"/>
      <w:marTop w:val="0"/>
      <w:marBottom w:val="0"/>
      <w:divBdr>
        <w:top w:val="none" w:sz="0" w:space="0" w:color="auto"/>
        <w:left w:val="none" w:sz="0" w:space="0" w:color="auto"/>
        <w:bottom w:val="none" w:sz="0" w:space="0" w:color="auto"/>
        <w:right w:val="none" w:sz="0" w:space="0" w:color="auto"/>
      </w:divBdr>
    </w:div>
    <w:div w:id="1319071106">
      <w:bodyDiv w:val="1"/>
      <w:marLeft w:val="0"/>
      <w:marRight w:val="0"/>
      <w:marTop w:val="0"/>
      <w:marBottom w:val="0"/>
      <w:divBdr>
        <w:top w:val="none" w:sz="0" w:space="0" w:color="auto"/>
        <w:left w:val="none" w:sz="0" w:space="0" w:color="auto"/>
        <w:bottom w:val="none" w:sz="0" w:space="0" w:color="auto"/>
        <w:right w:val="none" w:sz="0" w:space="0" w:color="auto"/>
      </w:divBdr>
    </w:div>
    <w:div w:id="1345281569">
      <w:bodyDiv w:val="1"/>
      <w:marLeft w:val="0"/>
      <w:marRight w:val="0"/>
      <w:marTop w:val="0"/>
      <w:marBottom w:val="0"/>
      <w:divBdr>
        <w:top w:val="none" w:sz="0" w:space="0" w:color="auto"/>
        <w:left w:val="none" w:sz="0" w:space="0" w:color="auto"/>
        <w:bottom w:val="none" w:sz="0" w:space="0" w:color="auto"/>
        <w:right w:val="none" w:sz="0" w:space="0" w:color="auto"/>
      </w:divBdr>
    </w:div>
    <w:div w:id="1558007841">
      <w:bodyDiv w:val="1"/>
      <w:marLeft w:val="0"/>
      <w:marRight w:val="0"/>
      <w:marTop w:val="0"/>
      <w:marBottom w:val="0"/>
      <w:divBdr>
        <w:top w:val="none" w:sz="0" w:space="0" w:color="auto"/>
        <w:left w:val="none" w:sz="0" w:space="0" w:color="auto"/>
        <w:bottom w:val="none" w:sz="0" w:space="0" w:color="auto"/>
        <w:right w:val="none" w:sz="0" w:space="0" w:color="auto"/>
      </w:divBdr>
    </w:div>
    <w:div w:id="1687634893">
      <w:bodyDiv w:val="1"/>
      <w:marLeft w:val="0"/>
      <w:marRight w:val="0"/>
      <w:marTop w:val="0"/>
      <w:marBottom w:val="0"/>
      <w:divBdr>
        <w:top w:val="none" w:sz="0" w:space="0" w:color="auto"/>
        <w:left w:val="none" w:sz="0" w:space="0" w:color="auto"/>
        <w:bottom w:val="none" w:sz="0" w:space="0" w:color="auto"/>
        <w:right w:val="none" w:sz="0" w:space="0" w:color="auto"/>
      </w:divBdr>
      <w:divsChild>
        <w:div w:id="139540280">
          <w:marLeft w:val="0"/>
          <w:marRight w:val="0"/>
          <w:marTop w:val="0"/>
          <w:marBottom w:val="0"/>
          <w:divBdr>
            <w:top w:val="none" w:sz="0" w:space="0" w:color="auto"/>
            <w:left w:val="none" w:sz="0" w:space="0" w:color="auto"/>
            <w:bottom w:val="none" w:sz="0" w:space="0" w:color="auto"/>
            <w:right w:val="none" w:sz="0" w:space="0" w:color="auto"/>
          </w:divBdr>
          <w:divsChild>
            <w:div w:id="120925237">
              <w:marLeft w:val="0"/>
              <w:marRight w:val="0"/>
              <w:marTop w:val="0"/>
              <w:marBottom w:val="0"/>
              <w:divBdr>
                <w:top w:val="none" w:sz="0" w:space="0" w:color="auto"/>
                <w:left w:val="none" w:sz="0" w:space="0" w:color="auto"/>
                <w:bottom w:val="none" w:sz="0" w:space="0" w:color="auto"/>
                <w:right w:val="none" w:sz="0" w:space="0" w:color="auto"/>
              </w:divBdr>
              <w:divsChild>
                <w:div w:id="1709448958">
                  <w:marLeft w:val="0"/>
                  <w:marRight w:val="0"/>
                  <w:marTop w:val="0"/>
                  <w:marBottom w:val="0"/>
                  <w:divBdr>
                    <w:top w:val="none" w:sz="0" w:space="0" w:color="auto"/>
                    <w:left w:val="none" w:sz="0" w:space="0" w:color="auto"/>
                    <w:bottom w:val="none" w:sz="0" w:space="0" w:color="auto"/>
                    <w:right w:val="none" w:sz="0" w:space="0" w:color="auto"/>
                  </w:divBdr>
                  <w:divsChild>
                    <w:div w:id="24445608">
                      <w:marLeft w:val="0"/>
                      <w:marRight w:val="0"/>
                      <w:marTop w:val="0"/>
                      <w:marBottom w:val="0"/>
                      <w:divBdr>
                        <w:top w:val="none" w:sz="0" w:space="0" w:color="auto"/>
                        <w:left w:val="none" w:sz="0" w:space="0" w:color="auto"/>
                        <w:bottom w:val="none" w:sz="0" w:space="0" w:color="auto"/>
                        <w:right w:val="none" w:sz="0" w:space="0" w:color="auto"/>
                      </w:divBdr>
                      <w:divsChild>
                        <w:div w:id="1002319992">
                          <w:marLeft w:val="0"/>
                          <w:marRight w:val="0"/>
                          <w:marTop w:val="0"/>
                          <w:marBottom w:val="0"/>
                          <w:divBdr>
                            <w:top w:val="none" w:sz="0" w:space="0" w:color="auto"/>
                            <w:left w:val="none" w:sz="0" w:space="0" w:color="auto"/>
                            <w:bottom w:val="none" w:sz="0" w:space="0" w:color="auto"/>
                            <w:right w:val="none" w:sz="0" w:space="0" w:color="auto"/>
                          </w:divBdr>
                          <w:divsChild>
                            <w:div w:id="1516535521">
                              <w:marLeft w:val="0"/>
                              <w:marRight w:val="0"/>
                              <w:marTop w:val="0"/>
                              <w:marBottom w:val="0"/>
                              <w:divBdr>
                                <w:top w:val="none" w:sz="0" w:space="0" w:color="auto"/>
                                <w:left w:val="none" w:sz="0" w:space="0" w:color="auto"/>
                                <w:bottom w:val="none" w:sz="0" w:space="0" w:color="auto"/>
                                <w:right w:val="none" w:sz="0" w:space="0" w:color="auto"/>
                              </w:divBdr>
                              <w:divsChild>
                                <w:div w:id="1510019075">
                                  <w:marLeft w:val="0"/>
                                  <w:marRight w:val="0"/>
                                  <w:marTop w:val="0"/>
                                  <w:marBottom w:val="0"/>
                                  <w:divBdr>
                                    <w:top w:val="none" w:sz="0" w:space="0" w:color="auto"/>
                                    <w:left w:val="none" w:sz="0" w:space="0" w:color="auto"/>
                                    <w:bottom w:val="none" w:sz="0" w:space="0" w:color="auto"/>
                                    <w:right w:val="none" w:sz="0" w:space="0" w:color="auto"/>
                                  </w:divBdr>
                                  <w:divsChild>
                                    <w:div w:id="2139370992">
                                      <w:marLeft w:val="0"/>
                                      <w:marRight w:val="0"/>
                                      <w:marTop w:val="0"/>
                                      <w:marBottom w:val="0"/>
                                      <w:divBdr>
                                        <w:top w:val="none" w:sz="0" w:space="0" w:color="auto"/>
                                        <w:left w:val="none" w:sz="0" w:space="0" w:color="auto"/>
                                        <w:bottom w:val="none" w:sz="0" w:space="0" w:color="auto"/>
                                        <w:right w:val="none" w:sz="0" w:space="0" w:color="auto"/>
                                      </w:divBdr>
                                      <w:divsChild>
                                        <w:div w:id="139466196">
                                          <w:marLeft w:val="0"/>
                                          <w:marRight w:val="0"/>
                                          <w:marTop w:val="0"/>
                                          <w:marBottom w:val="0"/>
                                          <w:divBdr>
                                            <w:top w:val="none" w:sz="0" w:space="0" w:color="auto"/>
                                            <w:left w:val="none" w:sz="0" w:space="0" w:color="auto"/>
                                            <w:bottom w:val="none" w:sz="0" w:space="0" w:color="auto"/>
                                            <w:right w:val="none" w:sz="0" w:space="0" w:color="auto"/>
                                          </w:divBdr>
                                          <w:divsChild>
                                            <w:div w:id="884099120">
                                              <w:marLeft w:val="0"/>
                                              <w:marRight w:val="0"/>
                                              <w:marTop w:val="0"/>
                                              <w:marBottom w:val="0"/>
                                              <w:divBdr>
                                                <w:top w:val="none" w:sz="0" w:space="0" w:color="auto"/>
                                                <w:left w:val="none" w:sz="0" w:space="0" w:color="auto"/>
                                                <w:bottom w:val="none" w:sz="0" w:space="0" w:color="auto"/>
                                                <w:right w:val="none" w:sz="0" w:space="0" w:color="auto"/>
                                              </w:divBdr>
                                              <w:divsChild>
                                                <w:div w:id="1802112573">
                                                  <w:marLeft w:val="0"/>
                                                  <w:marRight w:val="0"/>
                                                  <w:marTop w:val="0"/>
                                                  <w:marBottom w:val="0"/>
                                                  <w:divBdr>
                                                    <w:top w:val="none" w:sz="0" w:space="0" w:color="auto"/>
                                                    <w:left w:val="none" w:sz="0" w:space="0" w:color="auto"/>
                                                    <w:bottom w:val="none" w:sz="0" w:space="0" w:color="auto"/>
                                                    <w:right w:val="none" w:sz="0" w:space="0" w:color="auto"/>
                                                  </w:divBdr>
                                                  <w:divsChild>
                                                    <w:div w:id="484862025">
                                                      <w:marLeft w:val="0"/>
                                                      <w:marRight w:val="0"/>
                                                      <w:marTop w:val="0"/>
                                                      <w:marBottom w:val="0"/>
                                                      <w:divBdr>
                                                        <w:top w:val="none" w:sz="0" w:space="0" w:color="auto"/>
                                                        <w:left w:val="none" w:sz="0" w:space="0" w:color="auto"/>
                                                        <w:bottom w:val="none" w:sz="0" w:space="0" w:color="auto"/>
                                                        <w:right w:val="none" w:sz="0" w:space="0" w:color="auto"/>
                                                      </w:divBdr>
                                                      <w:divsChild>
                                                        <w:div w:id="625815356">
                                                          <w:marLeft w:val="0"/>
                                                          <w:marRight w:val="0"/>
                                                          <w:marTop w:val="0"/>
                                                          <w:marBottom w:val="0"/>
                                                          <w:divBdr>
                                                            <w:top w:val="none" w:sz="0" w:space="0" w:color="auto"/>
                                                            <w:left w:val="none" w:sz="0" w:space="0" w:color="auto"/>
                                                            <w:bottom w:val="none" w:sz="0" w:space="0" w:color="auto"/>
                                                            <w:right w:val="none" w:sz="0" w:space="0" w:color="auto"/>
                                                          </w:divBdr>
                                                          <w:divsChild>
                                                            <w:div w:id="2085643402">
                                                              <w:marLeft w:val="0"/>
                                                              <w:marRight w:val="0"/>
                                                              <w:marTop w:val="15"/>
                                                              <w:marBottom w:val="0"/>
                                                              <w:divBdr>
                                                                <w:top w:val="none" w:sz="0" w:space="0" w:color="auto"/>
                                                                <w:left w:val="none" w:sz="0" w:space="0" w:color="auto"/>
                                                                <w:bottom w:val="none" w:sz="0" w:space="0" w:color="auto"/>
                                                                <w:right w:val="none" w:sz="0" w:space="0" w:color="auto"/>
                                                              </w:divBdr>
                                                              <w:divsChild>
                                                                <w:div w:id="1381049476">
                                                                  <w:marLeft w:val="0"/>
                                                                  <w:marRight w:val="0"/>
                                                                  <w:marTop w:val="0"/>
                                                                  <w:marBottom w:val="0"/>
                                                                  <w:divBdr>
                                                                    <w:top w:val="none" w:sz="0" w:space="0" w:color="auto"/>
                                                                    <w:left w:val="none" w:sz="0" w:space="0" w:color="auto"/>
                                                                    <w:bottom w:val="none" w:sz="0" w:space="0" w:color="auto"/>
                                                                    <w:right w:val="none" w:sz="0" w:space="0" w:color="auto"/>
                                                                  </w:divBdr>
                                                                  <w:divsChild>
                                                                    <w:div w:id="1503468733">
                                                                      <w:marLeft w:val="0"/>
                                                                      <w:marRight w:val="0"/>
                                                                      <w:marTop w:val="0"/>
                                                                      <w:marBottom w:val="0"/>
                                                                      <w:divBdr>
                                                                        <w:top w:val="none" w:sz="0" w:space="0" w:color="auto"/>
                                                                        <w:left w:val="none" w:sz="0" w:space="0" w:color="auto"/>
                                                                        <w:bottom w:val="none" w:sz="0" w:space="0" w:color="auto"/>
                                                                        <w:right w:val="none" w:sz="0" w:space="0" w:color="auto"/>
                                                                      </w:divBdr>
                                                                    </w:div>
                                                                    <w:div w:id="131409527">
                                                                      <w:marLeft w:val="0"/>
                                                                      <w:marRight w:val="0"/>
                                                                      <w:marTop w:val="0"/>
                                                                      <w:marBottom w:val="0"/>
                                                                      <w:divBdr>
                                                                        <w:top w:val="none" w:sz="0" w:space="0" w:color="auto"/>
                                                                        <w:left w:val="none" w:sz="0" w:space="0" w:color="auto"/>
                                                                        <w:bottom w:val="none" w:sz="0" w:space="0" w:color="auto"/>
                                                                        <w:right w:val="none" w:sz="0" w:space="0" w:color="auto"/>
                                                                      </w:divBdr>
                                                                    </w:div>
                                                                    <w:div w:id="1155603734">
                                                                      <w:marLeft w:val="0"/>
                                                                      <w:marRight w:val="0"/>
                                                                      <w:marTop w:val="0"/>
                                                                      <w:marBottom w:val="0"/>
                                                                      <w:divBdr>
                                                                        <w:top w:val="none" w:sz="0" w:space="0" w:color="auto"/>
                                                                        <w:left w:val="none" w:sz="0" w:space="0" w:color="auto"/>
                                                                        <w:bottom w:val="none" w:sz="0" w:space="0" w:color="auto"/>
                                                                        <w:right w:val="none" w:sz="0" w:space="0" w:color="auto"/>
                                                                      </w:divBdr>
                                                                    </w:div>
                                                                    <w:div w:id="1737243386">
                                                                      <w:marLeft w:val="0"/>
                                                                      <w:marRight w:val="0"/>
                                                                      <w:marTop w:val="0"/>
                                                                      <w:marBottom w:val="0"/>
                                                                      <w:divBdr>
                                                                        <w:top w:val="none" w:sz="0" w:space="0" w:color="auto"/>
                                                                        <w:left w:val="none" w:sz="0" w:space="0" w:color="auto"/>
                                                                        <w:bottom w:val="none" w:sz="0" w:space="0" w:color="auto"/>
                                                                        <w:right w:val="none" w:sz="0" w:space="0" w:color="auto"/>
                                                                      </w:divBdr>
                                                                    </w:div>
                                                                    <w:div w:id="708142981">
                                                                      <w:marLeft w:val="0"/>
                                                                      <w:marRight w:val="0"/>
                                                                      <w:marTop w:val="0"/>
                                                                      <w:marBottom w:val="0"/>
                                                                      <w:divBdr>
                                                                        <w:top w:val="none" w:sz="0" w:space="0" w:color="auto"/>
                                                                        <w:left w:val="none" w:sz="0" w:space="0" w:color="auto"/>
                                                                        <w:bottom w:val="none" w:sz="0" w:space="0" w:color="auto"/>
                                                                        <w:right w:val="none" w:sz="0" w:space="0" w:color="auto"/>
                                                                      </w:divBdr>
                                                                    </w:div>
                                                                    <w:div w:id="312568330">
                                                                      <w:marLeft w:val="0"/>
                                                                      <w:marRight w:val="0"/>
                                                                      <w:marTop w:val="0"/>
                                                                      <w:marBottom w:val="0"/>
                                                                      <w:divBdr>
                                                                        <w:top w:val="none" w:sz="0" w:space="0" w:color="auto"/>
                                                                        <w:left w:val="none" w:sz="0" w:space="0" w:color="auto"/>
                                                                        <w:bottom w:val="none" w:sz="0" w:space="0" w:color="auto"/>
                                                                        <w:right w:val="none" w:sz="0" w:space="0" w:color="auto"/>
                                                                      </w:divBdr>
                                                                    </w:div>
                                                                    <w:div w:id="680669018">
                                                                      <w:marLeft w:val="0"/>
                                                                      <w:marRight w:val="0"/>
                                                                      <w:marTop w:val="0"/>
                                                                      <w:marBottom w:val="0"/>
                                                                      <w:divBdr>
                                                                        <w:top w:val="none" w:sz="0" w:space="0" w:color="auto"/>
                                                                        <w:left w:val="none" w:sz="0" w:space="0" w:color="auto"/>
                                                                        <w:bottom w:val="none" w:sz="0" w:space="0" w:color="auto"/>
                                                                        <w:right w:val="none" w:sz="0" w:space="0" w:color="auto"/>
                                                                      </w:divBdr>
                                                                    </w:div>
                                                                    <w:div w:id="612713351">
                                                                      <w:marLeft w:val="0"/>
                                                                      <w:marRight w:val="0"/>
                                                                      <w:marTop w:val="0"/>
                                                                      <w:marBottom w:val="0"/>
                                                                      <w:divBdr>
                                                                        <w:top w:val="none" w:sz="0" w:space="0" w:color="auto"/>
                                                                        <w:left w:val="none" w:sz="0" w:space="0" w:color="auto"/>
                                                                        <w:bottom w:val="none" w:sz="0" w:space="0" w:color="auto"/>
                                                                        <w:right w:val="none" w:sz="0" w:space="0" w:color="auto"/>
                                                                      </w:divBdr>
                                                                    </w:div>
                                                                    <w:div w:id="922226698">
                                                                      <w:marLeft w:val="0"/>
                                                                      <w:marRight w:val="0"/>
                                                                      <w:marTop w:val="0"/>
                                                                      <w:marBottom w:val="0"/>
                                                                      <w:divBdr>
                                                                        <w:top w:val="none" w:sz="0" w:space="0" w:color="auto"/>
                                                                        <w:left w:val="none" w:sz="0" w:space="0" w:color="auto"/>
                                                                        <w:bottom w:val="none" w:sz="0" w:space="0" w:color="auto"/>
                                                                        <w:right w:val="none" w:sz="0" w:space="0" w:color="auto"/>
                                                                      </w:divBdr>
                                                                    </w:div>
                                                                    <w:div w:id="124402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5E47DD" w:rsidRDefault="00F72D58">
          <w:pPr>
            <w:pStyle w:val="8924E7CB4D5C4CC4905BEA5FE80343E53"/>
          </w:pPr>
          <w:r>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5E47DD" w:rsidRDefault="00F72D58">
          <w:pPr>
            <w:pStyle w:val="AB1B0578B87C4E9EA043F449B0E6989F2"/>
          </w:pPr>
          <w:r>
            <w:rPr>
              <w:rStyle w:val="PlaceholderText"/>
            </w:rPr>
            <w:t>Click here to enter NQF number</w:t>
          </w:r>
        </w:p>
      </w:docPartBody>
    </w:docPart>
    <w:docPart>
      <w:docPartPr>
        <w:name w:val="290B7F71793147E7A252ACA4048130B3"/>
        <w:category>
          <w:name w:val="General"/>
          <w:gallery w:val="placeholder"/>
        </w:category>
        <w:types>
          <w:type w:val="bbPlcHdr"/>
        </w:types>
        <w:behaviors>
          <w:behavior w:val="content"/>
        </w:behaviors>
        <w:guid w:val="{6D68C357-08A1-4556-B52B-3C37BC9847D5}"/>
      </w:docPartPr>
      <w:docPartBody>
        <w:p w:rsidR="00E323FF" w:rsidRDefault="006F6DEE" w:rsidP="006F6DEE">
          <w:pPr>
            <w:pStyle w:val="290B7F71793147E7A252ACA4048130B3"/>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47DD"/>
    <w:rsid w:val="000961B4"/>
    <w:rsid w:val="001741D5"/>
    <w:rsid w:val="002522F6"/>
    <w:rsid w:val="00313961"/>
    <w:rsid w:val="00426E79"/>
    <w:rsid w:val="004C773E"/>
    <w:rsid w:val="00583059"/>
    <w:rsid w:val="005D515B"/>
    <w:rsid w:val="005E47DD"/>
    <w:rsid w:val="0060067B"/>
    <w:rsid w:val="00614C4D"/>
    <w:rsid w:val="006344AF"/>
    <w:rsid w:val="006F6DEE"/>
    <w:rsid w:val="007010CF"/>
    <w:rsid w:val="007055D7"/>
    <w:rsid w:val="00710693"/>
    <w:rsid w:val="00765D94"/>
    <w:rsid w:val="00820117"/>
    <w:rsid w:val="00826A76"/>
    <w:rsid w:val="00886A96"/>
    <w:rsid w:val="008A04D4"/>
    <w:rsid w:val="00904AE9"/>
    <w:rsid w:val="00925D45"/>
    <w:rsid w:val="009408A6"/>
    <w:rsid w:val="00A510AC"/>
    <w:rsid w:val="00B07639"/>
    <w:rsid w:val="00C752D2"/>
    <w:rsid w:val="00C930AC"/>
    <w:rsid w:val="00D94BED"/>
    <w:rsid w:val="00D96E96"/>
    <w:rsid w:val="00DE395A"/>
    <w:rsid w:val="00E323FF"/>
    <w:rsid w:val="00E37E57"/>
    <w:rsid w:val="00E733F6"/>
    <w:rsid w:val="00F050F0"/>
    <w:rsid w:val="00F52EB5"/>
    <w:rsid w:val="00F72D58"/>
    <w:rsid w:val="00FB1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6DEE"/>
    <w:rPr>
      <w:color w:val="808080"/>
    </w:rPr>
  </w:style>
  <w:style w:type="paragraph" w:customStyle="1" w:styleId="61E91D4220034A64A72268AE9C6EBC95">
    <w:name w:val="61E91D4220034A64A72268AE9C6EBC95"/>
  </w:style>
  <w:style w:type="paragraph" w:customStyle="1" w:styleId="6A100845774148B09AFD987423307E3B">
    <w:name w:val="6A100845774148B09AFD987423307E3B"/>
  </w:style>
  <w:style w:type="paragraph" w:customStyle="1" w:styleId="B59CD9F2DCBD416F8DD4ACE1656AAD1E">
    <w:name w:val="B59CD9F2DCBD416F8DD4ACE1656AAD1E"/>
  </w:style>
  <w:style w:type="paragraph" w:customStyle="1" w:styleId="8ED943CC099849739225897FA985A43B">
    <w:name w:val="8ED943CC099849739225897FA985A43B"/>
  </w:style>
  <w:style w:type="paragraph" w:customStyle="1" w:styleId="FE39700CCB674637AE5F6C6E2061646C">
    <w:name w:val="FE39700CCB674637AE5F6C6E2061646C"/>
  </w:style>
  <w:style w:type="paragraph" w:customStyle="1" w:styleId="7B079A827B8044F6A41B2928311FF845">
    <w:name w:val="7B079A827B8044F6A41B2928311FF845"/>
  </w:style>
  <w:style w:type="paragraph" w:customStyle="1" w:styleId="7AD354A3534E470A93D37CC867B6592A">
    <w:name w:val="7AD354A3534E470A93D37CC867B6592A"/>
  </w:style>
  <w:style w:type="paragraph" w:customStyle="1" w:styleId="E4B3B6CDCBD242798A4970CADFA5E45C">
    <w:name w:val="E4B3B6CDCBD242798A4970CADFA5E45C"/>
  </w:style>
  <w:style w:type="paragraph" w:customStyle="1" w:styleId="83C1F2711A1D449CA51A71C971CF21CF">
    <w:name w:val="83C1F2711A1D449CA51A71C971CF21CF"/>
  </w:style>
  <w:style w:type="paragraph" w:customStyle="1" w:styleId="02A26E1EFA164EA1871864CD9111681B">
    <w:name w:val="02A26E1EFA164EA1871864CD9111681B"/>
  </w:style>
  <w:style w:type="paragraph" w:customStyle="1" w:styleId="3D9FB160D9F84384B14F2A497B2D7AAC">
    <w:name w:val="3D9FB160D9F84384B14F2A497B2D7AAC"/>
  </w:style>
  <w:style w:type="paragraph" w:customStyle="1" w:styleId="6B50521F14D742858FCF97254FD58AC4">
    <w:name w:val="6B50521F14D742858FCF97254FD58AC4"/>
  </w:style>
  <w:style w:type="paragraph" w:customStyle="1" w:styleId="61E91D4220034A64A72268AE9C6EBC951">
    <w:name w:val="61E91D4220034A64A72268AE9C6EBC951"/>
    <w:pPr>
      <w:spacing w:after="0" w:line="240" w:lineRule="auto"/>
      <w:ind w:left="360" w:hanging="360"/>
    </w:pPr>
    <w:rPr>
      <w:rFonts w:eastAsiaTheme="minorHAnsi"/>
    </w:rPr>
  </w:style>
  <w:style w:type="paragraph" w:customStyle="1" w:styleId="6A100845774148B09AFD987423307E3B1">
    <w:name w:val="6A100845774148B09AFD987423307E3B1"/>
    <w:pPr>
      <w:spacing w:after="0" w:line="240" w:lineRule="auto"/>
      <w:ind w:left="360" w:hanging="360"/>
    </w:pPr>
    <w:rPr>
      <w:rFonts w:eastAsiaTheme="minorHAnsi"/>
    </w:rPr>
  </w:style>
  <w:style w:type="paragraph" w:customStyle="1" w:styleId="B59CD9F2DCBD416F8DD4ACE1656AAD1E1">
    <w:name w:val="B59CD9F2DCBD416F8DD4ACE1656AAD1E1"/>
    <w:pPr>
      <w:spacing w:after="0" w:line="240" w:lineRule="auto"/>
      <w:ind w:left="360" w:hanging="360"/>
    </w:pPr>
    <w:rPr>
      <w:rFonts w:eastAsiaTheme="minorHAnsi"/>
    </w:rPr>
  </w:style>
  <w:style w:type="paragraph" w:customStyle="1" w:styleId="8ED943CC099849739225897FA985A43B1">
    <w:name w:val="8ED943CC099849739225897FA985A43B1"/>
    <w:pPr>
      <w:spacing w:after="0" w:line="240" w:lineRule="auto"/>
      <w:ind w:left="360" w:hanging="360"/>
    </w:pPr>
    <w:rPr>
      <w:rFonts w:eastAsiaTheme="minorHAnsi"/>
    </w:rPr>
  </w:style>
  <w:style w:type="paragraph" w:customStyle="1" w:styleId="FE39700CCB674637AE5F6C6E2061646C1">
    <w:name w:val="FE39700CCB674637AE5F6C6E2061646C1"/>
    <w:pPr>
      <w:spacing w:after="0" w:line="240" w:lineRule="auto"/>
      <w:ind w:left="360" w:hanging="360"/>
    </w:pPr>
    <w:rPr>
      <w:rFonts w:eastAsiaTheme="minorHAnsi"/>
    </w:rPr>
  </w:style>
  <w:style w:type="paragraph" w:customStyle="1" w:styleId="7B079A827B8044F6A41B2928311FF8451">
    <w:name w:val="7B079A827B8044F6A41B2928311FF8451"/>
    <w:pPr>
      <w:spacing w:after="0" w:line="240" w:lineRule="auto"/>
      <w:ind w:left="360" w:hanging="360"/>
    </w:pPr>
    <w:rPr>
      <w:rFonts w:eastAsiaTheme="minorHAnsi"/>
    </w:rPr>
  </w:style>
  <w:style w:type="paragraph" w:customStyle="1" w:styleId="7AD354A3534E470A93D37CC867B6592A1">
    <w:name w:val="7AD354A3534E470A93D37CC867B6592A1"/>
    <w:pPr>
      <w:spacing w:after="0" w:line="240" w:lineRule="auto"/>
      <w:ind w:left="360" w:hanging="360"/>
    </w:pPr>
    <w:rPr>
      <w:rFonts w:eastAsiaTheme="minorHAnsi"/>
    </w:rPr>
  </w:style>
  <w:style w:type="paragraph" w:customStyle="1" w:styleId="D7595CF80D4D484686C7EB51E001CF5E">
    <w:name w:val="D7595CF80D4D484686C7EB51E001CF5E"/>
    <w:pPr>
      <w:spacing w:after="0" w:line="240" w:lineRule="auto"/>
      <w:ind w:left="360" w:hanging="360"/>
    </w:pPr>
    <w:rPr>
      <w:rFonts w:eastAsiaTheme="minorHAnsi"/>
    </w:rPr>
  </w:style>
  <w:style w:type="paragraph" w:customStyle="1" w:styleId="1FB0BFDDF2E04426AA7D3CB9F5B78DEE">
    <w:name w:val="1FB0BFDDF2E04426AA7D3CB9F5B78DEE"/>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style>
  <w:style w:type="paragraph" w:customStyle="1" w:styleId="72600D3732554DC083A096F37118546F">
    <w:name w:val="72600D3732554DC083A096F37118546F"/>
  </w:style>
  <w:style w:type="paragraph" w:customStyle="1" w:styleId="D591CFA96B3D49F29BCCC4C398F45B0E">
    <w:name w:val="D591CFA96B3D49F29BCCC4C398F45B0E"/>
  </w:style>
  <w:style w:type="paragraph" w:customStyle="1" w:styleId="61E91D4220034A64A72268AE9C6EBC952">
    <w:name w:val="61E91D4220034A64A72268AE9C6EBC952"/>
    <w:pPr>
      <w:spacing w:after="0" w:line="240" w:lineRule="auto"/>
      <w:ind w:left="360" w:hanging="360"/>
    </w:pPr>
    <w:rPr>
      <w:rFonts w:eastAsiaTheme="minorHAnsi"/>
    </w:rPr>
  </w:style>
  <w:style w:type="paragraph" w:customStyle="1" w:styleId="6A100845774148B09AFD987423307E3B2">
    <w:name w:val="6A100845774148B09AFD987423307E3B2"/>
    <w:pPr>
      <w:spacing w:after="0" w:line="240" w:lineRule="auto"/>
      <w:ind w:left="360" w:hanging="360"/>
    </w:pPr>
    <w:rPr>
      <w:rFonts w:eastAsiaTheme="minorHAnsi"/>
    </w:rPr>
  </w:style>
  <w:style w:type="paragraph" w:customStyle="1" w:styleId="B59CD9F2DCBD416F8DD4ACE1656AAD1E2">
    <w:name w:val="B59CD9F2DCBD416F8DD4ACE1656AAD1E2"/>
    <w:pPr>
      <w:spacing w:after="0" w:line="240" w:lineRule="auto"/>
      <w:ind w:left="360" w:hanging="360"/>
    </w:pPr>
    <w:rPr>
      <w:rFonts w:eastAsiaTheme="minorHAnsi"/>
    </w:rPr>
  </w:style>
  <w:style w:type="paragraph" w:customStyle="1" w:styleId="8ED943CC099849739225897FA985A43B2">
    <w:name w:val="8ED943CC099849739225897FA985A43B2"/>
    <w:pPr>
      <w:spacing w:after="0" w:line="240" w:lineRule="auto"/>
      <w:ind w:left="360" w:hanging="360"/>
    </w:pPr>
    <w:rPr>
      <w:rFonts w:eastAsiaTheme="minorHAnsi"/>
    </w:rPr>
  </w:style>
  <w:style w:type="paragraph" w:customStyle="1" w:styleId="FE39700CCB674637AE5F6C6E2061646C2">
    <w:name w:val="FE39700CCB674637AE5F6C6E2061646C2"/>
    <w:pPr>
      <w:spacing w:after="0" w:line="240" w:lineRule="auto"/>
      <w:ind w:left="360" w:hanging="360"/>
    </w:pPr>
    <w:rPr>
      <w:rFonts w:eastAsiaTheme="minorHAnsi"/>
    </w:rPr>
  </w:style>
  <w:style w:type="paragraph" w:customStyle="1" w:styleId="7B079A827B8044F6A41B2928311FF8452">
    <w:name w:val="7B079A827B8044F6A41B2928311FF8452"/>
    <w:pPr>
      <w:spacing w:after="0" w:line="240" w:lineRule="auto"/>
      <w:ind w:left="360" w:hanging="360"/>
    </w:pPr>
    <w:rPr>
      <w:rFonts w:eastAsiaTheme="minorHAnsi"/>
    </w:rPr>
  </w:style>
  <w:style w:type="paragraph" w:customStyle="1" w:styleId="7AD354A3534E470A93D37CC867B6592A2">
    <w:name w:val="7AD354A3534E470A93D37CC867B6592A2"/>
    <w:pPr>
      <w:spacing w:after="0" w:line="240" w:lineRule="auto"/>
      <w:ind w:left="360" w:hanging="360"/>
    </w:pPr>
    <w:rPr>
      <w:rFonts w:eastAsiaTheme="minorHAnsi"/>
    </w:rPr>
  </w:style>
  <w:style w:type="paragraph" w:customStyle="1" w:styleId="690F238D284B4D6FBB345393104A00B7">
    <w:name w:val="690F238D284B4D6FBB345393104A00B7"/>
    <w:pPr>
      <w:spacing w:after="0" w:line="240" w:lineRule="auto"/>
      <w:ind w:left="360" w:hanging="360"/>
    </w:pPr>
    <w:rPr>
      <w:rFonts w:eastAsiaTheme="minorHAnsi"/>
    </w:rPr>
  </w:style>
  <w:style w:type="paragraph" w:customStyle="1" w:styleId="16055023A8FF46AD93F9B03E59DA7CDD">
    <w:name w:val="16055023A8FF46AD93F9B03E59DA7CDD"/>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style>
  <w:style w:type="paragraph" w:customStyle="1" w:styleId="F30279444DFD4347858F1E4C80B7C67C">
    <w:name w:val="F30279444DFD4347858F1E4C80B7C67C"/>
  </w:style>
  <w:style w:type="paragraph" w:customStyle="1" w:styleId="61E91D4220034A64A72268AE9C6EBC953">
    <w:name w:val="61E91D4220034A64A72268AE9C6EBC953"/>
    <w:pPr>
      <w:spacing w:after="0" w:line="240" w:lineRule="auto"/>
      <w:ind w:left="360" w:hanging="360"/>
    </w:pPr>
    <w:rPr>
      <w:rFonts w:eastAsiaTheme="minorHAnsi"/>
    </w:rPr>
  </w:style>
  <w:style w:type="paragraph" w:customStyle="1" w:styleId="8924E7CB4D5C4CC4905BEA5FE80343E51">
    <w:name w:val="8924E7CB4D5C4CC4905BEA5FE80343E51"/>
    <w:pPr>
      <w:spacing w:after="0" w:line="240" w:lineRule="auto"/>
      <w:ind w:left="360" w:hanging="360"/>
    </w:pPr>
    <w:rPr>
      <w:rFonts w:eastAsiaTheme="minorHAnsi"/>
    </w:rPr>
  </w:style>
  <w:style w:type="paragraph" w:customStyle="1" w:styleId="6A100845774148B09AFD987423307E3B3">
    <w:name w:val="6A100845774148B09AFD987423307E3B3"/>
    <w:pPr>
      <w:spacing w:after="0" w:line="240" w:lineRule="auto"/>
      <w:ind w:left="360" w:hanging="360"/>
    </w:pPr>
    <w:rPr>
      <w:rFonts w:eastAsiaTheme="minorHAnsi"/>
    </w:rPr>
  </w:style>
  <w:style w:type="paragraph" w:customStyle="1" w:styleId="041DAD2E359F4FA2848EB67C2E48F029">
    <w:name w:val="041DAD2E359F4FA2848EB67C2E48F029"/>
    <w:pPr>
      <w:spacing w:after="0" w:line="240" w:lineRule="auto"/>
      <w:ind w:left="360" w:hanging="360"/>
    </w:pPr>
    <w:rPr>
      <w:rFonts w:eastAsiaTheme="minorHAnsi"/>
    </w:rPr>
  </w:style>
  <w:style w:type="paragraph" w:customStyle="1" w:styleId="8976851BFEE34EC8AB577B36C7EC1773">
    <w:name w:val="8976851BFEE34EC8AB577B36C7EC1773"/>
    <w:pPr>
      <w:spacing w:after="0" w:line="240" w:lineRule="auto"/>
      <w:ind w:left="360" w:hanging="360"/>
    </w:pPr>
    <w:rPr>
      <w:rFonts w:eastAsiaTheme="minorHAnsi"/>
    </w:rPr>
  </w:style>
  <w:style w:type="paragraph" w:customStyle="1" w:styleId="B89F06B695EF41C8905F2C302ADDC341">
    <w:name w:val="B89F06B695EF41C8905F2C302ADDC341"/>
    <w:pPr>
      <w:spacing w:after="0" w:line="240" w:lineRule="auto"/>
      <w:ind w:left="360" w:hanging="360"/>
    </w:pPr>
    <w:rPr>
      <w:rFonts w:eastAsiaTheme="minorHAnsi"/>
    </w:rPr>
  </w:style>
  <w:style w:type="paragraph" w:customStyle="1" w:styleId="18E069800924413B8B0DCF1E4629BFB3">
    <w:name w:val="18E069800924413B8B0DCF1E4629BFB3"/>
    <w:pPr>
      <w:spacing w:after="0" w:line="240" w:lineRule="auto"/>
      <w:ind w:left="360" w:hanging="360"/>
    </w:pPr>
    <w:rPr>
      <w:rFonts w:eastAsiaTheme="minorHAnsi"/>
    </w:rPr>
  </w:style>
  <w:style w:type="paragraph" w:customStyle="1" w:styleId="2258D32411FA4C08AE3CF99A001894E9">
    <w:name w:val="2258D32411FA4C08AE3CF99A001894E9"/>
    <w:pPr>
      <w:spacing w:after="0" w:line="240" w:lineRule="auto"/>
      <w:ind w:left="360" w:hanging="360"/>
    </w:pPr>
    <w:rPr>
      <w:rFonts w:eastAsiaTheme="minorHAnsi"/>
    </w:rPr>
  </w:style>
  <w:style w:type="paragraph" w:customStyle="1" w:styleId="50D6FDEC50A4467E8187F237C444E603">
    <w:name w:val="50D6FDEC50A4467E8187F237C444E603"/>
    <w:pPr>
      <w:spacing w:after="0" w:line="240" w:lineRule="auto"/>
      <w:ind w:left="360" w:hanging="360"/>
    </w:pPr>
    <w:rPr>
      <w:rFonts w:eastAsiaTheme="minorHAnsi"/>
    </w:rPr>
  </w:style>
  <w:style w:type="paragraph" w:customStyle="1" w:styleId="FE4951A9A79F4E89AADB293907F0FCBF">
    <w:name w:val="FE4951A9A79F4E89AADB293907F0FCBF"/>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style>
  <w:style w:type="paragraph" w:customStyle="1" w:styleId="AB1B0578B87C4E9EA043F449B0E6989F1">
    <w:name w:val="AB1B0578B87C4E9EA043F449B0E6989F1"/>
    <w:pPr>
      <w:spacing w:after="0" w:line="240" w:lineRule="auto"/>
      <w:ind w:left="360" w:hanging="360"/>
    </w:pPr>
    <w:rPr>
      <w:rFonts w:eastAsiaTheme="minorHAnsi"/>
    </w:rPr>
  </w:style>
  <w:style w:type="paragraph" w:customStyle="1" w:styleId="61E91D4220034A64A72268AE9C6EBC954">
    <w:name w:val="61E91D4220034A64A72268AE9C6EBC954"/>
    <w:pPr>
      <w:spacing w:after="0" w:line="240" w:lineRule="auto"/>
      <w:ind w:left="360" w:hanging="360"/>
    </w:pPr>
    <w:rPr>
      <w:rFonts w:eastAsiaTheme="minorHAnsi"/>
    </w:rPr>
  </w:style>
  <w:style w:type="paragraph" w:customStyle="1" w:styleId="8924E7CB4D5C4CC4905BEA5FE80343E52">
    <w:name w:val="8924E7CB4D5C4CC4905BEA5FE80343E52"/>
    <w:pPr>
      <w:spacing w:after="0" w:line="240" w:lineRule="auto"/>
      <w:ind w:left="360" w:hanging="360"/>
    </w:pPr>
    <w:rPr>
      <w:rFonts w:eastAsiaTheme="minorHAnsi"/>
    </w:rPr>
  </w:style>
  <w:style w:type="paragraph" w:customStyle="1" w:styleId="6A100845774148B09AFD987423307E3B4">
    <w:name w:val="6A100845774148B09AFD987423307E3B4"/>
    <w:pPr>
      <w:spacing w:after="0" w:line="240" w:lineRule="auto"/>
      <w:ind w:left="360" w:hanging="360"/>
    </w:pPr>
    <w:rPr>
      <w:rFonts w:eastAsiaTheme="minorHAnsi"/>
    </w:rPr>
  </w:style>
  <w:style w:type="paragraph" w:customStyle="1" w:styleId="9D75847318FD4C758784349FFB06DC38">
    <w:name w:val="9D75847318FD4C758784349FFB06DC38"/>
    <w:pPr>
      <w:spacing w:after="0" w:line="240" w:lineRule="auto"/>
      <w:ind w:left="360" w:hanging="360"/>
    </w:pPr>
    <w:rPr>
      <w:rFonts w:eastAsiaTheme="minorHAnsi"/>
    </w:rPr>
  </w:style>
  <w:style w:type="paragraph" w:customStyle="1" w:styleId="2B99015EBC8C42E59EAF748FDFC94310">
    <w:name w:val="2B99015EBC8C42E59EAF748FDFC94310"/>
    <w:pPr>
      <w:spacing w:after="0" w:line="240" w:lineRule="auto"/>
      <w:ind w:left="360" w:hanging="360"/>
    </w:pPr>
    <w:rPr>
      <w:rFonts w:eastAsiaTheme="minorHAnsi"/>
    </w:rPr>
  </w:style>
  <w:style w:type="paragraph" w:customStyle="1" w:styleId="B238509E1F334D88A227ED52EA5BF893">
    <w:name w:val="B238509E1F334D88A227ED52EA5BF893"/>
    <w:pPr>
      <w:spacing w:after="0" w:line="240" w:lineRule="auto"/>
      <w:ind w:left="360" w:hanging="360"/>
    </w:pPr>
    <w:rPr>
      <w:rFonts w:eastAsiaTheme="minorHAnsi"/>
    </w:rPr>
  </w:style>
  <w:style w:type="paragraph" w:customStyle="1" w:styleId="6FD8CFA6B3E24BCD87EAA8CD44E95587">
    <w:name w:val="6FD8CFA6B3E24BCD87EAA8CD44E95587"/>
    <w:pPr>
      <w:spacing w:after="0" w:line="240" w:lineRule="auto"/>
      <w:ind w:left="360" w:hanging="360"/>
    </w:pPr>
    <w:rPr>
      <w:rFonts w:eastAsiaTheme="minorHAnsi"/>
    </w:rPr>
  </w:style>
  <w:style w:type="paragraph" w:customStyle="1" w:styleId="2B38FBE0E45547A4943ABCE42B70AADA">
    <w:name w:val="2B38FBE0E45547A4943ABCE42B70AADA"/>
    <w:pPr>
      <w:spacing w:after="0" w:line="240" w:lineRule="auto"/>
      <w:ind w:left="360" w:hanging="360"/>
    </w:pPr>
    <w:rPr>
      <w:rFonts w:eastAsiaTheme="minorHAnsi"/>
    </w:rPr>
  </w:style>
  <w:style w:type="paragraph" w:customStyle="1" w:styleId="7CCD991507AC445D9F97128E4909AC5D">
    <w:name w:val="7CCD991507AC445D9F97128E4909AC5D"/>
    <w:pPr>
      <w:spacing w:after="0" w:line="240" w:lineRule="auto"/>
      <w:ind w:left="360" w:hanging="360"/>
    </w:pPr>
    <w:rPr>
      <w:rFonts w:eastAsiaTheme="minorHAnsi"/>
    </w:rPr>
  </w:style>
  <w:style w:type="paragraph" w:customStyle="1" w:styleId="C159F3E80A2E45EF9EE3AB3F0528C605">
    <w:name w:val="C159F3E80A2E45EF9EE3AB3F0528C605"/>
    <w:pPr>
      <w:spacing w:after="0" w:line="240" w:lineRule="auto"/>
      <w:ind w:left="360" w:hanging="360"/>
    </w:pPr>
    <w:rPr>
      <w:rFonts w:eastAsiaTheme="minorHAnsi"/>
    </w:rPr>
  </w:style>
  <w:style w:type="paragraph" w:customStyle="1" w:styleId="F166DE160DBD4651BD173FF69E398136">
    <w:name w:val="F166DE160DBD4651BD173FF69E398136"/>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pPr>
      <w:spacing w:after="0" w:line="240" w:lineRule="auto"/>
      <w:ind w:left="360" w:hanging="360"/>
    </w:pPr>
    <w:rPr>
      <w:rFonts w:eastAsiaTheme="minorHAnsi"/>
    </w:rPr>
  </w:style>
  <w:style w:type="paragraph" w:customStyle="1" w:styleId="61E91D4220034A64A72268AE9C6EBC955">
    <w:name w:val="61E91D4220034A64A72268AE9C6EBC955"/>
    <w:pPr>
      <w:spacing w:after="0" w:line="240" w:lineRule="auto"/>
      <w:ind w:left="360" w:hanging="360"/>
    </w:pPr>
    <w:rPr>
      <w:rFonts w:eastAsiaTheme="minorHAnsi"/>
    </w:rPr>
  </w:style>
  <w:style w:type="paragraph" w:customStyle="1" w:styleId="8924E7CB4D5C4CC4905BEA5FE80343E53">
    <w:name w:val="8924E7CB4D5C4CC4905BEA5FE80343E53"/>
    <w:pPr>
      <w:spacing w:after="0" w:line="240" w:lineRule="auto"/>
      <w:ind w:left="360" w:hanging="360"/>
    </w:pPr>
    <w:rPr>
      <w:rFonts w:eastAsiaTheme="minorHAnsi"/>
    </w:rPr>
  </w:style>
  <w:style w:type="paragraph" w:customStyle="1" w:styleId="6A100845774148B09AFD987423307E3B5">
    <w:name w:val="6A100845774148B09AFD987423307E3B5"/>
    <w:pPr>
      <w:spacing w:after="0" w:line="240" w:lineRule="auto"/>
      <w:ind w:left="360" w:hanging="360"/>
    </w:pPr>
    <w:rPr>
      <w:rFonts w:eastAsiaTheme="minorHAnsi"/>
    </w:rPr>
  </w:style>
  <w:style w:type="paragraph" w:customStyle="1" w:styleId="8A37B22604104FD58FD9B5969045D3F1">
    <w:name w:val="8A37B22604104FD58FD9B5969045D3F1"/>
    <w:pPr>
      <w:spacing w:after="0" w:line="240" w:lineRule="auto"/>
      <w:ind w:left="360" w:hanging="360"/>
    </w:pPr>
    <w:rPr>
      <w:rFonts w:eastAsiaTheme="minorHAnsi"/>
    </w:rPr>
  </w:style>
  <w:style w:type="paragraph" w:customStyle="1" w:styleId="962214A8263E430591B9ED4CADA7154B">
    <w:name w:val="962214A8263E430591B9ED4CADA7154B"/>
    <w:pPr>
      <w:spacing w:after="0" w:line="240" w:lineRule="auto"/>
      <w:ind w:left="360" w:hanging="360"/>
    </w:pPr>
    <w:rPr>
      <w:rFonts w:eastAsiaTheme="minorHAnsi"/>
    </w:rPr>
  </w:style>
  <w:style w:type="paragraph" w:customStyle="1" w:styleId="15AC292313CE45DC8AC3FC91D340CC66">
    <w:name w:val="15AC292313CE45DC8AC3FC91D340CC66"/>
    <w:pPr>
      <w:spacing w:after="0" w:line="240" w:lineRule="auto"/>
      <w:ind w:left="360" w:hanging="360"/>
    </w:pPr>
    <w:rPr>
      <w:rFonts w:eastAsiaTheme="minorHAnsi"/>
    </w:rPr>
  </w:style>
  <w:style w:type="paragraph" w:customStyle="1" w:styleId="4CBFC8EF1476485CBF0E82C994E3DC6E">
    <w:name w:val="4CBFC8EF1476485CBF0E82C994E3DC6E"/>
    <w:pPr>
      <w:spacing w:after="0" w:line="240" w:lineRule="auto"/>
      <w:ind w:left="360" w:hanging="360"/>
    </w:pPr>
    <w:rPr>
      <w:rFonts w:eastAsiaTheme="minorHAnsi"/>
    </w:rPr>
  </w:style>
  <w:style w:type="paragraph" w:customStyle="1" w:styleId="32094DA73C124CA8A717FF8A8F08AF3B">
    <w:name w:val="32094DA73C124CA8A717FF8A8F08AF3B"/>
    <w:pPr>
      <w:spacing w:after="0" w:line="240" w:lineRule="auto"/>
      <w:ind w:left="360" w:hanging="360"/>
    </w:pPr>
    <w:rPr>
      <w:rFonts w:eastAsiaTheme="minorHAnsi"/>
    </w:rPr>
  </w:style>
  <w:style w:type="paragraph" w:customStyle="1" w:styleId="A47729CCDE844CBF86BF69FF0481955B">
    <w:name w:val="A47729CCDE844CBF86BF69FF0481955B"/>
    <w:pPr>
      <w:spacing w:after="0" w:line="240" w:lineRule="auto"/>
      <w:ind w:left="360" w:hanging="360"/>
    </w:pPr>
    <w:rPr>
      <w:rFonts w:eastAsiaTheme="minorHAnsi"/>
    </w:rPr>
  </w:style>
  <w:style w:type="paragraph" w:customStyle="1" w:styleId="4FF54B78223544A29AA39B5261EBE67D">
    <w:name w:val="4FF54B78223544A29AA39B5261EBE67D"/>
    <w:pPr>
      <w:spacing w:after="0" w:line="240" w:lineRule="auto"/>
      <w:ind w:left="360" w:hanging="360"/>
    </w:pPr>
    <w:rPr>
      <w:rFonts w:eastAsiaTheme="minorHAnsi"/>
    </w:rPr>
  </w:style>
  <w:style w:type="paragraph" w:customStyle="1" w:styleId="73B308F1A99D4788BA3E9AC2AFE5C701">
    <w:name w:val="73B308F1A99D4788BA3E9AC2AFE5C701"/>
  </w:style>
  <w:style w:type="paragraph" w:customStyle="1" w:styleId="290B7F71793147E7A252ACA4048130B3">
    <w:name w:val="290B7F71793147E7A252ACA4048130B3"/>
    <w:rsid w:val="006F6DE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C6289432-0FB2-42B3-9A90-08EC3C286542}">
  <ds:schemaRefs>
    <ds:schemaRef ds:uri="http://schemas.openxmlformats.org/officeDocument/2006/bibliography"/>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77C6A-324F-4FC0-B7AC-A64B0A132FF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2932</Words>
  <Characters>16715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Sapha Hassan</cp:lastModifiedBy>
  <cp:revision>15</cp:revision>
  <cp:lastPrinted>2019-07-10T21:57:00Z</cp:lastPrinted>
  <dcterms:created xsi:type="dcterms:W3CDTF">2020-06-23T20:16:00Z</dcterms:created>
  <dcterms:modified xsi:type="dcterms:W3CDTF">2020-11-25T15:39:00Z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