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846B7" w14:textId="77777777" w:rsidR="00996EE4" w:rsidRDefault="00132E82">
      <w:pPr>
        <w:jc w:val="center"/>
        <w:rPr>
          <w:b/>
          <w:noProof/>
          <w:sz w:val="24"/>
          <w:szCs w:val="24"/>
        </w:rPr>
      </w:pPr>
      <w:r>
        <w:rPr>
          <w:b/>
          <w:smallCaps/>
          <w:noProof/>
          <w:sz w:val="24"/>
          <w:szCs w:val="24"/>
        </w:rPr>
        <w:t>National Quality Forum</w:t>
      </w:r>
      <w:r>
        <w:rPr>
          <w:b/>
          <w:noProof/>
          <w:sz w:val="24"/>
          <w:szCs w:val="24"/>
        </w:rPr>
        <w:t xml:space="preserve">—Evidence (subcriterion 1a) </w:t>
      </w:r>
    </w:p>
    <w:p w14:paraId="030DB021" w14:textId="77777777" w:rsidR="00996EE4" w:rsidRDefault="00996EE4">
      <w:pPr>
        <w:ind w:left="0" w:firstLine="0"/>
        <w:rPr>
          <w:noProof/>
        </w:rPr>
      </w:pPr>
    </w:p>
    <w:p w14:paraId="3F2A86B4" w14:textId="58749150" w:rsidR="00996EE4" w:rsidRDefault="00132E82" w:rsidP="1CEE1BD6">
      <w:pPr>
        <w:ind w:left="0" w:firstLine="0"/>
        <w:rPr>
          <w:b/>
          <w:bCs/>
          <w:noProof/>
        </w:rPr>
      </w:pPr>
      <w:r w:rsidRPr="1CEE1BD6">
        <w:rPr>
          <w:b/>
          <w:bCs/>
          <w:noProof/>
        </w:rPr>
        <w:t xml:space="preserve">Measure Number </w:t>
      </w:r>
      <w:r w:rsidRPr="1CEE1BD6">
        <w:rPr>
          <w:noProof/>
        </w:rPr>
        <w:t>(</w:t>
      </w:r>
      <w:r w:rsidRPr="1CEE1BD6">
        <w:rPr>
          <w:i/>
          <w:iCs/>
          <w:noProof/>
        </w:rPr>
        <w:t>if previously endorsed</w:t>
      </w:r>
      <w:r w:rsidRPr="1CEE1BD6">
        <w:rPr>
          <w:noProof/>
        </w:rPr>
        <w:t>)</w:t>
      </w:r>
      <w:r w:rsidRPr="1CEE1BD6">
        <w:rPr>
          <w:b/>
          <w:bCs/>
          <w:noProof/>
        </w:rPr>
        <w:t xml:space="preserve">: </w:t>
      </w:r>
      <w:sdt>
        <w:sdtPr>
          <w:rPr>
            <w:rStyle w:val="Style1"/>
          </w:rPr>
          <w:id w:val="1103681744"/>
          <w:placeholder>
            <w:docPart w:val="AB1B0578B87C4E9EA043F449B0E6989F"/>
          </w:placeholder>
        </w:sdtPr>
        <w:sdtEndPr>
          <w:rPr>
            <w:rStyle w:val="DefaultParagraphFont"/>
            <w:b/>
            <w:bCs/>
            <w:noProof/>
            <w:color w:val="auto"/>
          </w:rPr>
        </w:sdtEndPr>
        <w:sdtContent>
          <w:r w:rsidR="64089A65" w:rsidRPr="1CEE1BD6">
            <w:rPr>
              <w:rStyle w:val="Style1"/>
            </w:rPr>
            <w:t>3612</w:t>
          </w:r>
        </w:sdtContent>
      </w:sdt>
    </w:p>
    <w:p w14:paraId="118677B7" w14:textId="0331029A" w:rsidR="00942EA4" w:rsidRPr="003B1CC5" w:rsidRDefault="00942EA4" w:rsidP="00942EA4">
      <w:pPr>
        <w:ind w:left="0" w:firstLine="0"/>
        <w:rPr>
          <w:noProof/>
        </w:rPr>
      </w:pPr>
      <w:r w:rsidRPr="003B1CC5">
        <w:rPr>
          <w:b/>
          <w:noProof/>
        </w:rPr>
        <w:t>Measure Title</w:t>
      </w:r>
      <w:r w:rsidRPr="003B1CC5">
        <w:rPr>
          <w:noProof/>
        </w:rPr>
        <w:t xml:space="preserve">:  </w:t>
      </w:r>
      <w:sdt>
        <w:sdtPr>
          <w:rPr>
            <w:rStyle w:val="Style1"/>
          </w:rPr>
          <w:id w:val="-882640736"/>
          <w:placeholder>
            <w:docPart w:val="290B7F71793147E7A252ACA4048130B3"/>
          </w:placeholder>
        </w:sdtPr>
        <w:sdtEndPr>
          <w:rPr>
            <w:rStyle w:val="DefaultParagraphFont"/>
            <w:noProof/>
            <w:color w:val="auto"/>
          </w:rPr>
        </w:sdtEndPr>
        <w:sdtContent>
          <w:r w:rsidR="00CA71C7" w:rsidRPr="00CA71C7">
            <w:rPr>
              <w:rStyle w:val="Style1"/>
            </w:rPr>
            <w:t xml:space="preserve">Risk-Standardized Acute </w:t>
          </w:r>
          <w:r w:rsidR="006D0A8A">
            <w:rPr>
              <w:rStyle w:val="Style1"/>
            </w:rPr>
            <w:t xml:space="preserve">Unplanned </w:t>
          </w:r>
          <w:r w:rsidR="00CA71C7" w:rsidRPr="00CA71C7">
            <w:rPr>
              <w:rStyle w:val="Style1"/>
            </w:rPr>
            <w:t>C</w:t>
          </w:r>
          <w:r w:rsidR="006D0A8A">
            <w:rPr>
              <w:rStyle w:val="Style1"/>
            </w:rPr>
            <w:t>ardiovascular-Related Admission Rates</w:t>
          </w:r>
          <w:r w:rsidR="00CA71C7" w:rsidRPr="00CA71C7">
            <w:rPr>
              <w:rStyle w:val="Style1"/>
            </w:rPr>
            <w:t xml:space="preserve"> for Patients with Heart Failure for the Merit</w:t>
          </w:r>
          <w:r w:rsidR="006D0A8A">
            <w:rPr>
              <w:rStyle w:val="Style1"/>
            </w:rPr>
            <w:t>-based Incentive Payment System</w:t>
          </w:r>
        </w:sdtContent>
      </w:sdt>
    </w:p>
    <w:p w14:paraId="59365CD9" w14:textId="77777777" w:rsidR="00996EE4" w:rsidRDefault="00132E82">
      <w:pPr>
        <w:ind w:left="0" w:firstLine="0"/>
        <w:rPr>
          <w:b/>
          <w:noProof/>
        </w:rPr>
      </w:pPr>
      <w:r>
        <w:rPr>
          <w:i/>
          <w:noProof/>
        </w:rPr>
        <w:t xml:space="preserve"> </w:t>
      </w:r>
      <w:r>
        <w:rPr>
          <w:b/>
          <w:noProof/>
        </w:rPr>
        <w:t>IF the measure is a component in a composite performance measure, provide the title of the Composite Measure here:</w:t>
      </w:r>
      <w:r>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Pr>
              <w:rStyle w:val="PlaceholderText"/>
              <w:rFonts w:cstheme="minorHAnsi"/>
              <w:color w:val="A6A6A6" w:themeColor="background1" w:themeShade="A6"/>
            </w:rPr>
            <w:t>Click here to enter composite measure #/ title</w:t>
          </w:r>
        </w:sdtContent>
      </w:sdt>
    </w:p>
    <w:p w14:paraId="1594DF47" w14:textId="77777777" w:rsidR="00996EE4" w:rsidRDefault="00132E82">
      <w:pPr>
        <w:ind w:left="0" w:firstLine="0"/>
        <w:rPr>
          <w:rStyle w:val="Style2"/>
        </w:rPr>
      </w:pPr>
      <w:r>
        <w:rPr>
          <w:b/>
          <w:noProof/>
        </w:rPr>
        <w:t>Date of Submission</w:t>
      </w:r>
      <w:r>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Pr>
              <w:rStyle w:val="PlaceholderText"/>
              <w:rFonts w:cstheme="minorHAnsi"/>
              <w:color w:val="A6A6A6" w:themeColor="background1" w:themeShade="A6"/>
            </w:rPr>
            <w:t>Click here to enter a date</w:t>
          </w:r>
        </w:sdtContent>
      </w:sdt>
    </w:p>
    <w:p w14:paraId="0B467698" w14:textId="77777777" w:rsidR="00996EE4" w:rsidRDefault="00996EE4">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996EE4" w14:paraId="11F747F7" w14:textId="77777777">
        <w:trPr>
          <w:jc w:val="center"/>
        </w:trPr>
        <w:tc>
          <w:tcPr>
            <w:tcW w:w="9576" w:type="dxa"/>
          </w:tcPr>
          <w:p w14:paraId="294069DB" w14:textId="77777777" w:rsidR="00996EE4" w:rsidRDefault="00132E82">
            <w:pPr>
              <w:pStyle w:val="CommentText"/>
              <w:ind w:left="0" w:firstLine="0"/>
              <w:rPr>
                <w:b/>
                <w:i/>
                <w:sz w:val="22"/>
                <w:szCs w:val="22"/>
              </w:rPr>
            </w:pPr>
            <w:r>
              <w:rPr>
                <w:rFonts w:cstheme="minorHAnsi"/>
                <w:b/>
                <w:noProof/>
                <w:sz w:val="22"/>
                <w:szCs w:val="22"/>
              </w:rPr>
              <w:t>Instructions</w:t>
            </w:r>
          </w:p>
          <w:p w14:paraId="2729B8B9" w14:textId="77777777" w:rsidR="00996EE4" w:rsidRDefault="00132E82">
            <w:pPr>
              <w:pStyle w:val="CommentText"/>
              <w:numPr>
                <w:ilvl w:val="0"/>
                <w:numId w:val="5"/>
              </w:numPr>
              <w:rPr>
                <w:i/>
                <w:sz w:val="22"/>
                <w:szCs w:val="22"/>
              </w:rPr>
            </w:pPr>
            <w:r>
              <w:rPr>
                <w:i/>
                <w:sz w:val="22"/>
                <w:szCs w:val="22"/>
              </w:rPr>
              <w:t>Complete 1a.1 and 1a.2 for all measures. If instrument-based measure, complete 1a.3.</w:t>
            </w:r>
          </w:p>
          <w:p w14:paraId="06A05399" w14:textId="77777777" w:rsidR="00996EE4" w:rsidRDefault="00132E82">
            <w:pPr>
              <w:pStyle w:val="CommentText"/>
              <w:numPr>
                <w:ilvl w:val="0"/>
                <w:numId w:val="5"/>
              </w:numPr>
              <w:rPr>
                <w:i/>
                <w:sz w:val="22"/>
                <w:szCs w:val="22"/>
              </w:rPr>
            </w:pPr>
            <w:r>
              <w:rPr>
                <w:i/>
                <w:sz w:val="22"/>
                <w:szCs w:val="22"/>
              </w:rPr>
              <w:t xml:space="preserve">Complete </w:t>
            </w:r>
            <w:r>
              <w:rPr>
                <w:b/>
                <w:i/>
                <w:sz w:val="22"/>
                <w:szCs w:val="22"/>
              </w:rPr>
              <w:t xml:space="preserve">EITHER 1a.2, 1a.3 or 1a.4 </w:t>
            </w:r>
            <w:r>
              <w:rPr>
                <w:i/>
                <w:sz w:val="22"/>
                <w:szCs w:val="22"/>
              </w:rPr>
              <w:t>as applicable for the type of measure and evidence.</w:t>
            </w:r>
          </w:p>
          <w:p w14:paraId="4FB3C582" w14:textId="77777777" w:rsidR="00996EE4" w:rsidRDefault="00132E82">
            <w:pPr>
              <w:pStyle w:val="CommentText"/>
              <w:numPr>
                <w:ilvl w:val="0"/>
                <w:numId w:val="5"/>
              </w:numPr>
              <w:rPr>
                <w:i/>
                <w:sz w:val="22"/>
                <w:szCs w:val="22"/>
              </w:rPr>
            </w:pPr>
            <w:r>
              <w:rPr>
                <w:i/>
                <w:sz w:val="22"/>
                <w:szCs w:val="22"/>
              </w:rPr>
              <w:t xml:space="preserve">For composite performance measures:  </w:t>
            </w:r>
          </w:p>
          <w:p w14:paraId="3EACFD85" w14:textId="77777777" w:rsidR="00996EE4" w:rsidRDefault="00132E82">
            <w:pPr>
              <w:pStyle w:val="CommentText"/>
              <w:numPr>
                <w:ilvl w:val="1"/>
                <w:numId w:val="5"/>
              </w:numPr>
              <w:ind w:left="792"/>
              <w:rPr>
                <w:i/>
                <w:sz w:val="22"/>
                <w:szCs w:val="22"/>
              </w:rPr>
            </w:pPr>
            <w:r>
              <w:rPr>
                <w:i/>
                <w:sz w:val="22"/>
                <w:szCs w:val="22"/>
              </w:rPr>
              <w:t xml:space="preserve"> A separate evidence form is required for each component measure unless several components were studied together.</w:t>
            </w:r>
          </w:p>
          <w:p w14:paraId="0D86A35F" w14:textId="77777777" w:rsidR="00996EE4" w:rsidRDefault="00132E82">
            <w:pPr>
              <w:pStyle w:val="CommentText"/>
              <w:numPr>
                <w:ilvl w:val="1"/>
                <w:numId w:val="5"/>
              </w:numPr>
              <w:ind w:left="792"/>
              <w:rPr>
                <w:i/>
                <w:sz w:val="22"/>
                <w:szCs w:val="22"/>
              </w:rPr>
            </w:pPr>
            <w:r>
              <w:rPr>
                <w:i/>
                <w:sz w:val="22"/>
                <w:szCs w:val="22"/>
              </w:rPr>
              <w:t xml:space="preserve"> If a component measure is submitted as an individual performance measure, attach the evidence form to the individual measure submission.</w:t>
            </w:r>
          </w:p>
          <w:p w14:paraId="01363501" w14:textId="77777777" w:rsidR="00996EE4" w:rsidRDefault="00132E82">
            <w:pPr>
              <w:pStyle w:val="ListParagraph"/>
              <w:numPr>
                <w:ilvl w:val="0"/>
                <w:numId w:val="5"/>
              </w:numPr>
              <w:spacing w:after="0" w:line="240" w:lineRule="auto"/>
            </w:pPr>
            <w:r>
              <w:t xml:space="preserve">All information needed to demonstrate meeting the </w:t>
            </w:r>
            <w:r>
              <w:rPr>
                <w:rFonts w:cstheme="minorHAnsi"/>
              </w:rPr>
              <w:t xml:space="preserve">evidence </w:t>
            </w:r>
            <w:proofErr w:type="spellStart"/>
            <w:r>
              <w:rPr>
                <w:rFonts w:cstheme="minorHAnsi"/>
              </w:rPr>
              <w:t>subcriterion</w:t>
            </w:r>
            <w:proofErr w:type="spellEnd"/>
            <w:r>
              <w:rPr>
                <w:rFonts w:cstheme="minorHAnsi"/>
              </w:rPr>
              <w:t xml:space="preserve"> (1a)</w:t>
            </w:r>
            <w:r>
              <w:t xml:space="preserve"> must be in this form.  An appendix of </w:t>
            </w:r>
            <w:r>
              <w:rPr>
                <w:i/>
              </w:rPr>
              <w:t>supplemental</w:t>
            </w:r>
            <w:r>
              <w:t xml:space="preserve"> materials may be submitted, but there is no guarantee it will be reviewed.</w:t>
            </w:r>
          </w:p>
          <w:p w14:paraId="179C1167" w14:textId="77777777" w:rsidR="00996EE4" w:rsidRDefault="00132E82">
            <w:pPr>
              <w:pStyle w:val="ListParagraph"/>
              <w:numPr>
                <w:ilvl w:val="0"/>
                <w:numId w:val="5"/>
              </w:numPr>
              <w:spacing w:after="0" w:line="240" w:lineRule="auto"/>
            </w:pPr>
            <w:r>
              <w:t>If you are unable to check a box, please highlight or shade the box for your response.</w:t>
            </w:r>
          </w:p>
          <w:p w14:paraId="59544C13" w14:textId="77777777" w:rsidR="00996EE4" w:rsidRDefault="00132E82">
            <w:pPr>
              <w:pStyle w:val="ListParagraph"/>
              <w:numPr>
                <w:ilvl w:val="0"/>
                <w:numId w:val="5"/>
              </w:numPr>
              <w:spacing w:after="0" w:line="240" w:lineRule="auto"/>
              <w:rPr>
                <w:u w:val="single"/>
              </w:rPr>
            </w:pPr>
            <w:r>
              <w:t xml:space="preserve">Contact NQF staff regarding questions. Check for resources at </w:t>
            </w:r>
            <w:hyperlink r:id="rId11" w:history="1">
              <w:r>
                <w:rPr>
                  <w:rStyle w:val="Hyperlink"/>
                </w:rPr>
                <w:t>Submitting Standards webpage</w:t>
              </w:r>
            </w:hyperlink>
            <w:r>
              <w:t>.</w:t>
            </w:r>
          </w:p>
        </w:tc>
      </w:tr>
    </w:tbl>
    <w:p w14:paraId="56907C70" w14:textId="77777777" w:rsidR="00996EE4" w:rsidRDefault="00996EE4">
      <w:pPr>
        <w:ind w:left="0" w:firstLine="0"/>
      </w:pPr>
    </w:p>
    <w:tbl>
      <w:tblPr>
        <w:tblStyle w:val="TableGrid"/>
        <w:tblW w:w="5500" w:type="pct"/>
        <w:jc w:val="center"/>
        <w:tblLook w:val="04A0" w:firstRow="1" w:lastRow="0" w:firstColumn="1" w:lastColumn="0" w:noHBand="0" w:noVBand="1"/>
      </w:tblPr>
      <w:tblGrid>
        <w:gridCol w:w="10285"/>
      </w:tblGrid>
      <w:tr w:rsidR="00996EE4" w14:paraId="233BB8C3" w14:textId="77777777">
        <w:trPr>
          <w:jc w:val="center"/>
        </w:trPr>
        <w:tc>
          <w:tcPr>
            <w:tcW w:w="10534" w:type="dxa"/>
          </w:tcPr>
          <w:p w14:paraId="0002A6E3" w14:textId="77777777" w:rsidR="00996EE4" w:rsidRDefault="00132E82">
            <w:pPr>
              <w:ind w:left="0" w:firstLine="0"/>
              <w:rPr>
                <w:sz w:val="20"/>
                <w:szCs w:val="20"/>
              </w:rPr>
            </w:pPr>
            <w:r>
              <w:rPr>
                <w:b/>
                <w:bCs/>
                <w:sz w:val="20"/>
                <w:szCs w:val="20"/>
                <w:u w:val="single"/>
              </w:rPr>
              <w:t>Note</w:t>
            </w:r>
            <w:r>
              <w:rPr>
                <w:b/>
                <w:bCs/>
                <w:sz w:val="20"/>
                <w:szCs w:val="20"/>
              </w:rPr>
              <w:t>: The information provided in this form is intended to aid the Standing Committee and other stakeholders in understanding to what degree the evidence for this measure meets NQF’s evaluation criteria.</w:t>
            </w:r>
          </w:p>
          <w:p w14:paraId="00C90FE9" w14:textId="77777777" w:rsidR="00996EE4" w:rsidRDefault="00996EE4">
            <w:pPr>
              <w:ind w:left="90" w:hanging="90"/>
              <w:rPr>
                <w:sz w:val="20"/>
                <w:szCs w:val="20"/>
              </w:rPr>
            </w:pPr>
            <w:bookmarkStart w:id="0" w:name="Note2"/>
            <w:bookmarkEnd w:id="0"/>
          </w:p>
          <w:p w14:paraId="3C740F06" w14:textId="77777777" w:rsidR="00996EE4" w:rsidRDefault="00132E82">
            <w:pPr>
              <w:pStyle w:val="Heading3"/>
              <w:rPr>
                <w:rFonts w:asciiTheme="minorHAnsi" w:hAnsiTheme="minorHAnsi"/>
                <w:sz w:val="20"/>
                <w:szCs w:val="20"/>
              </w:rPr>
            </w:pPr>
            <w:r>
              <w:rPr>
                <w:rFonts w:asciiTheme="minorHAnsi" w:hAnsiTheme="minorHAnsi"/>
                <w:sz w:val="20"/>
                <w:szCs w:val="20"/>
              </w:rPr>
              <w:t xml:space="preserve">1a. Evidence to Support the Measure Focus  </w:t>
            </w:r>
          </w:p>
          <w:p w14:paraId="4B713564" w14:textId="77777777" w:rsidR="00996EE4" w:rsidRDefault="00132E82">
            <w:pPr>
              <w:rPr>
                <w:rFonts w:eastAsia="Calibri" w:cs="Calibri"/>
                <w:sz w:val="20"/>
                <w:szCs w:val="20"/>
              </w:rPr>
            </w:pPr>
            <w:r>
              <w:rPr>
                <w:rFonts w:eastAsia="Calibri" w:cs="Calibri"/>
                <w:sz w:val="20"/>
                <w:szCs w:val="20"/>
              </w:rPr>
              <w:t xml:space="preserve">The measure focus is evidence-based, demonstrated as follows: </w:t>
            </w:r>
          </w:p>
          <w:p w14:paraId="511A0BED" w14:textId="77777777" w:rsidR="00996EE4" w:rsidRDefault="00132E82">
            <w:pPr>
              <w:numPr>
                <w:ilvl w:val="0"/>
                <w:numId w:val="7"/>
              </w:numPr>
              <w:rPr>
                <w:rFonts w:eastAsia="Calibri" w:cs="Calibri"/>
                <w:sz w:val="20"/>
                <w:szCs w:val="20"/>
              </w:rPr>
            </w:pPr>
            <w:r>
              <w:rPr>
                <w:rFonts w:eastAsia="Calibri" w:cs="Calibri"/>
                <w:sz w:val="20"/>
                <w:szCs w:val="20"/>
                <w:u w:val="single"/>
              </w:rPr>
              <w:t>Outcome</w:t>
            </w:r>
            <w:r>
              <w:rPr>
                <w:rFonts w:eastAsia="Calibri" w:cs="Calibri"/>
                <w:color w:val="0000FF"/>
                <w:sz w:val="20"/>
                <w:szCs w:val="20"/>
              </w:rPr>
              <w:t xml:space="preserve">: </w:t>
            </w:r>
            <w:hyperlink w:anchor="Note3" w:history="1">
              <w:r>
                <w:rPr>
                  <w:rStyle w:val="Hyperlink"/>
                  <w:rFonts w:eastAsia="Calibri" w:cs="Calibri"/>
                  <w:b/>
                  <w:sz w:val="20"/>
                  <w:szCs w:val="20"/>
                  <w:vertAlign w:val="superscript"/>
                </w:rPr>
                <w:t>3</w:t>
              </w:r>
            </w:hyperlink>
            <w:r>
              <w:rPr>
                <w:rFonts w:eastAsia="Calibri" w:cs="Calibri"/>
                <w:color w:val="0000FF"/>
                <w:sz w:val="20"/>
                <w:szCs w:val="20"/>
              </w:rPr>
              <w:t xml:space="preserve"> </w:t>
            </w:r>
            <w:r>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6F4871B0" w14:textId="77777777" w:rsidR="00996EE4" w:rsidRDefault="00132E82">
            <w:pPr>
              <w:numPr>
                <w:ilvl w:val="0"/>
                <w:numId w:val="7"/>
              </w:numPr>
              <w:rPr>
                <w:rFonts w:eastAsia="Calibri" w:cs="Calibri"/>
                <w:sz w:val="20"/>
                <w:szCs w:val="20"/>
              </w:rPr>
            </w:pPr>
            <w:r>
              <w:rPr>
                <w:rFonts w:eastAsia="Calibri" w:cs="Calibri"/>
                <w:sz w:val="20"/>
                <w:szCs w:val="20"/>
                <w:u w:val="single"/>
              </w:rPr>
              <w:t>Intermediate clinical outcome</w:t>
            </w:r>
            <w:r>
              <w:rPr>
                <w:rFonts w:eastAsia="Calibri" w:cs="Calibri"/>
                <w:sz w:val="20"/>
                <w:szCs w:val="20"/>
              </w:rPr>
              <w:t xml:space="preserve">: a systematic assessment and grading of the quantity, quality, and consistency of the body of evidence </w:t>
            </w:r>
            <w:hyperlink w:anchor="Note4" w:history="1">
              <w:r>
                <w:rPr>
                  <w:rStyle w:val="Hyperlink"/>
                  <w:rFonts w:eastAsia="Calibri" w:cs="Calibri"/>
                  <w:b/>
                  <w:sz w:val="20"/>
                  <w:szCs w:val="20"/>
                  <w:vertAlign w:val="superscript"/>
                </w:rPr>
                <w:t>4</w:t>
              </w:r>
            </w:hyperlink>
            <w:r>
              <w:rPr>
                <w:rFonts w:eastAsia="Calibri" w:cs="Calibri"/>
                <w:b/>
                <w:sz w:val="20"/>
                <w:szCs w:val="20"/>
                <w:vertAlign w:val="superscript"/>
              </w:rPr>
              <w:t xml:space="preserve"> </w:t>
            </w:r>
            <w:r>
              <w:rPr>
                <w:rFonts w:eastAsia="Calibri" w:cs="Calibri"/>
                <w:bCs/>
                <w:sz w:val="20"/>
                <w:szCs w:val="20"/>
              </w:rPr>
              <w:t>that the measured intermediate clinical outcome leads to a desired health outcome.</w:t>
            </w:r>
          </w:p>
          <w:p w14:paraId="493E7109" w14:textId="77777777" w:rsidR="00996EE4" w:rsidRDefault="00132E82">
            <w:pPr>
              <w:numPr>
                <w:ilvl w:val="0"/>
                <w:numId w:val="7"/>
              </w:numPr>
              <w:rPr>
                <w:rFonts w:eastAsia="Calibri" w:cs="Calibri"/>
                <w:sz w:val="20"/>
                <w:szCs w:val="20"/>
              </w:rPr>
            </w:pPr>
            <w:r>
              <w:rPr>
                <w:rFonts w:eastAsia="Calibri" w:cs="Calibri"/>
                <w:sz w:val="20"/>
                <w:szCs w:val="20"/>
                <w:u w:val="single"/>
              </w:rPr>
              <w:t>Process</w:t>
            </w:r>
            <w:r>
              <w:rPr>
                <w:rFonts w:eastAsia="Calibri" w:cs="Calibri"/>
                <w:sz w:val="20"/>
                <w:szCs w:val="20"/>
              </w:rPr>
              <w:t xml:space="preserve">: </w:t>
            </w:r>
            <w:hyperlink w:anchor="Note5" w:history="1">
              <w:r>
                <w:rPr>
                  <w:rStyle w:val="Hyperlink"/>
                  <w:rFonts w:eastAsia="Calibri" w:cs="Calibri"/>
                  <w:b/>
                  <w:sz w:val="20"/>
                  <w:szCs w:val="20"/>
                  <w:vertAlign w:val="superscript"/>
                </w:rPr>
                <w:t>5</w:t>
              </w:r>
            </w:hyperlink>
            <w:r>
              <w:rPr>
                <w:rFonts w:eastAsia="Calibri" w:cs="Calibri"/>
                <w:sz w:val="20"/>
                <w:szCs w:val="20"/>
              </w:rPr>
              <w:t xml:space="preserve"> a systematic assessment and grading of the quantity, quality, and consistency of the body of evidence </w:t>
            </w:r>
            <w:hyperlink w:anchor="Note4" w:history="1">
              <w:r>
                <w:rPr>
                  <w:rStyle w:val="Hyperlink"/>
                  <w:rFonts w:eastAsia="Calibri" w:cs="Calibri"/>
                  <w:b/>
                  <w:sz w:val="20"/>
                  <w:szCs w:val="20"/>
                  <w:vertAlign w:val="superscript"/>
                </w:rPr>
                <w:t>4</w:t>
              </w:r>
            </w:hyperlink>
            <w:r>
              <w:rPr>
                <w:rFonts w:eastAsia="Calibri" w:cs="Calibri"/>
                <w:bCs/>
                <w:sz w:val="20"/>
                <w:szCs w:val="20"/>
              </w:rPr>
              <w:t xml:space="preserve"> that the measured process leads to a desired health outcome.</w:t>
            </w:r>
          </w:p>
          <w:p w14:paraId="7B834919" w14:textId="77777777" w:rsidR="00996EE4" w:rsidRDefault="00132E82">
            <w:pPr>
              <w:numPr>
                <w:ilvl w:val="0"/>
                <w:numId w:val="8"/>
              </w:numPr>
              <w:autoSpaceDE w:val="0"/>
              <w:autoSpaceDN w:val="0"/>
              <w:adjustRightInd w:val="0"/>
              <w:contextualSpacing/>
              <w:rPr>
                <w:sz w:val="20"/>
                <w:szCs w:val="20"/>
              </w:rPr>
            </w:pPr>
            <w:r>
              <w:rPr>
                <w:rFonts w:eastAsia="Calibri" w:cs="Calibri"/>
                <w:sz w:val="20"/>
                <w:szCs w:val="20"/>
                <w:u w:val="single"/>
              </w:rPr>
              <w:t>Structure</w:t>
            </w:r>
            <w:r>
              <w:rPr>
                <w:rFonts w:eastAsia="Calibri" w:cs="Calibri"/>
                <w:sz w:val="20"/>
                <w:szCs w:val="20"/>
              </w:rPr>
              <w:t xml:space="preserve">: a systematic assessment and grading of the quantity, quality, and consistency of the body of evidence </w:t>
            </w:r>
            <w:hyperlink w:anchor="Note4" w:history="1">
              <w:r>
                <w:rPr>
                  <w:rStyle w:val="Hyperlink"/>
                  <w:rFonts w:eastAsia="Calibri" w:cs="Calibri"/>
                  <w:b/>
                  <w:sz w:val="20"/>
                  <w:szCs w:val="20"/>
                  <w:vertAlign w:val="superscript"/>
                </w:rPr>
                <w:t>4</w:t>
              </w:r>
            </w:hyperlink>
            <w:r>
              <w:rPr>
                <w:rFonts w:eastAsia="Calibri" w:cs="Calibri"/>
                <w:b/>
                <w:sz w:val="20"/>
                <w:szCs w:val="20"/>
                <w:vertAlign w:val="superscript"/>
              </w:rPr>
              <w:t xml:space="preserve"> </w:t>
            </w:r>
            <w:r>
              <w:rPr>
                <w:rFonts w:eastAsia="Calibri" w:cs="Calibri"/>
                <w:bCs/>
                <w:sz w:val="20"/>
                <w:szCs w:val="20"/>
              </w:rPr>
              <w:t xml:space="preserve"> that the measured structure leads to a desired health outcome.</w:t>
            </w:r>
          </w:p>
          <w:p w14:paraId="76983452" w14:textId="77777777" w:rsidR="00996EE4" w:rsidRDefault="00132E82">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Pr>
                <w:rFonts w:eastAsia="Calibri" w:cs="Calibri"/>
                <w:sz w:val="20"/>
                <w:szCs w:val="20"/>
                <w:u w:val="single"/>
              </w:rPr>
              <w:t>Efficiency</w:t>
            </w:r>
            <w:r>
              <w:rPr>
                <w:rFonts w:eastAsia="Calibri" w:cs="Calibri"/>
                <w:sz w:val="20"/>
                <w:szCs w:val="20"/>
              </w:rPr>
              <w:t xml:space="preserve">: </w:t>
            </w:r>
            <w:hyperlink w:anchor="Note6" w:history="1">
              <w:r>
                <w:rPr>
                  <w:rStyle w:val="Hyperlink"/>
                  <w:rFonts w:eastAsia="Calibri" w:cs="Calibri"/>
                  <w:b/>
                  <w:sz w:val="20"/>
                  <w:szCs w:val="20"/>
                  <w:vertAlign w:val="superscript"/>
                </w:rPr>
                <w:t>6</w:t>
              </w:r>
            </w:hyperlink>
            <w:r>
              <w:rPr>
                <w:rFonts w:eastAsia="Calibri" w:cs="Calibri"/>
                <w:sz w:val="20"/>
                <w:szCs w:val="20"/>
              </w:rPr>
              <w:t xml:space="preserve"> evidence not required for the resource use component.</w:t>
            </w:r>
            <w:r>
              <w:rPr>
                <w:rFonts w:ascii="Calibri" w:hAnsi="Calibri" w:cstheme="minorHAnsi"/>
                <w:bCs/>
                <w:iCs/>
                <w:sz w:val="20"/>
                <w:szCs w:val="20"/>
              </w:rPr>
              <w:t xml:space="preserve"> </w:t>
            </w:r>
          </w:p>
          <w:p w14:paraId="481C31E3" w14:textId="77777777" w:rsidR="00996EE4" w:rsidRDefault="00132E82">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Pr>
                <w:rFonts w:ascii="Calibri" w:hAnsi="Calibri" w:cstheme="minorHAnsi"/>
                <w:sz w:val="20"/>
                <w:szCs w:val="20"/>
              </w:rPr>
              <w:t xml:space="preserve">For measures derived from </w:t>
            </w:r>
            <w:r>
              <w:rPr>
                <w:rFonts w:ascii="Calibri" w:hAnsi="Calibri" w:cstheme="minorHAnsi"/>
                <w:sz w:val="20"/>
                <w:szCs w:val="20"/>
                <w:u w:val="single"/>
              </w:rPr>
              <w:t>patient reports</w:t>
            </w:r>
            <w:r>
              <w:rPr>
                <w:rFonts w:ascii="Calibri" w:hAnsi="Calibri" w:cstheme="minorHAnsi"/>
                <w:sz w:val="20"/>
                <w:szCs w:val="20"/>
              </w:rPr>
              <w:t>, evidence should demonstrate that the target population values the measured outcome, process, or structure and finds it meaningful.</w:t>
            </w:r>
          </w:p>
          <w:p w14:paraId="7CB2B44B" w14:textId="77777777" w:rsidR="00996EE4" w:rsidRDefault="00132E82">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measures incorporating Appropriate Use Criteria:</w:t>
            </w:r>
            <w:r>
              <w:rPr>
                <w:sz w:val="20"/>
                <w:szCs w:val="20"/>
              </w:rPr>
              <w:t xml:space="preserve"> See NQF’s guidance for evidence for measures, in general; guidance for measures specifically based on clinical practice guidelines apply as well. </w:t>
            </w:r>
          </w:p>
          <w:p w14:paraId="6EBB917C" w14:textId="77777777" w:rsidR="00996EE4" w:rsidRDefault="00996EE4">
            <w:pPr>
              <w:autoSpaceDE w:val="0"/>
              <w:autoSpaceDN w:val="0"/>
              <w:adjustRightInd w:val="0"/>
              <w:rPr>
                <w:rFonts w:eastAsia="Calibri" w:cs="Calibri"/>
                <w:b/>
                <w:bCs/>
                <w:iCs/>
                <w:sz w:val="18"/>
              </w:rPr>
            </w:pPr>
          </w:p>
          <w:p w14:paraId="2CC94626" w14:textId="77777777" w:rsidR="00996EE4" w:rsidRDefault="00132E82">
            <w:pPr>
              <w:autoSpaceDE w:val="0"/>
              <w:autoSpaceDN w:val="0"/>
              <w:adjustRightInd w:val="0"/>
              <w:rPr>
                <w:rFonts w:eastAsia="Calibri" w:cs="Calibri"/>
                <w:b/>
                <w:bCs/>
                <w:iCs/>
                <w:sz w:val="20"/>
                <w:szCs w:val="20"/>
              </w:rPr>
            </w:pPr>
            <w:r>
              <w:rPr>
                <w:rFonts w:eastAsia="Calibri" w:cs="Calibri"/>
                <w:b/>
                <w:bCs/>
                <w:iCs/>
                <w:sz w:val="20"/>
                <w:szCs w:val="20"/>
              </w:rPr>
              <w:t>Notes</w:t>
            </w:r>
          </w:p>
          <w:p w14:paraId="4094DC46" w14:textId="77777777" w:rsidR="00996EE4" w:rsidRDefault="00132E82">
            <w:pPr>
              <w:ind w:left="0" w:firstLine="0"/>
              <w:rPr>
                <w:rFonts w:eastAsia="Calibri" w:cs="Calibri"/>
                <w:sz w:val="20"/>
                <w:szCs w:val="20"/>
              </w:rPr>
            </w:pPr>
            <w:bookmarkStart w:id="1" w:name="Note3"/>
            <w:bookmarkEnd w:id="1"/>
            <w:r>
              <w:rPr>
                <w:rFonts w:eastAsia="Calibri" w:cs="Calibri"/>
                <w:b/>
                <w:sz w:val="20"/>
                <w:szCs w:val="20"/>
              </w:rPr>
              <w:t>3.</w:t>
            </w:r>
            <w:r>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29D33350" w14:textId="77777777" w:rsidR="00996EE4" w:rsidRDefault="00132E82">
            <w:pPr>
              <w:ind w:left="0" w:firstLine="0"/>
              <w:rPr>
                <w:rFonts w:eastAsia="Calibri" w:cs="Calibri"/>
                <w:sz w:val="20"/>
                <w:szCs w:val="20"/>
              </w:rPr>
            </w:pPr>
            <w:bookmarkStart w:id="2" w:name="Note4"/>
            <w:bookmarkEnd w:id="2"/>
            <w:r>
              <w:rPr>
                <w:rFonts w:eastAsia="Calibri" w:cs="Calibri"/>
                <w:b/>
                <w:sz w:val="20"/>
                <w:szCs w:val="20"/>
              </w:rPr>
              <w:t>4.</w:t>
            </w:r>
            <w:r>
              <w:rPr>
                <w:rFonts w:eastAsia="Calibri" w:cs="Calibri"/>
                <w:sz w:val="20"/>
                <w:szCs w:val="20"/>
              </w:rPr>
              <w:t xml:space="preserve"> The preferred systems for grading the evidence are the Grading of Recommendations, Assessment, Development and Evaluation </w:t>
            </w:r>
            <w:hyperlink r:id="rId12" w:history="1">
              <w:r>
                <w:rPr>
                  <w:rFonts w:eastAsia="Calibri" w:cs="Calibri"/>
                  <w:color w:val="0000FF"/>
                  <w:sz w:val="20"/>
                  <w:szCs w:val="20"/>
                  <w:u w:val="single"/>
                </w:rPr>
                <w:t>(GRADE) guidelines</w:t>
              </w:r>
            </w:hyperlink>
            <w:r>
              <w:rPr>
                <w:rFonts w:eastAsia="Calibri" w:cs="Calibri"/>
                <w:sz w:val="20"/>
                <w:szCs w:val="20"/>
              </w:rPr>
              <w:t xml:space="preserve"> and/or modified GRADE.</w:t>
            </w:r>
          </w:p>
          <w:p w14:paraId="26643B49" w14:textId="77777777" w:rsidR="00996EE4" w:rsidRDefault="00132E82">
            <w:pPr>
              <w:ind w:left="0" w:firstLine="0"/>
              <w:rPr>
                <w:rFonts w:eastAsia="Calibri" w:cs="Calibri"/>
                <w:sz w:val="20"/>
                <w:szCs w:val="20"/>
              </w:rPr>
            </w:pPr>
            <w:bookmarkStart w:id="3" w:name="Note5"/>
            <w:bookmarkEnd w:id="3"/>
            <w:r>
              <w:rPr>
                <w:rFonts w:eastAsia="Calibri" w:cs="Calibri"/>
                <w:b/>
                <w:sz w:val="20"/>
                <w:szCs w:val="20"/>
              </w:rPr>
              <w:t>5.</w:t>
            </w:r>
            <w:r>
              <w:rPr>
                <w:rFonts w:eastAsia="Calibri" w:cs="Calibri"/>
                <w:sz w:val="20"/>
                <w:szCs w:val="20"/>
              </w:rPr>
              <w:t xml:space="preserve"> Clinical care processes typically include multiple steps: assess </w:t>
            </w:r>
            <w:r>
              <w:rPr>
                <w:rFonts w:ascii="Symbol" w:eastAsia="Symbol" w:hAnsi="Symbol" w:cs="Symbol"/>
                <w:sz w:val="20"/>
                <w:szCs w:val="20"/>
              </w:rPr>
              <w:t>®</w:t>
            </w:r>
            <w:r>
              <w:rPr>
                <w:rFonts w:eastAsia="Calibri" w:cs="Calibri"/>
                <w:sz w:val="20"/>
                <w:szCs w:val="20"/>
              </w:rPr>
              <w:t xml:space="preserve"> identify problem/potential problem </w:t>
            </w:r>
            <w:r>
              <w:rPr>
                <w:rFonts w:ascii="Symbol" w:eastAsia="Symbol" w:hAnsi="Symbol" w:cs="Symbol"/>
                <w:sz w:val="20"/>
                <w:szCs w:val="20"/>
              </w:rPr>
              <w:t>®</w:t>
            </w:r>
            <w:r>
              <w:rPr>
                <w:rFonts w:eastAsia="Calibri" w:cs="Calibri"/>
                <w:sz w:val="20"/>
                <w:szCs w:val="20"/>
              </w:rPr>
              <w:t xml:space="preserve"> choose/plan intervention (with patient input) </w:t>
            </w:r>
            <w:r>
              <w:rPr>
                <w:rFonts w:ascii="Symbol" w:eastAsia="Symbol" w:hAnsi="Symbol" w:cs="Symbol"/>
                <w:sz w:val="20"/>
                <w:szCs w:val="20"/>
              </w:rPr>
              <w:t>®</w:t>
            </w:r>
            <w:r>
              <w:rPr>
                <w:rFonts w:eastAsia="Calibri" w:cs="Calibri"/>
                <w:sz w:val="20"/>
                <w:szCs w:val="20"/>
              </w:rPr>
              <w:t xml:space="preserve"> provide intervention </w:t>
            </w:r>
            <w:r>
              <w:rPr>
                <w:rFonts w:ascii="Symbol" w:eastAsia="Symbol" w:hAnsi="Symbol" w:cs="Symbol"/>
                <w:sz w:val="20"/>
                <w:szCs w:val="20"/>
              </w:rPr>
              <w:t>®</w:t>
            </w:r>
            <w:r>
              <w:rPr>
                <w:rFonts w:eastAsia="Calibri" w:cs="Calibri"/>
                <w:sz w:val="20"/>
                <w:szCs w:val="20"/>
              </w:rPr>
              <w:t xml:space="preserve"> evaluate impact on health status. If the measure focus is one </w:t>
            </w:r>
            <w:r>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6E433456" w14:textId="77777777" w:rsidR="00996EE4" w:rsidRDefault="00132E82">
            <w:pPr>
              <w:autoSpaceDE w:val="0"/>
              <w:autoSpaceDN w:val="0"/>
              <w:adjustRightInd w:val="0"/>
              <w:ind w:left="0" w:firstLine="0"/>
              <w:contextualSpacing/>
            </w:pPr>
            <w:bookmarkStart w:id="4" w:name="Note6"/>
            <w:bookmarkEnd w:id="4"/>
            <w:r>
              <w:rPr>
                <w:rFonts w:eastAsia="Calibri" w:cs="Calibri"/>
                <w:b/>
                <w:sz w:val="20"/>
                <w:szCs w:val="20"/>
              </w:rPr>
              <w:t xml:space="preserve">6. </w:t>
            </w:r>
            <w:r>
              <w:rPr>
                <w:rFonts w:eastAsia="Calibri" w:cs="Calibri"/>
                <w:sz w:val="20"/>
                <w:szCs w:val="20"/>
              </w:rPr>
              <w:t xml:space="preserve">Measures of efficiency combine the concepts of resource use </w:t>
            </w:r>
            <w:r>
              <w:rPr>
                <w:rFonts w:eastAsia="Calibri" w:cs="Calibri"/>
                <w:sz w:val="20"/>
                <w:szCs w:val="20"/>
                <w:u w:val="single"/>
              </w:rPr>
              <w:t>and</w:t>
            </w:r>
            <w:r>
              <w:rPr>
                <w:rFonts w:eastAsia="Calibri" w:cs="Calibri"/>
                <w:sz w:val="20"/>
                <w:szCs w:val="20"/>
              </w:rPr>
              <w:t xml:space="preserve"> quality (see NQF’s </w:t>
            </w:r>
            <w:hyperlink r:id="rId13" w:history="1">
              <w:r>
                <w:rPr>
                  <w:rFonts w:eastAsia="Calibri" w:cs="Calibri"/>
                  <w:color w:val="0000FF"/>
                  <w:sz w:val="20"/>
                  <w:szCs w:val="20"/>
                  <w:u w:val="single"/>
                </w:rPr>
                <w:t>Measurement Framework: Evaluating Efficiency Across Episodes of Care</w:t>
              </w:r>
            </w:hyperlink>
            <w:r>
              <w:rPr>
                <w:rFonts w:eastAsia="Calibri" w:cs="Calibri"/>
                <w:sz w:val="20"/>
                <w:szCs w:val="20"/>
              </w:rPr>
              <w:t xml:space="preserve">; </w:t>
            </w:r>
            <w:hyperlink r:id="rId14" w:history="1">
              <w:r>
                <w:rPr>
                  <w:rFonts w:eastAsia="Calibri" w:cs="Calibri"/>
                  <w:color w:val="0000FF"/>
                  <w:sz w:val="20"/>
                  <w:szCs w:val="20"/>
                  <w:u w:val="single"/>
                </w:rPr>
                <w:t>AQA Principles of Efficiency Measures</w:t>
              </w:r>
            </w:hyperlink>
            <w:r>
              <w:rPr>
                <w:rFonts w:eastAsia="Calibri" w:cs="Calibri"/>
                <w:sz w:val="20"/>
                <w:szCs w:val="20"/>
              </w:rPr>
              <w:t>).</w:t>
            </w:r>
          </w:p>
        </w:tc>
      </w:tr>
    </w:tbl>
    <w:p w14:paraId="452BCB82" w14:textId="77777777" w:rsidR="00996EE4" w:rsidRDefault="00996EE4">
      <w:pPr>
        <w:ind w:left="0" w:firstLine="0"/>
        <w:rPr>
          <w:b/>
          <w:bCs/>
          <w:color w:val="0000FF"/>
        </w:rPr>
      </w:pPr>
    </w:p>
    <w:p w14:paraId="3C2B1CAF" w14:textId="77777777" w:rsidR="00996EE4" w:rsidRDefault="00132E82">
      <w:pPr>
        <w:ind w:left="0" w:firstLine="0"/>
        <w:rPr>
          <w:bCs/>
          <w:i/>
        </w:rPr>
      </w:pPr>
      <w:r>
        <w:rPr>
          <w:b/>
          <w:bCs/>
          <w:color w:val="0000FF"/>
        </w:rPr>
        <w:t>1a.1.</w:t>
      </w:r>
      <w:r>
        <w:rPr>
          <w:b/>
          <w:bCs/>
        </w:rPr>
        <w:t>This is a measure of</w:t>
      </w:r>
      <w:r>
        <w:rPr>
          <w:bCs/>
        </w:rPr>
        <w:t>: (</w:t>
      </w:r>
      <w:r>
        <w:rPr>
          <w:bCs/>
          <w:i/>
        </w:rPr>
        <w:t>should be consistent with type of measure entered in De.1</w:t>
      </w:r>
      <w:r>
        <w:rPr>
          <w:bCs/>
        </w:rPr>
        <w:t xml:space="preserve">) </w:t>
      </w:r>
    </w:p>
    <w:p w14:paraId="5CF832F9" w14:textId="77777777" w:rsidR="00996EE4" w:rsidRDefault="00132E82">
      <w:pPr>
        <w:ind w:left="432" w:hanging="432"/>
        <w:rPr>
          <w:rFonts w:cs="Calibri"/>
          <w:bCs/>
        </w:rPr>
      </w:pPr>
      <w:r>
        <w:rPr>
          <w:rFonts w:cs="Calibri"/>
          <w:bCs/>
        </w:rPr>
        <w:t>Outcome</w:t>
      </w:r>
    </w:p>
    <w:p w14:paraId="38C86CA6" w14:textId="5B55DB09" w:rsidR="00996EE4" w:rsidRDefault="00A964CF">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132E82">
            <w:rPr>
              <w:rFonts w:ascii="MS Gothic" w:eastAsia="MS Gothic" w:hAnsi="MS Gothic" w:hint="eastAsia"/>
              <w:bCs/>
              <w:color w:val="0000FF"/>
              <w:u w:val="single"/>
            </w:rPr>
            <w:t>☒</w:t>
          </w:r>
        </w:sdtContent>
      </w:sdt>
      <w:r w:rsidR="00132E82">
        <w:rPr>
          <w:bCs/>
          <w:color w:val="0000FF"/>
        </w:rPr>
        <w:t xml:space="preserve"> O</w:t>
      </w:r>
      <w:r w:rsidR="00132E82">
        <w:rPr>
          <w:bCs/>
        </w:rPr>
        <w:t xml:space="preserve">utcome: </w:t>
      </w:r>
      <w:sdt>
        <w:sdtPr>
          <w:rPr>
            <w:rStyle w:val="Style2"/>
            <w:rFonts w:cstheme="minorHAnsi"/>
          </w:rPr>
          <w:id w:val="-768232283"/>
        </w:sdtPr>
        <w:sdtEndPr>
          <w:rPr>
            <w:rStyle w:val="DefaultParagraphFont"/>
            <w:rFonts w:cstheme="minorBidi"/>
            <w:color w:val="auto"/>
            <w:u w:val="none"/>
          </w:rPr>
        </w:sdtEndPr>
        <w:sdtContent>
          <w:r w:rsidR="001C6D97">
            <w:rPr>
              <w:rStyle w:val="Style2"/>
              <w:rFonts w:cstheme="minorHAnsi"/>
            </w:rPr>
            <w:t>Acute unplanned cardiovascular-related admissions</w:t>
          </w:r>
        </w:sdtContent>
      </w:sdt>
    </w:p>
    <w:p w14:paraId="7BFCEF3F" w14:textId="77777777" w:rsidR="00996EE4" w:rsidRDefault="00A964CF">
      <w:pPr>
        <w:ind w:left="864" w:hanging="432"/>
        <w:rPr>
          <w:b/>
          <w:bCs/>
        </w:rPr>
      </w:pPr>
      <w:sdt>
        <w:sdtPr>
          <w:rPr>
            <w:bCs/>
            <w:color w:val="0000FF"/>
            <w:shd w:val="clear" w:color="auto" w:fill="E6E6E6"/>
          </w:rPr>
          <w:id w:val="-1541041819"/>
          <w14:checkbox>
            <w14:checked w14:val="0"/>
            <w14:checkedState w14:val="2612" w14:font="MS Gothic"/>
            <w14:uncheckedState w14:val="2610" w14:font="MS Gothic"/>
          </w14:checkbox>
        </w:sdtPr>
        <w:sdtEndPr/>
        <w:sdtContent>
          <w:r w:rsidR="00132E82">
            <w:rPr>
              <w:rFonts w:ascii="MS Gothic" w:eastAsia="MS Gothic" w:hAnsi="MS Gothic" w:hint="eastAsia"/>
              <w:bCs/>
              <w:color w:val="0000FF"/>
            </w:rPr>
            <w:t>☐</w:t>
          </w:r>
        </w:sdtContent>
      </w:sdt>
      <w:r w:rsidR="00132E82">
        <w:rPr>
          <w:bCs/>
        </w:rPr>
        <w:t xml:space="preserve">Patient-reported outcome (PRO): </w:t>
      </w:r>
      <w:sdt>
        <w:sdtPr>
          <w:rPr>
            <w:rStyle w:val="Style2"/>
            <w:rFonts w:cstheme="minorHAnsi"/>
          </w:rPr>
          <w:id w:val="528310131"/>
          <w:showingPlcHdr/>
        </w:sdtPr>
        <w:sdtEndPr>
          <w:rPr>
            <w:rStyle w:val="DefaultParagraphFont"/>
            <w:rFonts w:cstheme="minorBidi"/>
            <w:color w:val="auto"/>
            <w:u w:val="none"/>
          </w:rPr>
        </w:sdtEndPr>
        <w:sdtContent>
          <w:r w:rsidR="00132E82">
            <w:rPr>
              <w:color w:val="A6A6A6" w:themeColor="background1" w:themeShade="A6"/>
            </w:rPr>
            <w:t>Click here to n</w:t>
          </w:r>
          <w:r w:rsidR="00132E82">
            <w:rPr>
              <w:rStyle w:val="PlaceholderText"/>
              <w:rFonts w:cstheme="minorHAnsi"/>
              <w:color w:val="A6A6A6" w:themeColor="background1" w:themeShade="A6"/>
            </w:rPr>
            <w:t>ame the PRO</w:t>
          </w:r>
        </w:sdtContent>
      </w:sdt>
    </w:p>
    <w:p w14:paraId="31734703" w14:textId="77777777" w:rsidR="00996EE4" w:rsidRDefault="00132E82">
      <w:pPr>
        <w:ind w:left="720" w:firstLine="0"/>
        <w:rPr>
          <w:rFonts w:eastAsia="MS Gothic" w:cs="MS Gothic"/>
          <w:bCs/>
          <w:i/>
          <w:color w:val="0000FF"/>
        </w:rPr>
      </w:pPr>
      <w:r>
        <w:rPr>
          <w:bCs/>
          <w:i/>
        </w:rPr>
        <w:t xml:space="preserve">PROs include </w:t>
      </w:r>
      <w:proofErr w:type="spellStart"/>
      <w:r>
        <w:rPr>
          <w:bCs/>
          <w:i/>
        </w:rPr>
        <w:t>HRQoL</w:t>
      </w:r>
      <w:proofErr w:type="spellEnd"/>
      <w:r>
        <w:rPr>
          <w:bCs/>
          <w:i/>
        </w:rPr>
        <w:t>/functional status, symptom/symptom burden, experience with care, health-related behaviors.</w:t>
      </w:r>
      <w:r>
        <w:rPr>
          <w:rFonts w:eastAsia="Calibri" w:cs="Calibri"/>
          <w:sz w:val="20"/>
          <w:szCs w:val="20"/>
        </w:rPr>
        <w:t xml:space="preserve"> </w:t>
      </w:r>
      <w:r>
        <w:rPr>
          <w:rFonts w:eastAsia="Calibri" w:cs="Calibri"/>
        </w:rPr>
        <w:t>(</w:t>
      </w:r>
      <w:r>
        <w:rPr>
          <w:rFonts w:eastAsia="Calibri" w:cs="Calibri"/>
          <w:i/>
        </w:rPr>
        <w:t>A PRO-based performance measure is not a survey instrument. Data may be collected using a survey instrument to construct a PRO measure.)</w:t>
      </w:r>
    </w:p>
    <w:p w14:paraId="2E781323" w14:textId="77777777" w:rsidR="00996EE4" w:rsidRDefault="00A964CF">
      <w:pPr>
        <w:rPr>
          <w:bCs/>
        </w:rPr>
      </w:pPr>
      <w:sdt>
        <w:sdtPr>
          <w:rPr>
            <w:bCs/>
            <w:color w:val="0000FF"/>
            <w:shd w:val="clear" w:color="auto" w:fill="E6E6E6"/>
          </w:rPr>
          <w:id w:val="-720977531"/>
          <w14:checkbox>
            <w14:checked w14:val="0"/>
            <w14:checkedState w14:val="2612" w14:font="MS Gothic"/>
            <w14:uncheckedState w14:val="2610" w14:font="MS Gothic"/>
          </w14:checkbox>
        </w:sdtPr>
        <w:sdtEndPr/>
        <w:sdtContent>
          <w:r w:rsidR="00132E82">
            <w:rPr>
              <w:rFonts w:ascii="Segoe UI Symbol" w:hAnsi="Segoe UI Symbol" w:cs="Segoe UI Symbol"/>
              <w:bCs/>
              <w:color w:val="0000FF"/>
            </w:rPr>
            <w:t>☐</w:t>
          </w:r>
        </w:sdtContent>
      </w:sdt>
      <w:r w:rsidR="00132E82">
        <w:rPr>
          <w:bCs/>
          <w:color w:val="0000FF"/>
        </w:rPr>
        <w:t xml:space="preserve"> </w:t>
      </w:r>
      <w:r w:rsidR="00132E82">
        <w:rPr>
          <w:bCs/>
        </w:rPr>
        <w:t>Intermediate clinical outcome (</w:t>
      </w:r>
      <w:r w:rsidR="00132E82">
        <w:rPr>
          <w:bCs/>
          <w:i/>
        </w:rPr>
        <w:t>e.g., lab value</w:t>
      </w:r>
      <w:r w:rsidR="00132E82">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the intermediate outcome</w:t>
          </w:r>
        </w:sdtContent>
      </w:sdt>
    </w:p>
    <w:p w14:paraId="4F82DF69" w14:textId="77777777" w:rsidR="00996EE4" w:rsidRDefault="00A964CF">
      <w:pPr>
        <w:ind w:left="432" w:hanging="432"/>
        <w:rPr>
          <w:bCs/>
        </w:rPr>
      </w:pPr>
      <w:sdt>
        <w:sdtPr>
          <w:rPr>
            <w:bCs/>
            <w:color w:val="0000FF"/>
            <w:shd w:val="clear" w:color="auto" w:fill="E6E6E6"/>
          </w:rPr>
          <w:id w:val="-1535727686"/>
          <w14:checkbox>
            <w14:checked w14:val="0"/>
            <w14:checkedState w14:val="2612" w14:font="MS Gothic"/>
            <w14:uncheckedState w14:val="2610" w14:font="MS Gothic"/>
          </w14:checkbox>
        </w:sdtPr>
        <w:sdtEndPr/>
        <w:sdtContent>
          <w:r w:rsidR="00132E82">
            <w:rPr>
              <w:rFonts w:ascii="MS Gothic" w:eastAsia="MS Gothic" w:hAnsi="MS Gothic" w:hint="eastAsia"/>
              <w:bCs/>
              <w:color w:val="0000FF"/>
            </w:rPr>
            <w:t>☐</w:t>
          </w:r>
        </w:sdtContent>
      </w:sdt>
      <w:r w:rsidR="00132E82">
        <w:rPr>
          <w:bCs/>
        </w:rPr>
        <w:t xml:space="preserve"> Process:  </w:t>
      </w:r>
      <w:sdt>
        <w:sdtPr>
          <w:rPr>
            <w:rStyle w:val="Style2"/>
            <w:rFonts w:cstheme="minorHAnsi"/>
          </w:rPr>
          <w:id w:val="-247648753"/>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what is being measured</w:t>
          </w:r>
        </w:sdtContent>
      </w:sdt>
    </w:p>
    <w:p w14:paraId="6AC193BC" w14:textId="77777777" w:rsidR="00996EE4" w:rsidRDefault="00132E82">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shd w:val="clear" w:color="auto" w:fill="E6E6E6"/>
          </w:rPr>
          <w:id w:val="1303807965"/>
          <w14:checkbox>
            <w14:checked w14:val="0"/>
            <w14:checkedState w14:val="2612" w14:font="MS Gothic"/>
            <w14:uncheckedState w14:val="2610" w14:font="MS Gothic"/>
          </w14:checkbox>
        </w:sdtPr>
        <w:sdtEndPr/>
        <w:sdtContent>
          <w:r>
            <w:rPr>
              <w:rFonts w:ascii="MS Gothic" w:eastAsia="MS Gothic" w:hAnsi="MS Gothic" w:hint="eastAsia"/>
              <w:bCs/>
              <w:color w:val="0000FF"/>
            </w:rPr>
            <w:t>☐</w:t>
          </w:r>
        </w:sdtContent>
      </w:sdt>
      <w:r>
        <w:rPr>
          <w:rFonts w:ascii="MS Gothic" w:eastAsia="MS Gothic" w:hAnsi="MS Gothic"/>
          <w:bCs/>
          <w:color w:val="0000FF"/>
        </w:rPr>
        <w:t xml:space="preserve"> </w:t>
      </w:r>
      <w:r>
        <w:rPr>
          <w:rFonts w:eastAsia="MS Gothic"/>
          <w:bCs/>
        </w:rPr>
        <w:t>Appropriate use measure:</w:t>
      </w:r>
      <w:r>
        <w:rPr>
          <w:bCs/>
        </w:rPr>
        <w:t xml:space="preserve"> </w:t>
      </w:r>
      <w:r>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1F4D9646" w14:textId="77777777" w:rsidR="00996EE4" w:rsidRDefault="00A964CF">
      <w:pPr>
        <w:ind w:left="432" w:hanging="432"/>
        <w:rPr>
          <w:bCs/>
        </w:rPr>
      </w:pPr>
      <w:sdt>
        <w:sdtPr>
          <w:rPr>
            <w:bCs/>
            <w:color w:val="0000FF"/>
            <w:shd w:val="clear" w:color="auto" w:fill="E6E6E6"/>
          </w:rPr>
          <w:id w:val="1676770628"/>
          <w14:checkbox>
            <w14:checked w14:val="0"/>
            <w14:checkedState w14:val="2612" w14:font="MS Gothic"/>
            <w14:uncheckedState w14:val="2610" w14:font="MS Gothic"/>
          </w14:checkbox>
        </w:sdtPr>
        <w:sdtEndPr/>
        <w:sdtContent>
          <w:r w:rsidR="00132E82">
            <w:rPr>
              <w:rFonts w:ascii="MS Gothic" w:eastAsia="MS Gothic" w:hAnsi="MS Gothic" w:hint="eastAsia"/>
              <w:bCs/>
              <w:color w:val="0000FF"/>
            </w:rPr>
            <w:t>☐</w:t>
          </w:r>
        </w:sdtContent>
      </w:sdt>
      <w:r w:rsidR="00132E82">
        <w:rPr>
          <w:bCs/>
        </w:rPr>
        <w:t xml:space="preserve"> Structure:  </w:t>
      </w:r>
      <w:sdt>
        <w:sdtPr>
          <w:rPr>
            <w:rStyle w:val="Style2"/>
            <w:rFonts w:cstheme="minorHAnsi"/>
          </w:rPr>
          <w:id w:val="399486169"/>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the structure</w:t>
          </w:r>
        </w:sdtContent>
      </w:sdt>
    </w:p>
    <w:p w14:paraId="7E8AC262" w14:textId="77777777" w:rsidR="00996EE4" w:rsidRDefault="00A964CF">
      <w:pPr>
        <w:ind w:left="432" w:hanging="432"/>
        <w:rPr>
          <w:bCs/>
        </w:rPr>
      </w:pPr>
      <w:sdt>
        <w:sdtPr>
          <w:rPr>
            <w:bCs/>
            <w:color w:val="0000FF"/>
            <w:shd w:val="clear" w:color="auto" w:fill="E6E6E6"/>
          </w:rPr>
          <w:id w:val="1719405626"/>
          <w14:checkbox>
            <w14:checked w14:val="0"/>
            <w14:checkedState w14:val="2612" w14:font="MS Gothic"/>
            <w14:uncheckedState w14:val="2610" w14:font="MS Gothic"/>
          </w14:checkbox>
        </w:sdtPr>
        <w:sdtEndPr/>
        <w:sdtContent>
          <w:r w:rsidR="00132E82">
            <w:rPr>
              <w:rFonts w:ascii="MS Gothic" w:eastAsia="MS Gothic" w:hAnsi="MS Gothic" w:cs="MS Gothic" w:hint="eastAsia"/>
              <w:bCs/>
              <w:color w:val="0000FF"/>
            </w:rPr>
            <w:t>☐</w:t>
          </w:r>
        </w:sdtContent>
      </w:sdt>
      <w:r w:rsidR="00132E82">
        <w:rPr>
          <w:bCs/>
        </w:rPr>
        <w:t xml:space="preserve"> Composite:  </w:t>
      </w:r>
      <w:sdt>
        <w:sdtPr>
          <w:rPr>
            <w:rStyle w:val="Style2"/>
            <w:rFonts w:cstheme="minorHAnsi"/>
          </w:rPr>
          <w:id w:val="949512032"/>
          <w:showingPlcHdr/>
        </w:sdtPr>
        <w:sdtEndPr>
          <w:rPr>
            <w:rStyle w:val="DefaultParagraphFont"/>
            <w:rFonts w:cstheme="minorBidi"/>
            <w:bCs/>
            <w:color w:val="auto"/>
            <w:u w:val="none"/>
          </w:rPr>
        </w:sdtEndPr>
        <w:sdtContent>
          <w:r w:rsidR="00132E82">
            <w:rPr>
              <w:rStyle w:val="PlaceholderText"/>
              <w:rFonts w:cstheme="minorHAnsi"/>
              <w:color w:val="A6A6A6" w:themeColor="background1" w:themeShade="A6"/>
            </w:rPr>
            <w:t>Click here to name what is being measured</w:t>
          </w:r>
        </w:sdtContent>
      </w:sdt>
    </w:p>
    <w:p w14:paraId="2C502A54" w14:textId="77777777" w:rsidR="00996EE4" w:rsidRDefault="00996EE4">
      <w:pPr>
        <w:ind w:left="0" w:firstLine="0"/>
        <w:rPr>
          <w:bCs/>
        </w:rPr>
      </w:pPr>
    </w:p>
    <w:p w14:paraId="1A74B4C1" w14:textId="39FDD4A5" w:rsidR="00996EE4" w:rsidRDefault="00132E82">
      <w:pPr>
        <w:ind w:left="432" w:hanging="432"/>
      </w:pPr>
      <w:r w:rsidRPr="63A9AF86">
        <w:rPr>
          <w:b/>
          <w:bCs/>
          <w:color w:val="0000FF"/>
        </w:rPr>
        <w:t>1a.2</w:t>
      </w:r>
      <w:r>
        <w:t xml:space="preserve"> </w:t>
      </w:r>
      <w:r w:rsidRPr="63A9AF86">
        <w:rPr>
          <w:b/>
          <w:bCs/>
          <w:highlight w:val="cyan"/>
        </w:rPr>
        <w:t>LOGIC MODEL</w:t>
      </w:r>
      <w:r w:rsidRPr="63A9AF86">
        <w:rPr>
          <w:highlight w:val="cyan"/>
        </w:rPr>
        <w:t xml:space="preserve"> 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14:paraId="3AA9DBED" w14:textId="77777777" w:rsidR="00480967" w:rsidRDefault="00480967"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p>
    <w:p w14:paraId="4C263CB9" w14:textId="5CE93EDD" w:rsidR="00BA4BFE" w:rsidRDefault="00374E8C"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r w:rsidRPr="00374E8C">
        <w:rPr>
          <w:noProof/>
          <w:color w:val="2B579A"/>
          <w:shd w:val="clear" w:color="auto" w:fill="E6E6E6"/>
        </w:rPr>
        <w:drawing>
          <wp:inline distT="0" distB="0" distL="0" distR="0" wp14:anchorId="26BA8E4C" wp14:editId="1BE24554">
            <wp:extent cx="5942527" cy="1932167"/>
            <wp:effectExtent l="0" t="0" r="0" b="0"/>
            <wp:docPr id="2" name="Picture 2" descr="This figure shows the logic model of how healthcare structures and processes for HF treatment and care can influence health outcomes for HF patients. " title="Logic Model for HF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99594" cy="1950722"/>
                    </a:xfrm>
                    <a:prstGeom prst="rect">
                      <a:avLst/>
                    </a:prstGeom>
                    <a:noFill/>
                    <a:ln>
                      <a:noFill/>
                    </a:ln>
                  </pic:spPr>
                </pic:pic>
              </a:graphicData>
            </a:graphic>
          </wp:inline>
        </w:drawing>
      </w:r>
    </w:p>
    <w:p w14:paraId="13C2969D" w14:textId="77777777" w:rsidR="00480967" w:rsidRDefault="00480967"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p>
    <w:p w14:paraId="6FB8EE39" w14:textId="3DB5F3D2" w:rsidR="00CA71C7" w:rsidRPr="00D9365C" w:rsidRDefault="00CA71C7"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r w:rsidRPr="00D9365C">
        <w:rPr>
          <w:rFonts w:ascii="Calibri" w:eastAsia="Times New Roman" w:hAnsi="Calibri" w:cs="Calibri"/>
          <w:color w:val="000000"/>
        </w:rPr>
        <w:t xml:space="preserve">Patients with chronic </w:t>
      </w:r>
      <w:r w:rsidR="00244F86">
        <w:rPr>
          <w:rFonts w:ascii="Calibri" w:eastAsia="Times New Roman" w:hAnsi="Calibri" w:cs="Calibri"/>
          <w:color w:val="000000"/>
        </w:rPr>
        <w:t>heart failure (</w:t>
      </w:r>
      <w:r w:rsidRPr="00D9365C">
        <w:rPr>
          <w:rFonts w:ascii="Calibri" w:eastAsia="Times New Roman" w:hAnsi="Calibri" w:cs="Calibri"/>
          <w:color w:val="000000"/>
        </w:rPr>
        <w:t>HF</w:t>
      </w:r>
      <w:r w:rsidR="00244F86">
        <w:rPr>
          <w:rFonts w:ascii="Calibri" w:eastAsia="Times New Roman" w:hAnsi="Calibri" w:cs="Calibri"/>
          <w:color w:val="000000"/>
        </w:rPr>
        <w:t>)</w:t>
      </w:r>
      <w:r w:rsidRPr="00D9365C">
        <w:rPr>
          <w:rFonts w:ascii="Calibri" w:eastAsia="Times New Roman" w:hAnsi="Calibri" w:cs="Calibri"/>
          <w:color w:val="000000"/>
        </w:rPr>
        <w:t xml:space="preserve"> are vulnerable to a range of complications that may put them at risk for hospitalization, including worsening of HF symptoms and destabilization due to other conditions, such as respiratory disease or infection. The risk for hospitalization may relate to an individual’s clinical and social</w:t>
      </w:r>
      <w:r w:rsidR="00374E8C">
        <w:rPr>
          <w:rFonts w:ascii="Calibri" w:eastAsia="Times New Roman" w:hAnsi="Calibri" w:cs="Calibri"/>
          <w:color w:val="000000"/>
        </w:rPr>
        <w:t>/community</w:t>
      </w:r>
      <w:r w:rsidRPr="00D9365C">
        <w:rPr>
          <w:rFonts w:ascii="Calibri" w:eastAsia="Times New Roman" w:hAnsi="Calibri" w:cs="Calibri"/>
          <w:color w:val="000000"/>
        </w:rPr>
        <w:t xml:space="preserve"> risk factors, though risk may also be affected by the quality of care received, including adoption of guideline-directed medical therapy, early intervention of acute symptoms, care coordination across providers, and support for self-management may also influence the probability of hospitalization.</w:t>
      </w:r>
    </w:p>
    <w:p w14:paraId="2497E4E3" w14:textId="77777777" w:rsidR="00CA71C7" w:rsidRDefault="00CA71C7"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p>
    <w:p w14:paraId="7234ACC2" w14:textId="033B2778" w:rsidR="00CA71C7" w:rsidRPr="00D9365C" w:rsidRDefault="00CA71C7"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r w:rsidRPr="00D9365C">
        <w:rPr>
          <w:rFonts w:ascii="Calibri" w:eastAsia="Times New Roman" w:hAnsi="Calibri" w:cs="Calibri"/>
          <w:color w:val="000000"/>
        </w:rPr>
        <w:t>Hospital admission rates are an important marker of ambulatory care quality</w:t>
      </w:r>
      <w:r w:rsidR="006E7626">
        <w:rPr>
          <w:rFonts w:ascii="Calibri" w:eastAsia="Times New Roman" w:hAnsi="Calibri" w:cs="Calibri"/>
          <w:color w:val="000000"/>
        </w:rPr>
        <w:t xml:space="preserve"> for patients with </w:t>
      </w:r>
      <w:r w:rsidR="00EC4308">
        <w:rPr>
          <w:rFonts w:ascii="Calibri" w:eastAsia="Times New Roman" w:hAnsi="Calibri" w:cs="Calibri"/>
          <w:color w:val="000000"/>
        </w:rPr>
        <w:t>HF</w:t>
      </w:r>
      <w:r w:rsidRPr="00D9365C">
        <w:rPr>
          <w:rFonts w:ascii="Calibri" w:eastAsia="Times New Roman" w:hAnsi="Calibri" w:cs="Calibri"/>
          <w:color w:val="000000"/>
        </w:rPr>
        <w:t xml:space="preserve">. Hospital admissions from the outpatient setting may reflect deterioration in patients’ clinical status or a new acute illness and as such, reflect an outcome that is meaningful to both patients and providers. In addition, hospitalization increases potential exposure to iatrogenic injury and the increasingly </w:t>
      </w:r>
      <w:r w:rsidRPr="00D9365C">
        <w:rPr>
          <w:rFonts w:ascii="Calibri" w:eastAsia="Times New Roman" w:hAnsi="Calibri" w:cs="Calibri"/>
          <w:color w:val="000000"/>
        </w:rPr>
        <w:lastRenderedPageBreak/>
        <w:t>recognized toxic effects of hospitalization (</w:t>
      </w:r>
      <w:r w:rsidR="00A27FBC">
        <w:rPr>
          <w:rFonts w:ascii="Calibri" w:eastAsia="Times New Roman" w:hAnsi="Calibri" w:cs="Calibri"/>
          <w:color w:val="000000"/>
        </w:rPr>
        <w:t>for example</w:t>
      </w:r>
      <w:r w:rsidRPr="00D9365C">
        <w:rPr>
          <w:rFonts w:ascii="Calibri" w:eastAsia="Times New Roman" w:hAnsi="Calibri" w:cs="Calibri"/>
          <w:color w:val="000000"/>
        </w:rPr>
        <w:t>, sleep deprivation; poor nourishment; deconditioning from inactivity; confusion from medications;</w:t>
      </w:r>
      <w:r w:rsidR="00EC4308">
        <w:rPr>
          <w:rFonts w:ascii="Calibri" w:eastAsia="Times New Roman" w:hAnsi="Calibri" w:cs="Calibri"/>
          <w:color w:val="000000"/>
        </w:rPr>
        <w:t xml:space="preserve"> and</w:t>
      </w:r>
      <w:r w:rsidRPr="00D9365C">
        <w:rPr>
          <w:rFonts w:ascii="Calibri" w:eastAsia="Times New Roman" w:hAnsi="Calibri" w:cs="Calibri"/>
          <w:color w:val="000000"/>
        </w:rPr>
        <w:t xml:space="preserve"> stress from mental exhaustion) leading to “post hospitalization syndrome,”</w:t>
      </w:r>
      <w:r w:rsidR="001C6D97">
        <w:rPr>
          <w:rFonts w:ascii="Calibri" w:eastAsia="Times New Roman" w:hAnsi="Calibri" w:cs="Calibri"/>
          <w:color w:val="000000"/>
        </w:rPr>
        <w:t xml:space="preserve"> [1</w:t>
      </w:r>
      <w:r>
        <w:rPr>
          <w:rFonts w:ascii="Calibri" w:eastAsia="Times New Roman" w:hAnsi="Calibri" w:cs="Calibri"/>
          <w:color w:val="000000"/>
        </w:rPr>
        <w:t>]</w:t>
      </w:r>
      <w:r w:rsidRPr="00D9365C">
        <w:rPr>
          <w:rFonts w:ascii="Calibri" w:eastAsia="Times New Roman" w:hAnsi="Calibri" w:cs="Calibri"/>
          <w:color w:val="000000"/>
        </w:rPr>
        <w:t xml:space="preserve"> which may contribute to the risk of readmission. </w:t>
      </w:r>
      <w:r w:rsidRPr="00D9365C">
        <w:rPr>
          <w:rFonts w:ascii="Calibri" w:eastAsia="Times New Roman" w:hAnsi="Calibri" w:cs="Calibri"/>
          <w:color w:val="000000"/>
          <w:lang w:bidi="en-US"/>
        </w:rPr>
        <w:t>Measurement and reduction of hospital admissions among patients with HF is a national priority, due to the clinical significance and high cos</w:t>
      </w:r>
      <w:r w:rsidR="00DB4B14">
        <w:rPr>
          <w:rFonts w:ascii="Calibri" w:eastAsia="Times New Roman" w:hAnsi="Calibri" w:cs="Calibri"/>
          <w:color w:val="000000"/>
          <w:lang w:bidi="en-US"/>
        </w:rPr>
        <w:t>ts associated with these events</w:t>
      </w:r>
      <w:r w:rsidRPr="00D9365C">
        <w:rPr>
          <w:rFonts w:ascii="Calibri" w:eastAsia="Times New Roman" w:hAnsi="Calibri" w:cs="Calibri"/>
          <w:color w:val="000000"/>
          <w:lang w:bidi="en-US"/>
        </w:rPr>
        <w:t xml:space="preserve"> </w:t>
      </w:r>
      <w:r w:rsidR="001C6D97">
        <w:rPr>
          <w:rFonts w:ascii="Calibri" w:eastAsia="Times New Roman" w:hAnsi="Calibri" w:cs="Calibri"/>
          <w:color w:val="000000"/>
          <w:lang w:bidi="en-US"/>
        </w:rPr>
        <w:t>[2</w:t>
      </w:r>
      <w:r w:rsidR="006D0A8A">
        <w:rPr>
          <w:rFonts w:ascii="Calibri" w:eastAsia="Times New Roman" w:hAnsi="Calibri" w:cs="Calibri"/>
          <w:color w:val="000000"/>
          <w:lang w:bidi="en-US"/>
        </w:rPr>
        <w:t>]</w:t>
      </w:r>
      <w:r w:rsidR="00DB4B14">
        <w:rPr>
          <w:rFonts w:ascii="Calibri" w:eastAsia="Times New Roman" w:hAnsi="Calibri" w:cs="Calibri"/>
          <w:color w:val="000000"/>
          <w:lang w:bidi="en-US"/>
        </w:rPr>
        <w:t>.</w:t>
      </w:r>
      <w:r w:rsidR="006D0A8A">
        <w:rPr>
          <w:rFonts w:ascii="Calibri" w:eastAsia="Times New Roman" w:hAnsi="Calibri" w:cs="Calibri"/>
          <w:color w:val="000000"/>
          <w:lang w:bidi="en-US"/>
        </w:rPr>
        <w:t xml:space="preserve"> </w:t>
      </w:r>
      <w:r w:rsidRPr="00D9365C">
        <w:rPr>
          <w:rFonts w:ascii="Calibri" w:eastAsia="Times New Roman" w:hAnsi="Calibri" w:cs="Calibri"/>
          <w:color w:val="000000"/>
          <w:lang w:bidi="en-US"/>
        </w:rPr>
        <w:t xml:space="preserve">There is evidence that </w:t>
      </w:r>
      <w:r w:rsidR="00374E8C">
        <w:rPr>
          <w:rFonts w:ascii="Calibri" w:eastAsia="Times New Roman" w:hAnsi="Calibri" w:cs="Calibri"/>
          <w:color w:val="000000"/>
          <w:lang w:bidi="en-US"/>
        </w:rPr>
        <w:t>outpatient clinicians can improve HF patients’</w:t>
      </w:r>
      <w:r w:rsidRPr="00D9365C">
        <w:rPr>
          <w:rFonts w:ascii="Calibri" w:eastAsia="Times New Roman" w:hAnsi="Calibri" w:cs="Calibri"/>
          <w:color w:val="000000"/>
          <w:lang w:bidi="en-US"/>
        </w:rPr>
        <w:t xml:space="preserve"> risk of hospitalizations in a variety of ways, including but not limited to </w:t>
      </w:r>
      <w:r w:rsidRPr="00D9365C">
        <w:rPr>
          <w:rFonts w:ascii="Calibri" w:eastAsia="Times New Roman" w:hAnsi="Calibri" w:cs="Calibri"/>
          <w:color w:val="000000"/>
        </w:rPr>
        <w:t>accessible primary care, coordination across providers and across care settings, early attention to changes in clinical status, adoption of guideline-directed medical therapy, careful prescribing in patients with comorbidities, patient education, and support for self-management</w:t>
      </w:r>
      <w:r w:rsidR="003A481C">
        <w:rPr>
          <w:rFonts w:ascii="Calibri" w:eastAsia="Times New Roman" w:hAnsi="Calibri" w:cs="Calibri"/>
          <w:color w:val="000000"/>
        </w:rPr>
        <w:t xml:space="preserve"> [3]</w:t>
      </w:r>
      <w:r w:rsidRPr="00D9365C">
        <w:rPr>
          <w:rFonts w:ascii="Calibri" w:eastAsia="Times New Roman" w:hAnsi="Calibri" w:cs="Calibri"/>
          <w:color w:val="000000"/>
        </w:rPr>
        <w:t>.</w:t>
      </w:r>
    </w:p>
    <w:p w14:paraId="69D47593" w14:textId="77777777" w:rsidR="00CA71C7" w:rsidRPr="00D9365C" w:rsidRDefault="00CA71C7"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p>
    <w:p w14:paraId="16AF8636" w14:textId="6E2BCED8" w:rsidR="00CA71C7" w:rsidRDefault="00414B42"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r>
        <w:rPr>
          <w:rFonts w:ascii="Calibri" w:eastAsia="Times New Roman" w:hAnsi="Calibri" w:cs="Calibri"/>
          <w:color w:val="000000"/>
        </w:rPr>
        <w:t>This measure will provide clinicians with information about risk-standardized</w:t>
      </w:r>
      <w:r w:rsidR="00EC4308">
        <w:rPr>
          <w:rFonts w:ascii="Calibri" w:eastAsia="Times New Roman" w:hAnsi="Calibri" w:cs="Calibri"/>
          <w:color w:val="000000"/>
        </w:rPr>
        <w:t xml:space="preserve"> acute unplanned cardiovascular-</w:t>
      </w:r>
      <w:r>
        <w:rPr>
          <w:rFonts w:ascii="Calibri" w:eastAsia="Times New Roman" w:hAnsi="Calibri" w:cs="Calibri"/>
          <w:color w:val="000000"/>
        </w:rPr>
        <w:t>related admissions. This meas</w:t>
      </w:r>
      <w:r w:rsidR="007E32C5">
        <w:rPr>
          <w:rFonts w:ascii="Calibri" w:eastAsia="Times New Roman" w:hAnsi="Calibri" w:cs="Calibri"/>
          <w:color w:val="000000"/>
        </w:rPr>
        <w:t>u</w:t>
      </w:r>
      <w:r>
        <w:rPr>
          <w:rFonts w:ascii="Calibri" w:eastAsia="Times New Roman" w:hAnsi="Calibri" w:cs="Calibri"/>
          <w:color w:val="000000"/>
        </w:rPr>
        <w:t xml:space="preserve">re will capture and provide information on these patient outcomes that is currently not available to clinicians participating under MIPS. </w:t>
      </w:r>
      <w:r w:rsidR="00CA71C7" w:rsidRPr="00D9365C">
        <w:rPr>
          <w:rFonts w:ascii="Calibri" w:eastAsia="Times New Roman" w:hAnsi="Calibri" w:cs="Calibri"/>
          <w:color w:val="000000"/>
        </w:rPr>
        <w:t xml:space="preserve">Moreover, evidence from our recently conducted literature review suggests that little is known about </w:t>
      </w:r>
      <w:r w:rsidR="00CA71C7">
        <w:rPr>
          <w:rFonts w:ascii="Calibri" w:eastAsia="Times New Roman" w:hAnsi="Calibri" w:cs="Calibri"/>
          <w:color w:val="000000"/>
        </w:rPr>
        <w:t>cardiovascular-related</w:t>
      </w:r>
      <w:r w:rsidR="00CA71C7" w:rsidRPr="00D9365C">
        <w:rPr>
          <w:rFonts w:ascii="Calibri" w:eastAsia="Times New Roman" w:hAnsi="Calibri" w:cs="Calibri"/>
          <w:color w:val="000000"/>
        </w:rPr>
        <w:t xml:space="preserve"> admissions among outpatients with HF outside of the 30-day period following hospital discharge. While age and clinical comorbidities are predictors of admissions, other individual, practice- and provider-level factors may affect quality of care, and thus outcomes. Measures assessing hospitalizations for </w:t>
      </w:r>
      <w:r w:rsidR="00D83381">
        <w:rPr>
          <w:rFonts w:ascii="Calibri" w:eastAsia="Times New Roman" w:hAnsi="Calibri" w:cs="Calibri"/>
          <w:color w:val="000000"/>
        </w:rPr>
        <w:t>HF</w:t>
      </w:r>
      <w:r w:rsidR="00374E8C">
        <w:rPr>
          <w:rFonts w:ascii="Calibri" w:eastAsia="Times New Roman" w:hAnsi="Calibri" w:cs="Calibri"/>
          <w:color w:val="000000"/>
        </w:rPr>
        <w:t xml:space="preserve"> and cardiovascular-related conditions</w:t>
      </w:r>
      <w:r w:rsidR="00CA71C7" w:rsidRPr="00D9365C">
        <w:rPr>
          <w:rFonts w:ascii="Calibri" w:eastAsia="Times New Roman" w:hAnsi="Calibri" w:cs="Calibri"/>
          <w:color w:val="000000"/>
        </w:rPr>
        <w:t xml:space="preserve"> are needed to </w:t>
      </w:r>
      <w:proofErr w:type="gramStart"/>
      <w:r w:rsidR="00CA71C7" w:rsidRPr="00D9365C">
        <w:rPr>
          <w:rFonts w:ascii="Calibri" w:eastAsia="Times New Roman" w:hAnsi="Calibri" w:cs="Calibri"/>
          <w:color w:val="000000"/>
        </w:rPr>
        <w:t>more fully capture the vulnerability of patients</w:t>
      </w:r>
      <w:proofErr w:type="gramEnd"/>
      <w:r w:rsidR="00CA71C7" w:rsidRPr="00D9365C">
        <w:rPr>
          <w:rFonts w:ascii="Calibri" w:eastAsia="Times New Roman" w:hAnsi="Calibri" w:cs="Calibri"/>
          <w:color w:val="000000"/>
        </w:rPr>
        <w:t xml:space="preserve"> with HF, and to identify opportunities for prevention.</w:t>
      </w:r>
      <w:r>
        <w:rPr>
          <w:rFonts w:ascii="Calibri" w:eastAsia="Times New Roman" w:hAnsi="Calibri" w:cs="Calibri"/>
          <w:color w:val="000000"/>
        </w:rPr>
        <w:t xml:space="preserve"> </w:t>
      </w:r>
    </w:p>
    <w:p w14:paraId="66BC781E" w14:textId="77777777" w:rsidR="00CA71C7" w:rsidRDefault="00CA71C7"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p>
    <w:p w14:paraId="67590112" w14:textId="21AB1D98" w:rsidR="00CA71C7" w:rsidRPr="003A481C" w:rsidRDefault="00CE144C"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r w:rsidRPr="00D520D5">
        <w:rPr>
          <w:rFonts w:ascii="Calibri" w:eastAsia="Times New Roman" w:hAnsi="Calibri" w:cs="Calibri"/>
          <w:color w:val="000000"/>
          <w:u w:val="single"/>
        </w:rPr>
        <w:t>References</w:t>
      </w:r>
    </w:p>
    <w:p w14:paraId="5C8AF823" w14:textId="77777777" w:rsidR="00CA71C7" w:rsidRPr="003A481C" w:rsidRDefault="00CA71C7"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p>
    <w:p w14:paraId="04FB9C40" w14:textId="1798186A" w:rsidR="00CA71C7" w:rsidRPr="003A481C" w:rsidRDefault="001C6D97"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r w:rsidRPr="003A481C">
        <w:rPr>
          <w:rFonts w:ascii="Calibri" w:eastAsia="Times New Roman" w:hAnsi="Calibri" w:cs="Calibri"/>
          <w:color w:val="000000"/>
        </w:rPr>
        <w:t>1</w:t>
      </w:r>
      <w:r w:rsidR="00CA71C7" w:rsidRPr="003A481C">
        <w:rPr>
          <w:rFonts w:ascii="Calibri" w:eastAsia="Times New Roman" w:hAnsi="Calibri" w:cs="Calibri"/>
          <w:color w:val="000000"/>
        </w:rPr>
        <w:t xml:space="preserve">. </w:t>
      </w:r>
      <w:proofErr w:type="spellStart"/>
      <w:r w:rsidR="00CA71C7" w:rsidRPr="003A481C">
        <w:rPr>
          <w:rFonts w:ascii="Calibri" w:eastAsia="Times New Roman" w:hAnsi="Calibri" w:cs="Calibri"/>
          <w:color w:val="000000"/>
        </w:rPr>
        <w:t>Krumholz</w:t>
      </w:r>
      <w:proofErr w:type="spellEnd"/>
      <w:r w:rsidR="00CA71C7" w:rsidRPr="003A481C">
        <w:rPr>
          <w:rFonts w:ascii="Calibri" w:eastAsia="Times New Roman" w:hAnsi="Calibri" w:cs="Calibri"/>
          <w:color w:val="000000"/>
        </w:rPr>
        <w:t xml:space="preserve"> HM. Post-Hospital Syndrome — An Acquired, Transient Condition of Generalized Risk. New England Journal of Medicine. 2013;368(2):100-102.</w:t>
      </w:r>
    </w:p>
    <w:p w14:paraId="43740F94" w14:textId="00F5EB38" w:rsidR="00942EA4" w:rsidRPr="003A481C" w:rsidRDefault="001C6D97" w:rsidP="001C6D9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pPr>
      <w:r w:rsidRPr="003A481C">
        <w:t>2</w:t>
      </w:r>
      <w:r w:rsidR="00CA71C7" w:rsidRPr="003A481C">
        <w:t xml:space="preserve">. Kilgore M, Patel HK, </w:t>
      </w:r>
      <w:proofErr w:type="spellStart"/>
      <w:r w:rsidR="00CA71C7" w:rsidRPr="003A481C">
        <w:t>Kielhorn</w:t>
      </w:r>
      <w:proofErr w:type="spellEnd"/>
      <w:r w:rsidR="00CA71C7" w:rsidRPr="003A481C">
        <w:t xml:space="preserve"> A, Maya JF, Sharma P. Economic burden of hospitalizations of Medicare beneficiaries with heart failure. </w:t>
      </w:r>
      <w:r w:rsidR="00CA71C7" w:rsidRPr="003A481C">
        <w:rPr>
          <w:i/>
        </w:rPr>
        <w:t xml:space="preserve">Risk management and healthcare policy. </w:t>
      </w:r>
      <w:proofErr w:type="gramStart"/>
      <w:r w:rsidR="00CA71C7" w:rsidRPr="003A481C">
        <w:t>2017;10:63</w:t>
      </w:r>
      <w:proofErr w:type="gramEnd"/>
      <w:r w:rsidR="00CA71C7" w:rsidRPr="003A481C">
        <w:t>-70.</w:t>
      </w:r>
    </w:p>
    <w:p w14:paraId="754D6DD3" w14:textId="3D978D07" w:rsidR="003A481C" w:rsidRPr="003A481C" w:rsidRDefault="003A481C" w:rsidP="001C6D9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pPr>
      <w:r>
        <w:t xml:space="preserve">3. </w:t>
      </w:r>
      <w:proofErr w:type="spellStart"/>
      <w:r>
        <w:t>Jackevicius</w:t>
      </w:r>
      <w:proofErr w:type="spellEnd"/>
      <w:r>
        <w:t xml:space="preserve"> CA, de Leon NK, Lu L, Chang DS, Warner AL, </w:t>
      </w:r>
      <w:proofErr w:type="spellStart"/>
      <w:r>
        <w:t>Mody</w:t>
      </w:r>
      <w:proofErr w:type="spellEnd"/>
      <w:r>
        <w:t xml:space="preserve"> FV. Impact of a Multidisciplinary Heart Failure Post-</w:t>
      </w:r>
      <w:proofErr w:type="gramStart"/>
      <w:r>
        <w:t>hospitalization</w:t>
      </w:r>
      <w:proofErr w:type="gramEnd"/>
      <w:r>
        <w:t xml:space="preserve"> Program on Heart Failure Readmission Rates. </w:t>
      </w:r>
      <w:r w:rsidRPr="71A03BA9">
        <w:rPr>
          <w:i/>
          <w:iCs/>
        </w:rPr>
        <w:t xml:space="preserve">The Annals of pharmacotherapy. </w:t>
      </w:r>
      <w:r>
        <w:t xml:space="preserve">2015;49(11):1189-1196.  </w:t>
      </w:r>
    </w:p>
    <w:p w14:paraId="4A36ABCC" w14:textId="1223A82B" w:rsidR="71A03BA9" w:rsidRDefault="71A03BA9" w:rsidP="71A03BA9">
      <w:pPr>
        <w:ind w:left="0" w:firstLine="0"/>
      </w:pPr>
    </w:p>
    <w:p w14:paraId="025773CE" w14:textId="77777777" w:rsidR="00996EE4" w:rsidRDefault="00132E82">
      <w:pPr>
        <w:ind w:right="140"/>
        <w:rPr>
          <w:b/>
          <w:iCs/>
        </w:rPr>
      </w:pPr>
      <w:r>
        <w:rPr>
          <w:b/>
          <w:bCs/>
          <w:color w:val="0000FF"/>
        </w:rPr>
        <w:t>1a.3</w:t>
      </w:r>
      <w:r>
        <w:rPr>
          <w:bCs/>
        </w:rPr>
        <w:t xml:space="preserve"> </w:t>
      </w:r>
      <w:r>
        <w:rPr>
          <w:b/>
          <w:bCs/>
          <w:highlight w:val="cyan"/>
        </w:rPr>
        <w:t xml:space="preserve">Value and Meaningfulness:  </w:t>
      </w:r>
      <w:r>
        <w:rPr>
          <w:bCs/>
          <w:highlight w:val="cyan"/>
        </w:rPr>
        <w:t xml:space="preserve"> </w:t>
      </w:r>
      <w:r>
        <w:rPr>
          <w:b/>
          <w:iCs/>
          <w:highlight w:val="cyan"/>
        </w:rPr>
        <w:t xml:space="preserve">IF </w:t>
      </w:r>
      <w:r>
        <w:rPr>
          <w:iCs/>
          <w:highlight w:val="cyan"/>
        </w:rPr>
        <w:t xml:space="preserve">this measure is derived from patient report, provide evidence that the target population values the measured </w:t>
      </w:r>
      <w:r>
        <w:rPr>
          <w:b/>
          <w:i/>
          <w:iCs/>
          <w:highlight w:val="cyan"/>
        </w:rPr>
        <w:t>outcome, process, or structure</w:t>
      </w:r>
      <w:r>
        <w:rPr>
          <w:iCs/>
          <w:highlight w:val="cyan"/>
        </w:rPr>
        <w:t xml:space="preserve"> and finds it meaningful. (Describe how and from whom their input was obtained.)</w:t>
      </w:r>
    </w:p>
    <w:p w14:paraId="70024441" w14:textId="77777777" w:rsidR="00996EE4" w:rsidRDefault="00996EE4">
      <w:pPr>
        <w:ind w:left="0" w:firstLine="0"/>
        <w:rPr>
          <w:b/>
          <w:color w:val="0000FF"/>
        </w:rPr>
      </w:pPr>
    </w:p>
    <w:p w14:paraId="22016814" w14:textId="77777777" w:rsidR="00996EE4" w:rsidRDefault="00996EE4">
      <w:pPr>
        <w:ind w:left="432" w:hanging="432"/>
        <w:rPr>
          <w:b/>
          <w:color w:val="0000FF"/>
        </w:rPr>
      </w:pPr>
    </w:p>
    <w:p w14:paraId="2B02986A" w14:textId="77777777" w:rsidR="00996EE4" w:rsidRDefault="00132E82">
      <w:pPr>
        <w:ind w:left="432" w:hanging="432"/>
        <w:rPr>
          <w:b/>
          <w:color w:val="0000FF"/>
        </w:rPr>
      </w:pPr>
      <w:r>
        <w:rPr>
          <w:b/>
          <w:color w:val="0000FF"/>
        </w:rPr>
        <w:t>**RESPOND TO ONLY ONE SECTION BELOW -EITHER 1a.2, 1a.3 or 1a.4) **</w:t>
      </w:r>
    </w:p>
    <w:p w14:paraId="1D9DE97C" w14:textId="77777777" w:rsidR="00996EE4" w:rsidRDefault="00996EE4">
      <w:pPr>
        <w:ind w:left="432" w:hanging="432"/>
        <w:rPr>
          <w:b/>
          <w:color w:val="0000FF"/>
        </w:rPr>
      </w:pPr>
    </w:p>
    <w:p w14:paraId="4E12FEC1" w14:textId="77777777" w:rsidR="00996EE4" w:rsidRDefault="00132E82">
      <w:pPr>
        <w:ind w:left="432" w:hanging="432"/>
        <w:rPr>
          <w:b/>
        </w:rPr>
      </w:pPr>
      <w:r>
        <w:rPr>
          <w:b/>
          <w:color w:val="0000FF"/>
          <w:highlight w:val="cyan"/>
        </w:rPr>
        <w:t>1a.2</w:t>
      </w:r>
      <w:r>
        <w:rPr>
          <w:iCs/>
          <w:highlight w:val="cyan"/>
        </w:rPr>
        <w:t xml:space="preserve"> </w:t>
      </w:r>
      <w:r>
        <w:rPr>
          <w:b/>
          <w:highlight w:val="cyan"/>
        </w:rPr>
        <w:t>FOR OUTCOME MEASURES including PATIENT REPORTED OUTCOMES -</w:t>
      </w:r>
      <w:r>
        <w:rPr>
          <w:b/>
          <w:iCs/>
          <w:highlight w:val="cyan"/>
        </w:rPr>
        <w:t xml:space="preserve"> Provide empirical data demonstrating the relationship between the outcome (or PRO) to at least one healthcare structure, process, intervention, or service.</w:t>
      </w:r>
      <w:r>
        <w:rPr>
          <w:b/>
          <w:iCs/>
        </w:rPr>
        <w:t xml:space="preserve"> </w:t>
      </w:r>
    </w:p>
    <w:p w14:paraId="1CBC2E86" w14:textId="06E1A9FA" w:rsidR="00414B42" w:rsidRDefault="00414B42"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r>
        <w:rPr>
          <w:rFonts w:ascii="Calibri" w:eastAsia="Times New Roman" w:hAnsi="Calibri" w:cs="Calibri"/>
          <w:color w:val="000000"/>
        </w:rPr>
        <w:t>As noted above, acute unplanned cardiovascular</w:t>
      </w:r>
      <w:r w:rsidR="00374E8C">
        <w:rPr>
          <w:rFonts w:ascii="Calibri" w:eastAsia="Times New Roman" w:hAnsi="Calibri" w:cs="Calibri"/>
          <w:color w:val="000000"/>
        </w:rPr>
        <w:t>-</w:t>
      </w:r>
      <w:r>
        <w:rPr>
          <w:rFonts w:ascii="Calibri" w:eastAsia="Times New Roman" w:hAnsi="Calibri" w:cs="Calibri"/>
          <w:color w:val="000000"/>
        </w:rPr>
        <w:t xml:space="preserve">related </w:t>
      </w:r>
      <w:r w:rsidR="00374E8C">
        <w:rPr>
          <w:rFonts w:ascii="Calibri" w:eastAsia="Times New Roman" w:hAnsi="Calibri" w:cs="Calibri"/>
          <w:color w:val="000000"/>
        </w:rPr>
        <w:t xml:space="preserve">admission </w:t>
      </w:r>
      <w:r>
        <w:rPr>
          <w:rFonts w:ascii="Calibri" w:eastAsia="Times New Roman" w:hAnsi="Calibri" w:cs="Calibri"/>
          <w:color w:val="000000"/>
        </w:rPr>
        <w:t xml:space="preserve">rates are an effective marker of ambulatory care quality for patients with </w:t>
      </w:r>
      <w:r w:rsidR="00D538AB">
        <w:rPr>
          <w:rFonts w:ascii="Calibri" w:eastAsia="Times New Roman" w:hAnsi="Calibri" w:cs="Calibri"/>
          <w:color w:val="000000"/>
        </w:rPr>
        <w:t>HF</w:t>
      </w:r>
      <w:r>
        <w:rPr>
          <w:rFonts w:ascii="Calibri" w:eastAsia="Times New Roman" w:hAnsi="Calibri" w:cs="Calibri"/>
          <w:color w:val="000000"/>
        </w:rPr>
        <w:t>. Patients receiving optimal care should use fewer inpatient services than those who do not or tho</w:t>
      </w:r>
      <w:r w:rsidR="00D538AB">
        <w:rPr>
          <w:rFonts w:ascii="Calibri" w:eastAsia="Times New Roman" w:hAnsi="Calibri" w:cs="Calibri"/>
          <w:color w:val="000000"/>
        </w:rPr>
        <w:t>se who receive fragmented care.</w:t>
      </w:r>
    </w:p>
    <w:p w14:paraId="25054353" w14:textId="77777777" w:rsidR="00414B42" w:rsidRDefault="00414B42"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p>
    <w:p w14:paraId="3E95ABC5" w14:textId="03460787" w:rsidR="00CA71C7" w:rsidRDefault="00CA71C7"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r>
        <w:rPr>
          <w:rFonts w:ascii="Calibri" w:eastAsia="Times New Roman" w:hAnsi="Calibri" w:cs="Calibri"/>
          <w:color w:val="000000"/>
        </w:rPr>
        <w:t>There is strong evidence supporting the assertion that a</w:t>
      </w:r>
      <w:r w:rsidRPr="00D9365C">
        <w:rPr>
          <w:rFonts w:ascii="Calibri" w:eastAsia="Times New Roman" w:hAnsi="Calibri" w:cs="Calibri"/>
          <w:color w:val="000000"/>
        </w:rPr>
        <w:t xml:space="preserve">mbulatory care clinicians can influence </w:t>
      </w:r>
      <w:r w:rsidR="00414B42">
        <w:rPr>
          <w:rFonts w:ascii="Calibri" w:eastAsia="Times New Roman" w:hAnsi="Calibri" w:cs="Calibri"/>
          <w:color w:val="000000"/>
        </w:rPr>
        <w:t xml:space="preserve">acute unplanned cardiovascular-related </w:t>
      </w:r>
      <w:r w:rsidRPr="00D9365C">
        <w:rPr>
          <w:rFonts w:ascii="Calibri" w:eastAsia="Times New Roman" w:hAnsi="Calibri" w:cs="Calibri"/>
          <w:color w:val="000000"/>
        </w:rPr>
        <w:t>admission rates by providing high quality of care</w:t>
      </w:r>
      <w:r w:rsidR="006364EE">
        <w:rPr>
          <w:rFonts w:ascii="Calibri" w:eastAsia="Times New Roman" w:hAnsi="Calibri" w:cs="Calibri"/>
          <w:color w:val="000000"/>
        </w:rPr>
        <w:t xml:space="preserve"> [1-7</w:t>
      </w:r>
      <w:r w:rsidR="00092021">
        <w:rPr>
          <w:rFonts w:ascii="Calibri" w:eastAsia="Times New Roman" w:hAnsi="Calibri" w:cs="Calibri"/>
          <w:color w:val="000000"/>
        </w:rPr>
        <w:t>]</w:t>
      </w:r>
      <w:r w:rsidR="00DB4B14">
        <w:rPr>
          <w:rFonts w:ascii="Calibri" w:eastAsia="Times New Roman" w:hAnsi="Calibri" w:cs="Calibri"/>
          <w:color w:val="000000"/>
        </w:rPr>
        <w:t xml:space="preserve">. </w:t>
      </w:r>
      <w:r w:rsidRPr="00D9365C">
        <w:rPr>
          <w:rFonts w:ascii="Calibri" w:eastAsia="Times New Roman" w:hAnsi="Calibri" w:cs="Calibri"/>
          <w:color w:val="000000"/>
        </w:rPr>
        <w:t xml:space="preserve">For example, Brown et al. </w:t>
      </w:r>
      <w:r w:rsidR="00D538AB">
        <w:rPr>
          <w:rFonts w:ascii="Calibri" w:eastAsia="Times New Roman" w:hAnsi="Calibri" w:cs="Calibri"/>
          <w:color w:val="000000"/>
        </w:rPr>
        <w:t>pointed to four ambulatory care-</w:t>
      </w:r>
      <w:r w:rsidRPr="00D9365C">
        <w:rPr>
          <w:rFonts w:ascii="Calibri" w:eastAsia="Times New Roman" w:hAnsi="Calibri" w:cs="Calibri"/>
          <w:color w:val="000000"/>
        </w:rPr>
        <w:t xml:space="preserve">focused Medicare Coordinated Care Demonstration programs that reduced hospitalizations for high-risk patients by 13-30 events per 100 beneficiaries per </w:t>
      </w:r>
      <w:r w:rsidRPr="00D9365C">
        <w:rPr>
          <w:rFonts w:ascii="Calibri" w:eastAsia="Times New Roman" w:hAnsi="Calibri" w:cs="Calibri"/>
          <w:color w:val="000000"/>
        </w:rPr>
        <w:lastRenderedPageBreak/>
        <w:t>year (8-33% of hospitalizations). Brown et al. highlighted six program features that were associated with successfully reducing hospitalizations: 1) supplementing patient telephone calls with in-person meetings; 2) occasionally meeting in-person with providers; 3) acting as a communication hub for providers; 4) providing patients with evidence-based education; 5) providing strong medication management; and 6) providing comprehensive and timely transitional care after hospitalizations</w:t>
      </w:r>
      <w:r w:rsidR="006364EE">
        <w:rPr>
          <w:rFonts w:ascii="Calibri" w:eastAsia="Times New Roman" w:hAnsi="Calibri" w:cs="Calibri"/>
          <w:color w:val="000000"/>
        </w:rPr>
        <w:t xml:space="preserve"> [1</w:t>
      </w:r>
      <w:r w:rsidR="00092021">
        <w:rPr>
          <w:rFonts w:ascii="Calibri" w:eastAsia="Times New Roman" w:hAnsi="Calibri" w:cs="Calibri"/>
          <w:color w:val="000000"/>
        </w:rPr>
        <w:t>]</w:t>
      </w:r>
      <w:r w:rsidR="00DB4B14">
        <w:rPr>
          <w:rFonts w:ascii="Calibri" w:eastAsia="Times New Roman" w:hAnsi="Calibri" w:cs="Calibri"/>
          <w:color w:val="000000"/>
        </w:rPr>
        <w:t>.</w:t>
      </w:r>
      <w:r>
        <w:rPr>
          <w:rFonts w:ascii="Calibri" w:eastAsia="Times New Roman" w:hAnsi="Calibri" w:cs="Calibri"/>
          <w:color w:val="000000"/>
        </w:rPr>
        <w:t xml:space="preserve"> </w:t>
      </w:r>
      <w:r w:rsidRPr="00D9365C">
        <w:rPr>
          <w:rFonts w:ascii="Calibri" w:eastAsia="Times New Roman" w:hAnsi="Calibri" w:cs="Calibri"/>
          <w:color w:val="000000"/>
        </w:rPr>
        <w:t xml:space="preserve">In addition, van </w:t>
      </w:r>
      <w:proofErr w:type="spellStart"/>
      <w:r w:rsidRPr="00D9365C">
        <w:rPr>
          <w:rFonts w:ascii="Calibri" w:eastAsia="Times New Roman" w:hAnsi="Calibri" w:cs="Calibri"/>
          <w:color w:val="000000"/>
        </w:rPr>
        <w:t>Loenen</w:t>
      </w:r>
      <w:proofErr w:type="spellEnd"/>
      <w:r w:rsidRPr="00D9365C">
        <w:rPr>
          <w:rFonts w:ascii="Calibri" w:eastAsia="Times New Roman" w:hAnsi="Calibri" w:cs="Calibri"/>
          <w:color w:val="000000"/>
        </w:rPr>
        <w:t xml:space="preserve"> et al. found that higher levels of provider continuity decreased the risk of avoidable hospitalizations for ambulatory care-sensitive conditions (ACSCs) and chronic diseases</w:t>
      </w:r>
      <w:r w:rsidR="006364EE">
        <w:rPr>
          <w:rFonts w:ascii="Calibri" w:eastAsia="Times New Roman" w:hAnsi="Calibri" w:cs="Calibri"/>
          <w:color w:val="000000"/>
        </w:rPr>
        <w:t xml:space="preserve"> [6</w:t>
      </w:r>
      <w:r w:rsidR="00092021">
        <w:rPr>
          <w:rFonts w:ascii="Calibri" w:eastAsia="Times New Roman" w:hAnsi="Calibri" w:cs="Calibri"/>
          <w:color w:val="000000"/>
        </w:rPr>
        <w:t>]</w:t>
      </w:r>
      <w:r w:rsidR="00DB4B14">
        <w:rPr>
          <w:rFonts w:ascii="Calibri" w:eastAsia="Times New Roman" w:hAnsi="Calibri" w:cs="Calibri"/>
          <w:color w:val="000000"/>
        </w:rPr>
        <w:t>.</w:t>
      </w:r>
      <w:r>
        <w:rPr>
          <w:rFonts w:ascii="Calibri" w:eastAsia="Times New Roman" w:hAnsi="Calibri" w:cs="Calibri"/>
          <w:color w:val="000000"/>
        </w:rPr>
        <w:t xml:space="preserve"> </w:t>
      </w:r>
      <w:r w:rsidRPr="00D9365C">
        <w:rPr>
          <w:rFonts w:ascii="Calibri" w:eastAsia="Times New Roman" w:hAnsi="Calibri" w:cs="Calibri"/>
          <w:color w:val="000000"/>
        </w:rPr>
        <w:t>Hussey et al.</w:t>
      </w:r>
      <w:r w:rsidR="006364EE">
        <w:rPr>
          <w:rFonts w:ascii="Calibri" w:eastAsia="Times New Roman" w:hAnsi="Calibri" w:cs="Calibri"/>
          <w:color w:val="000000"/>
        </w:rPr>
        <w:t xml:space="preserve"> [8</w:t>
      </w:r>
      <w:r w:rsidR="00DB4B14">
        <w:rPr>
          <w:rFonts w:ascii="Calibri" w:eastAsia="Times New Roman" w:hAnsi="Calibri" w:cs="Calibri"/>
          <w:color w:val="000000"/>
        </w:rPr>
        <w:t>]</w:t>
      </w:r>
      <w:r>
        <w:rPr>
          <w:rFonts w:ascii="Calibri" w:eastAsia="Times New Roman" w:hAnsi="Calibri" w:cs="Calibri"/>
          <w:color w:val="000000"/>
        </w:rPr>
        <w:t xml:space="preserve"> </w:t>
      </w:r>
      <w:r w:rsidRPr="00D9365C">
        <w:rPr>
          <w:rFonts w:ascii="Calibri" w:eastAsia="Times New Roman" w:hAnsi="Calibri" w:cs="Calibri"/>
          <w:color w:val="000000"/>
        </w:rPr>
        <w:t xml:space="preserve">found that among Medicare beneficiaries, greater continuity of care was associated with lower hospitalization odds (OR=0.94, CI=0.93-0.95). Favorable results (declines in admissions) were also shown by Dorr et al. (2000), Levine et al. (2012), </w:t>
      </w:r>
      <w:proofErr w:type="spellStart"/>
      <w:r w:rsidRPr="00D9365C">
        <w:rPr>
          <w:rFonts w:ascii="Calibri" w:eastAsia="Times New Roman" w:hAnsi="Calibri" w:cs="Calibri"/>
          <w:color w:val="000000"/>
        </w:rPr>
        <w:t>Littleford</w:t>
      </w:r>
      <w:proofErr w:type="spellEnd"/>
      <w:r w:rsidRPr="00D9365C">
        <w:rPr>
          <w:rFonts w:ascii="Calibri" w:eastAsia="Times New Roman" w:hAnsi="Calibri" w:cs="Calibri"/>
          <w:color w:val="000000"/>
        </w:rPr>
        <w:t xml:space="preserve"> et al. (2010), and Zhang et al. (2008</w:t>
      </w:r>
      <w:r w:rsidRPr="00520358">
        <w:rPr>
          <w:rFonts w:ascii="Calibri" w:eastAsia="Times New Roman" w:hAnsi="Calibri" w:cs="Calibri"/>
        </w:rPr>
        <w:t>)</w:t>
      </w:r>
      <w:r w:rsidR="006364EE">
        <w:rPr>
          <w:rFonts w:ascii="Calibri" w:eastAsia="Times New Roman" w:hAnsi="Calibri" w:cs="Calibri"/>
        </w:rPr>
        <w:t xml:space="preserve"> [2-4, 7</w:t>
      </w:r>
      <w:r w:rsidR="00DB4B14">
        <w:rPr>
          <w:rFonts w:ascii="Calibri" w:eastAsia="Times New Roman" w:hAnsi="Calibri" w:cs="Calibri"/>
        </w:rPr>
        <w:t>]</w:t>
      </w:r>
      <w:r>
        <w:rPr>
          <w:rFonts w:ascii="Calibri" w:eastAsia="Times New Roman" w:hAnsi="Calibri" w:cs="Calibri"/>
        </w:rPr>
        <w:t xml:space="preserve">. </w:t>
      </w:r>
      <w:r w:rsidRPr="00D9365C">
        <w:rPr>
          <w:rFonts w:ascii="Calibri" w:eastAsia="Times New Roman" w:hAnsi="Calibri" w:cs="Calibri"/>
          <w:color w:val="000000"/>
        </w:rPr>
        <w:t>Several studies have demonstrated positive impact of early follow-up after hospitalization to reduce readmissions for HF</w:t>
      </w:r>
      <w:r w:rsidR="006364EE">
        <w:rPr>
          <w:rFonts w:ascii="Calibri" w:eastAsia="Times New Roman" w:hAnsi="Calibri" w:cs="Calibri"/>
          <w:color w:val="000000"/>
        </w:rPr>
        <w:t xml:space="preserve"> [9-12</w:t>
      </w:r>
      <w:r w:rsidR="00DB4B14">
        <w:rPr>
          <w:rFonts w:ascii="Calibri" w:eastAsia="Times New Roman" w:hAnsi="Calibri" w:cs="Calibri"/>
          <w:color w:val="000000"/>
        </w:rPr>
        <w:t>]</w:t>
      </w:r>
      <w:r w:rsidR="006364EE">
        <w:rPr>
          <w:rFonts w:ascii="Calibri" w:eastAsia="Times New Roman" w:hAnsi="Calibri" w:cs="Calibri"/>
          <w:color w:val="000000"/>
        </w:rPr>
        <w:t>.</w:t>
      </w:r>
    </w:p>
    <w:p w14:paraId="143824C9" w14:textId="48E7DE67" w:rsidR="006364EE" w:rsidRDefault="006364EE" w:rsidP="00CA71C7">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p>
    <w:p w14:paraId="661A4755" w14:textId="71653765" w:rsidR="006364EE" w:rsidRDefault="006364EE" w:rsidP="006364EE">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r w:rsidRPr="006364EE">
        <w:rPr>
          <w:rFonts w:ascii="Calibri" w:eastAsia="Times New Roman" w:hAnsi="Calibri" w:cs="Calibri"/>
          <w:color w:val="000000"/>
        </w:rPr>
        <w:t xml:space="preserve">Several studies have estimated the cost of HF care. One study found that between 2002-2011, direct expenditures for HF patients were four times as high as for </w:t>
      </w:r>
      <w:r w:rsidR="001A1C8F">
        <w:rPr>
          <w:rFonts w:ascii="Calibri" w:eastAsia="Times New Roman" w:hAnsi="Calibri" w:cs="Calibri"/>
          <w:color w:val="000000"/>
        </w:rPr>
        <w:t>patients</w:t>
      </w:r>
      <w:r w:rsidR="001A1C8F" w:rsidRPr="006364EE">
        <w:rPr>
          <w:rFonts w:ascii="Calibri" w:eastAsia="Times New Roman" w:hAnsi="Calibri" w:cs="Calibri"/>
          <w:color w:val="000000"/>
        </w:rPr>
        <w:t xml:space="preserve"> </w:t>
      </w:r>
      <w:r w:rsidRPr="006364EE">
        <w:rPr>
          <w:rFonts w:ascii="Calibri" w:eastAsia="Times New Roman" w:hAnsi="Calibri" w:cs="Calibri"/>
          <w:color w:val="000000"/>
        </w:rPr>
        <w:t>without HF</w:t>
      </w:r>
      <w:r w:rsidR="006D5BC6">
        <w:rPr>
          <w:rFonts w:ascii="Calibri" w:eastAsia="Times New Roman" w:hAnsi="Calibri" w:cs="Calibri"/>
          <w:color w:val="000000"/>
        </w:rPr>
        <w:t>,</w:t>
      </w:r>
      <w:r w:rsidRPr="006364EE">
        <w:rPr>
          <w:rFonts w:ascii="Calibri" w:eastAsia="Times New Roman" w:hAnsi="Calibri" w:cs="Calibri"/>
          <w:color w:val="000000"/>
        </w:rPr>
        <w:t xml:space="preserve"> or $3,446 after adjusting for demographics and comorbidities. Direct costs increased by about 28%, from $21,316 to $27,152, over 10 years (2002/2003 – 2010/2011), largely driven by increases in inpatient costs [13].</w:t>
      </w:r>
    </w:p>
    <w:p w14:paraId="797B65E9" w14:textId="6BDF06F1" w:rsidR="006364EE" w:rsidRPr="006364EE" w:rsidRDefault="006364EE" w:rsidP="006364EE">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r w:rsidRPr="006364EE">
        <w:rPr>
          <w:rFonts w:ascii="Calibri" w:eastAsia="Times New Roman" w:hAnsi="Calibri" w:cs="Calibri"/>
          <w:color w:val="000000"/>
        </w:rPr>
        <w:t xml:space="preserve"> </w:t>
      </w:r>
    </w:p>
    <w:p w14:paraId="024BF5C8" w14:textId="301AF1C2" w:rsidR="006364EE" w:rsidRDefault="006364EE" w:rsidP="006364EE">
      <w:pPr>
        <w:widowControl w:val="0"/>
        <w:pBdr>
          <w:top w:val="single" w:sz="4" w:space="1" w:color="auto"/>
          <w:left w:val="single" w:sz="4" w:space="4" w:color="auto"/>
          <w:bottom w:val="single" w:sz="4" w:space="1" w:color="auto"/>
          <w:right w:val="single" w:sz="4" w:space="4" w:color="auto"/>
        </w:pBdr>
        <w:autoSpaceDE w:val="0"/>
        <w:autoSpaceDN w:val="0"/>
        <w:adjustRightInd w:val="0"/>
        <w:ind w:left="0" w:firstLine="0"/>
        <w:rPr>
          <w:rFonts w:ascii="Calibri" w:eastAsia="Times New Roman" w:hAnsi="Calibri" w:cs="Calibri"/>
          <w:color w:val="000000"/>
        </w:rPr>
      </w:pPr>
      <w:r w:rsidRPr="006364EE">
        <w:rPr>
          <w:rFonts w:ascii="Calibri" w:eastAsia="Times New Roman" w:hAnsi="Calibri" w:cs="Calibri"/>
          <w:color w:val="000000"/>
        </w:rPr>
        <w:t xml:space="preserve">The measure has potential to </w:t>
      </w:r>
      <w:r w:rsidR="002E049A">
        <w:rPr>
          <w:rFonts w:ascii="Calibri" w:eastAsia="Times New Roman" w:hAnsi="Calibri" w:cs="Calibri"/>
          <w:color w:val="000000"/>
        </w:rPr>
        <w:t>improve patient outcomes while also reducing</w:t>
      </w:r>
      <w:r w:rsidRPr="006364EE">
        <w:rPr>
          <w:rFonts w:ascii="Calibri" w:eastAsia="Times New Roman" w:hAnsi="Calibri" w:cs="Calibri"/>
          <w:color w:val="000000"/>
        </w:rPr>
        <w:t xml:space="preserve"> healthcare costs in three ways. First, hospitalizations are costly. A 2014 study [14] of Medicare Expenditure Panel Survey (MEPS) data found a weighted mean cost of $10,665 per inpatient </w:t>
      </w:r>
      <w:r w:rsidR="002E049A">
        <w:rPr>
          <w:rFonts w:ascii="Calibri" w:eastAsia="Times New Roman" w:hAnsi="Calibri" w:cs="Calibri"/>
          <w:color w:val="000000"/>
        </w:rPr>
        <w:t xml:space="preserve">HF </w:t>
      </w:r>
      <w:r w:rsidRPr="006364EE">
        <w:rPr>
          <w:rFonts w:ascii="Calibri" w:eastAsia="Times New Roman" w:hAnsi="Calibri" w:cs="Calibri"/>
          <w:color w:val="000000"/>
        </w:rPr>
        <w:t xml:space="preserve">hospitalization, which is nearly identical to the $10,837 calculated mean cost for Medicare patients from the AHRQ’s Healthcare Cost and Utilization Program database [15]. Another study revealed that, on average, 79% of lifetime costs of HF care are accrued during hospitalization [16]. Thus, reducing the number of hospitalizations should significantly reduce healthcare costs related to HF. Second, the measure can promote processes of care that have also been identified as cost-effective therapies. A cost-effectiveness analysis of three medical therapies compared to diuretics alone found that </w:t>
      </w:r>
      <w:r w:rsidR="007E3317">
        <w:rPr>
          <w:rFonts w:ascii="Calibri" w:eastAsia="Times New Roman" w:hAnsi="Calibri" w:cs="Calibri"/>
          <w:color w:val="000000"/>
        </w:rPr>
        <w:t>angiotensin-converting-enzyme (</w:t>
      </w:r>
      <w:r w:rsidRPr="006364EE">
        <w:rPr>
          <w:rFonts w:ascii="Calibri" w:eastAsia="Times New Roman" w:hAnsi="Calibri" w:cs="Calibri"/>
          <w:color w:val="000000"/>
        </w:rPr>
        <w:t>ACE</w:t>
      </w:r>
      <w:r w:rsidR="007E3317">
        <w:rPr>
          <w:rFonts w:ascii="Calibri" w:eastAsia="Times New Roman" w:hAnsi="Calibri" w:cs="Calibri"/>
          <w:color w:val="000000"/>
        </w:rPr>
        <w:t>)</w:t>
      </w:r>
      <w:r w:rsidRPr="006364EE">
        <w:rPr>
          <w:rFonts w:ascii="Calibri" w:eastAsia="Times New Roman" w:hAnsi="Calibri" w:cs="Calibri"/>
          <w:color w:val="000000"/>
        </w:rPr>
        <w:t xml:space="preserve"> inhibitors and the combination </w:t>
      </w:r>
      <w:r w:rsidR="007E3317">
        <w:rPr>
          <w:rFonts w:ascii="Calibri" w:eastAsia="Times New Roman" w:hAnsi="Calibri" w:cs="Calibri"/>
          <w:color w:val="000000"/>
        </w:rPr>
        <w:t xml:space="preserve">of </w:t>
      </w:r>
      <w:r w:rsidRPr="006364EE">
        <w:rPr>
          <w:rFonts w:ascii="Calibri" w:eastAsia="Times New Roman" w:hAnsi="Calibri" w:cs="Calibri"/>
          <w:color w:val="000000"/>
        </w:rPr>
        <w:t xml:space="preserve">ACE inhibitors and beta-blockers were both cost-saving and more effective therapies. Furthermore, adding aldosterone inhibitors resulted in an additional $501/life-year, compared to ACE inhibitors and beta-blockers alone [17]. Third, effective care can reduce morbidity and, as a result, costly emergency interventions [18]. </w:t>
      </w:r>
      <w:proofErr w:type="gramStart"/>
      <w:r w:rsidRPr="006364EE">
        <w:rPr>
          <w:rFonts w:ascii="Calibri" w:eastAsia="Times New Roman" w:hAnsi="Calibri" w:cs="Calibri"/>
          <w:color w:val="000000"/>
        </w:rPr>
        <w:t>In particular, provider-led</w:t>
      </w:r>
      <w:proofErr w:type="gramEnd"/>
      <w:r w:rsidRPr="006364EE">
        <w:rPr>
          <w:rFonts w:ascii="Calibri" w:eastAsia="Times New Roman" w:hAnsi="Calibri" w:cs="Calibri"/>
          <w:color w:val="000000"/>
        </w:rPr>
        <w:t xml:space="preserve"> teams that work cooperatively to improve patient outcomes have been shown to reduce admission risk and therefore costly care. Johnston et al. found that having a disease-relevant specialist involved in a care episode resulted in a 21.3% low</w:t>
      </w:r>
      <w:r w:rsidR="007E3317">
        <w:rPr>
          <w:rFonts w:ascii="Calibri" w:eastAsia="Times New Roman" w:hAnsi="Calibri" w:cs="Calibri"/>
          <w:color w:val="000000"/>
        </w:rPr>
        <w:t>er incidence of ambulatory care-</w:t>
      </w:r>
      <w:r w:rsidRPr="006364EE">
        <w:rPr>
          <w:rFonts w:ascii="Calibri" w:eastAsia="Times New Roman" w:hAnsi="Calibri" w:cs="Calibri"/>
          <w:color w:val="000000"/>
        </w:rPr>
        <w:t xml:space="preserve">sensitive (ACS) hospitalizations (p&lt;0.05) but was not associated with lower rates </w:t>
      </w:r>
      <w:r w:rsidR="007E3317">
        <w:rPr>
          <w:rFonts w:ascii="Calibri" w:eastAsia="Times New Roman" w:hAnsi="Calibri" w:cs="Calibri"/>
          <w:color w:val="000000"/>
        </w:rPr>
        <w:t>of admissions for heart failure-</w:t>
      </w:r>
      <w:r w:rsidRPr="006364EE">
        <w:rPr>
          <w:rFonts w:ascii="Calibri" w:eastAsia="Times New Roman" w:hAnsi="Calibri" w:cs="Calibri"/>
          <w:color w:val="000000"/>
        </w:rPr>
        <w:t>related ACS or HF [8].</w:t>
      </w:r>
    </w:p>
    <w:p w14:paraId="06217D56" w14:textId="7C2B3826" w:rsidR="00CA71C7" w:rsidRPr="00D9365C"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p>
    <w:p w14:paraId="66DB1144" w14:textId="0CF3A55E" w:rsidR="006364EE" w:rsidRPr="006364EE"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Calibri" w:hAnsi="Calibri" w:cs="Times New Roman"/>
        </w:rPr>
      </w:pPr>
      <w:r>
        <w:rPr>
          <w:rFonts w:ascii="Calibri" w:eastAsia="Times New Roman" w:hAnsi="Calibri" w:cs="Calibri"/>
          <w:color w:val="000000"/>
        </w:rPr>
        <w:t>This measure</w:t>
      </w:r>
      <w:r>
        <w:rPr>
          <w:rFonts w:ascii="Calibri" w:eastAsia="Calibri" w:hAnsi="Calibri" w:cs="Times New Roman"/>
        </w:rPr>
        <w:t xml:space="preserve"> is consistent with CMS’s goal of providing eligible clinicians with actionable data, while at the same time providing patients with a meaningful outcome. CORE expects that sharing measure scores with eligible clinicians, in addition to tying reimbursement payment adjustments to these scores, will strongly encourage eligible clinicians to improve care quality and patient outcomes.</w:t>
      </w:r>
    </w:p>
    <w:p w14:paraId="0AF8D6C8" w14:textId="77777777" w:rsidR="00CA71C7"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p>
    <w:p w14:paraId="04A30C84" w14:textId="1DB48699" w:rsidR="00CA71C7" w:rsidRPr="00D520D5" w:rsidRDefault="00CE144C"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u w:val="single"/>
        </w:rPr>
      </w:pPr>
      <w:r w:rsidRPr="00D520D5">
        <w:rPr>
          <w:rFonts w:ascii="Calibri" w:eastAsia="Times New Roman" w:hAnsi="Calibri" w:cs="Calibri"/>
          <w:color w:val="000000"/>
          <w:u w:val="single"/>
        </w:rPr>
        <w:t>References</w:t>
      </w:r>
    </w:p>
    <w:p w14:paraId="41DDB832" w14:textId="77777777" w:rsidR="00CE144C" w:rsidRDefault="00CE144C"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p>
    <w:p w14:paraId="7E23C405" w14:textId="72910E47" w:rsidR="00CA71C7" w:rsidRPr="00D472F0"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1. </w:t>
      </w:r>
      <w:r w:rsidRPr="00D472F0">
        <w:rPr>
          <w:rFonts w:ascii="Calibri" w:eastAsia="Times New Roman" w:hAnsi="Calibri" w:cs="Calibri"/>
          <w:color w:val="000000"/>
        </w:rPr>
        <w:t xml:space="preserve">Brown RS, </w:t>
      </w:r>
      <w:proofErr w:type="spellStart"/>
      <w:r w:rsidRPr="00D472F0">
        <w:rPr>
          <w:rFonts w:ascii="Calibri" w:eastAsia="Times New Roman" w:hAnsi="Calibri" w:cs="Calibri"/>
          <w:color w:val="000000"/>
        </w:rPr>
        <w:t>Peikes</w:t>
      </w:r>
      <w:proofErr w:type="spellEnd"/>
      <w:r w:rsidRPr="00D472F0">
        <w:rPr>
          <w:rFonts w:ascii="Calibri" w:eastAsia="Times New Roman" w:hAnsi="Calibri" w:cs="Calibri"/>
          <w:color w:val="000000"/>
        </w:rPr>
        <w:t xml:space="preserve"> D, Peterson G, </w:t>
      </w:r>
      <w:proofErr w:type="spellStart"/>
      <w:r w:rsidRPr="00D472F0">
        <w:rPr>
          <w:rFonts w:ascii="Calibri" w:eastAsia="Times New Roman" w:hAnsi="Calibri" w:cs="Calibri"/>
          <w:color w:val="000000"/>
        </w:rPr>
        <w:t>Schore</w:t>
      </w:r>
      <w:proofErr w:type="spellEnd"/>
      <w:r w:rsidRPr="00D472F0">
        <w:rPr>
          <w:rFonts w:ascii="Calibri" w:eastAsia="Times New Roman" w:hAnsi="Calibri" w:cs="Calibri"/>
          <w:color w:val="000000"/>
        </w:rPr>
        <w:t xml:space="preserve"> J, </w:t>
      </w:r>
      <w:proofErr w:type="spellStart"/>
      <w:r w:rsidRPr="00D472F0">
        <w:rPr>
          <w:rFonts w:ascii="Calibri" w:eastAsia="Times New Roman" w:hAnsi="Calibri" w:cs="Calibri"/>
          <w:color w:val="000000"/>
        </w:rPr>
        <w:t>R</w:t>
      </w:r>
      <w:r>
        <w:rPr>
          <w:rFonts w:ascii="Calibri" w:eastAsia="Times New Roman" w:hAnsi="Calibri" w:cs="Calibri"/>
          <w:color w:val="000000"/>
        </w:rPr>
        <w:t>azafindrakoto</w:t>
      </w:r>
      <w:proofErr w:type="spellEnd"/>
      <w:r>
        <w:rPr>
          <w:rFonts w:ascii="Calibri" w:eastAsia="Times New Roman" w:hAnsi="Calibri" w:cs="Calibri"/>
          <w:color w:val="000000"/>
        </w:rPr>
        <w:t xml:space="preserve"> CM. Six Features o</w:t>
      </w:r>
      <w:r w:rsidRPr="00D472F0">
        <w:rPr>
          <w:rFonts w:ascii="Calibri" w:eastAsia="Times New Roman" w:hAnsi="Calibri" w:cs="Calibri"/>
          <w:color w:val="000000"/>
        </w:rPr>
        <w:t>f Medicare Coordinated Care Demonstration Program</w:t>
      </w:r>
      <w:r w:rsidR="001C6D97">
        <w:rPr>
          <w:rFonts w:ascii="Calibri" w:eastAsia="Times New Roman" w:hAnsi="Calibri" w:cs="Calibri"/>
          <w:color w:val="000000"/>
        </w:rPr>
        <w:t>s That Cut Hospital Admissions o</w:t>
      </w:r>
      <w:r w:rsidRPr="00D472F0">
        <w:rPr>
          <w:rFonts w:ascii="Calibri" w:eastAsia="Times New Roman" w:hAnsi="Calibri" w:cs="Calibri"/>
          <w:color w:val="000000"/>
        </w:rPr>
        <w:t>f High-Risk Patients. Health Affairs. 2012;31(6):1156-1166.</w:t>
      </w:r>
    </w:p>
    <w:p w14:paraId="3D23EA21" w14:textId="77777777" w:rsidR="00CA71C7" w:rsidRPr="00D472F0"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lastRenderedPageBreak/>
        <w:t xml:space="preserve">2. </w:t>
      </w:r>
      <w:r w:rsidRPr="00D472F0">
        <w:rPr>
          <w:rFonts w:ascii="Calibri" w:eastAsia="Times New Roman" w:hAnsi="Calibri" w:cs="Calibri"/>
          <w:color w:val="000000"/>
        </w:rPr>
        <w:t xml:space="preserve">Dorr DA, Wilcox AB, </w:t>
      </w:r>
      <w:proofErr w:type="spellStart"/>
      <w:r w:rsidRPr="00D472F0">
        <w:rPr>
          <w:rFonts w:ascii="Calibri" w:eastAsia="Times New Roman" w:hAnsi="Calibri" w:cs="Calibri"/>
          <w:color w:val="000000"/>
        </w:rPr>
        <w:t>Brunker</w:t>
      </w:r>
      <w:proofErr w:type="spellEnd"/>
      <w:r w:rsidRPr="00D472F0">
        <w:rPr>
          <w:rFonts w:ascii="Calibri" w:eastAsia="Times New Roman" w:hAnsi="Calibri" w:cs="Calibri"/>
          <w:color w:val="000000"/>
        </w:rPr>
        <w:t xml:space="preserve"> CP, Burdon RE, Donnelly SM. The Effect of Technology-Supported, </w:t>
      </w:r>
      <w:proofErr w:type="spellStart"/>
      <w:r w:rsidRPr="00D472F0">
        <w:rPr>
          <w:rFonts w:ascii="Calibri" w:eastAsia="Times New Roman" w:hAnsi="Calibri" w:cs="Calibri"/>
          <w:color w:val="000000"/>
        </w:rPr>
        <w:t>Multidisease</w:t>
      </w:r>
      <w:proofErr w:type="spellEnd"/>
      <w:r w:rsidRPr="00D472F0">
        <w:rPr>
          <w:rFonts w:ascii="Calibri" w:eastAsia="Times New Roman" w:hAnsi="Calibri" w:cs="Calibri"/>
          <w:color w:val="000000"/>
        </w:rPr>
        <w:t xml:space="preserve"> Care Management on the Mortality and Hospitalization of Seniors. Journal of the American Geriatrics Society. 2008;56(12):2195-2202.</w:t>
      </w:r>
    </w:p>
    <w:p w14:paraId="25D9C6A3" w14:textId="77777777" w:rsidR="00CA71C7" w:rsidRPr="00D472F0"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3. </w:t>
      </w:r>
      <w:r w:rsidRPr="00D472F0">
        <w:rPr>
          <w:rFonts w:ascii="Calibri" w:eastAsia="Times New Roman" w:hAnsi="Calibri" w:cs="Calibri"/>
          <w:color w:val="000000"/>
        </w:rPr>
        <w:t xml:space="preserve">Levine S, Steinman BA, Attaway K, Jung T, </w:t>
      </w:r>
      <w:proofErr w:type="spellStart"/>
      <w:r w:rsidRPr="00D472F0">
        <w:rPr>
          <w:rFonts w:ascii="Calibri" w:eastAsia="Times New Roman" w:hAnsi="Calibri" w:cs="Calibri"/>
          <w:color w:val="000000"/>
        </w:rPr>
        <w:t>Enguidanos</w:t>
      </w:r>
      <w:proofErr w:type="spellEnd"/>
      <w:r w:rsidRPr="00D472F0">
        <w:rPr>
          <w:rFonts w:ascii="Calibri" w:eastAsia="Times New Roman" w:hAnsi="Calibri" w:cs="Calibri"/>
          <w:color w:val="000000"/>
        </w:rPr>
        <w:t xml:space="preserve"> S. Home care program for patients at high risk of hospitalization. The American journal of managed care. 2012;18(8</w:t>
      </w:r>
      <w:proofErr w:type="gramStart"/>
      <w:r w:rsidRPr="00D472F0">
        <w:rPr>
          <w:rFonts w:ascii="Calibri" w:eastAsia="Times New Roman" w:hAnsi="Calibri" w:cs="Calibri"/>
          <w:color w:val="000000"/>
        </w:rPr>
        <w:t>):e</w:t>
      </w:r>
      <w:proofErr w:type="gramEnd"/>
      <w:r w:rsidRPr="00D472F0">
        <w:rPr>
          <w:rFonts w:ascii="Calibri" w:eastAsia="Times New Roman" w:hAnsi="Calibri" w:cs="Calibri"/>
          <w:color w:val="000000"/>
        </w:rPr>
        <w:t>269-e276.</w:t>
      </w:r>
    </w:p>
    <w:p w14:paraId="2EA61C1B" w14:textId="77777777" w:rsidR="00CA71C7" w:rsidRPr="00D472F0"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4. </w:t>
      </w:r>
      <w:proofErr w:type="spellStart"/>
      <w:r w:rsidRPr="00D472F0">
        <w:rPr>
          <w:rFonts w:ascii="Calibri" w:eastAsia="Times New Roman" w:hAnsi="Calibri" w:cs="Calibri"/>
          <w:color w:val="000000"/>
        </w:rPr>
        <w:t>Littleford</w:t>
      </w:r>
      <w:proofErr w:type="spellEnd"/>
      <w:r w:rsidRPr="00D472F0">
        <w:rPr>
          <w:rFonts w:ascii="Calibri" w:eastAsia="Times New Roman" w:hAnsi="Calibri" w:cs="Calibri"/>
          <w:color w:val="000000"/>
        </w:rPr>
        <w:t xml:space="preserve"> A, </w:t>
      </w:r>
      <w:proofErr w:type="spellStart"/>
      <w:r w:rsidRPr="00D472F0">
        <w:rPr>
          <w:rFonts w:ascii="Calibri" w:eastAsia="Times New Roman" w:hAnsi="Calibri" w:cs="Calibri"/>
          <w:color w:val="000000"/>
        </w:rPr>
        <w:t>Kralik</w:t>
      </w:r>
      <w:proofErr w:type="spellEnd"/>
      <w:r w:rsidRPr="00D472F0">
        <w:rPr>
          <w:rFonts w:ascii="Calibri" w:eastAsia="Times New Roman" w:hAnsi="Calibri" w:cs="Calibri"/>
          <w:color w:val="000000"/>
        </w:rPr>
        <w:t xml:space="preserve"> D. Making a difference through integrated community care for older people. Journal of Nursing and Healthcare of Chronic Illness. 2010;2(3):178-186.</w:t>
      </w:r>
    </w:p>
    <w:p w14:paraId="3590F6D3" w14:textId="77777777" w:rsidR="00CA71C7" w:rsidRPr="00D472F0"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5. </w:t>
      </w:r>
      <w:r w:rsidRPr="00D472F0">
        <w:rPr>
          <w:rFonts w:ascii="Calibri" w:eastAsia="Times New Roman" w:hAnsi="Calibri" w:cs="Calibri"/>
          <w:color w:val="000000"/>
        </w:rPr>
        <w:t xml:space="preserve">Sommers LS, </w:t>
      </w:r>
      <w:proofErr w:type="spellStart"/>
      <w:r w:rsidRPr="00D472F0">
        <w:rPr>
          <w:rFonts w:ascii="Calibri" w:eastAsia="Times New Roman" w:hAnsi="Calibri" w:cs="Calibri"/>
          <w:color w:val="000000"/>
        </w:rPr>
        <w:t>Marton</w:t>
      </w:r>
      <w:proofErr w:type="spellEnd"/>
      <w:r w:rsidRPr="00D472F0">
        <w:rPr>
          <w:rFonts w:ascii="Calibri" w:eastAsia="Times New Roman" w:hAnsi="Calibri" w:cs="Calibri"/>
          <w:color w:val="000000"/>
        </w:rPr>
        <w:t xml:space="preserve"> KI, </w:t>
      </w:r>
      <w:proofErr w:type="spellStart"/>
      <w:r w:rsidRPr="00D472F0">
        <w:rPr>
          <w:rFonts w:ascii="Calibri" w:eastAsia="Times New Roman" w:hAnsi="Calibri" w:cs="Calibri"/>
          <w:color w:val="000000"/>
        </w:rPr>
        <w:t>Barbaccia</w:t>
      </w:r>
      <w:proofErr w:type="spellEnd"/>
      <w:r w:rsidRPr="00D472F0">
        <w:rPr>
          <w:rFonts w:ascii="Calibri" w:eastAsia="Times New Roman" w:hAnsi="Calibri" w:cs="Calibri"/>
          <w:color w:val="000000"/>
        </w:rPr>
        <w:t xml:space="preserve"> JC, Randolph J. Physician, Nurse, and Social Worker Collaboration in Primary Care for Chronically Ill Seniors. Archives of Internal Medicine. 2000;160(12):1825-1833.</w:t>
      </w:r>
    </w:p>
    <w:p w14:paraId="1559CD47" w14:textId="77777777" w:rsidR="00CA71C7" w:rsidRPr="00D472F0"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6. </w:t>
      </w:r>
      <w:r w:rsidRPr="00D472F0">
        <w:rPr>
          <w:rFonts w:ascii="Calibri" w:eastAsia="Times New Roman" w:hAnsi="Calibri" w:cs="Calibri"/>
          <w:color w:val="000000"/>
        </w:rPr>
        <w:t xml:space="preserve">Van </w:t>
      </w:r>
      <w:proofErr w:type="spellStart"/>
      <w:r w:rsidRPr="00D472F0">
        <w:rPr>
          <w:rFonts w:ascii="Calibri" w:eastAsia="Times New Roman" w:hAnsi="Calibri" w:cs="Calibri"/>
          <w:color w:val="000000"/>
        </w:rPr>
        <w:t>Loenen</w:t>
      </w:r>
      <w:proofErr w:type="spellEnd"/>
      <w:r w:rsidRPr="00D472F0">
        <w:rPr>
          <w:rFonts w:ascii="Calibri" w:eastAsia="Times New Roman" w:hAnsi="Calibri" w:cs="Calibri"/>
          <w:color w:val="000000"/>
        </w:rPr>
        <w:t xml:space="preserve"> T, Faber MJ, </w:t>
      </w:r>
      <w:proofErr w:type="spellStart"/>
      <w:r w:rsidRPr="00D472F0">
        <w:rPr>
          <w:rFonts w:ascii="Calibri" w:eastAsia="Times New Roman" w:hAnsi="Calibri" w:cs="Calibri"/>
          <w:color w:val="000000"/>
        </w:rPr>
        <w:t>Westert</w:t>
      </w:r>
      <w:proofErr w:type="spellEnd"/>
      <w:r w:rsidRPr="00D472F0">
        <w:rPr>
          <w:rFonts w:ascii="Calibri" w:eastAsia="Times New Roman" w:hAnsi="Calibri" w:cs="Calibri"/>
          <w:color w:val="000000"/>
        </w:rPr>
        <w:t xml:space="preserve"> GP, Van den Berg MJ. The impact of primary care organization on avoidable hospital admissions for diabetes in 23 countries. Scandinavian journal of primary health care. 2016;34(1):5-12.</w:t>
      </w:r>
    </w:p>
    <w:p w14:paraId="3124E15B" w14:textId="77777777" w:rsidR="00CA71C7" w:rsidRPr="00D472F0"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7. </w:t>
      </w:r>
      <w:r w:rsidRPr="00D472F0">
        <w:rPr>
          <w:rFonts w:ascii="Calibri" w:eastAsia="Times New Roman" w:hAnsi="Calibri" w:cs="Calibri"/>
          <w:color w:val="000000"/>
        </w:rPr>
        <w:t xml:space="preserve">Zhang NJ, Wan TTH, Rossiter LF, </w:t>
      </w:r>
      <w:proofErr w:type="spellStart"/>
      <w:r w:rsidRPr="00D472F0">
        <w:rPr>
          <w:rFonts w:ascii="Calibri" w:eastAsia="Times New Roman" w:hAnsi="Calibri" w:cs="Calibri"/>
          <w:color w:val="000000"/>
        </w:rPr>
        <w:t>Murawski</w:t>
      </w:r>
      <w:proofErr w:type="spellEnd"/>
      <w:r w:rsidRPr="00D472F0">
        <w:rPr>
          <w:rFonts w:ascii="Calibri" w:eastAsia="Times New Roman" w:hAnsi="Calibri" w:cs="Calibri"/>
          <w:color w:val="000000"/>
        </w:rPr>
        <w:t xml:space="preserve"> MM, Patel UB. Evaluation of chronic disease management on outcomes and cost of care for Medicaid beneficiaries. Health Policy. 2008;86(2):345-354.</w:t>
      </w:r>
    </w:p>
    <w:p w14:paraId="6EE61B40" w14:textId="6F1F9CD0" w:rsidR="00CA71C7" w:rsidRPr="00D472F0"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8. </w:t>
      </w:r>
      <w:r w:rsidRPr="00D472F0">
        <w:rPr>
          <w:rFonts w:ascii="Calibri" w:eastAsia="Times New Roman" w:hAnsi="Calibri" w:cs="Calibri"/>
          <w:color w:val="000000"/>
        </w:rPr>
        <w:t>Hussey PS, Schneider EC, Rudin RS, Fox DS, Lai J, Pollack CE. Continuity and the Costs of Care for Chronic Disease</w:t>
      </w:r>
      <w:r w:rsidR="001C6D97">
        <w:rPr>
          <w:rFonts w:ascii="Calibri" w:eastAsia="Times New Roman" w:hAnsi="Calibri" w:cs="Calibri"/>
          <w:color w:val="000000"/>
        </w:rPr>
        <w:t xml:space="preserve"> </w:t>
      </w:r>
      <w:r w:rsidRPr="00D472F0">
        <w:rPr>
          <w:rFonts w:ascii="Calibri" w:eastAsia="Times New Roman" w:hAnsi="Calibri" w:cs="Calibri"/>
          <w:color w:val="000000"/>
        </w:rPr>
        <w:t>Care Continuity and Costs for Chronic Disease</w:t>
      </w:r>
      <w:r w:rsidR="001C6D97">
        <w:rPr>
          <w:rFonts w:ascii="Calibri" w:eastAsia="Times New Roman" w:hAnsi="Calibri" w:cs="Calibri"/>
          <w:color w:val="000000"/>
        </w:rPr>
        <w:t xml:space="preserve"> </w:t>
      </w:r>
      <w:r w:rsidRPr="00D472F0">
        <w:rPr>
          <w:rFonts w:ascii="Calibri" w:eastAsia="Times New Roman" w:hAnsi="Calibri" w:cs="Calibri"/>
          <w:color w:val="000000"/>
        </w:rPr>
        <w:t>Care Continuity and Costs for Chronic Disease. JAMA Internal Medicine. 2014;174(5):742-748.</w:t>
      </w:r>
    </w:p>
    <w:p w14:paraId="0CB05320" w14:textId="77777777" w:rsidR="00CA71C7" w:rsidRPr="00D472F0"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9. </w:t>
      </w:r>
      <w:proofErr w:type="spellStart"/>
      <w:r w:rsidRPr="00D472F0">
        <w:rPr>
          <w:rFonts w:ascii="Calibri" w:eastAsia="Times New Roman" w:hAnsi="Calibri" w:cs="Calibri"/>
          <w:color w:val="000000"/>
        </w:rPr>
        <w:t>Donaho</w:t>
      </w:r>
      <w:proofErr w:type="spellEnd"/>
      <w:r w:rsidRPr="00D472F0">
        <w:rPr>
          <w:rFonts w:ascii="Calibri" w:eastAsia="Times New Roman" w:hAnsi="Calibri" w:cs="Calibri"/>
          <w:color w:val="000000"/>
        </w:rPr>
        <w:t xml:space="preserve"> EK, Hall AC, </w:t>
      </w:r>
      <w:proofErr w:type="spellStart"/>
      <w:r w:rsidRPr="00D472F0">
        <w:rPr>
          <w:rFonts w:ascii="Calibri" w:eastAsia="Times New Roman" w:hAnsi="Calibri" w:cs="Calibri"/>
          <w:color w:val="000000"/>
        </w:rPr>
        <w:t>Gass</w:t>
      </w:r>
      <w:proofErr w:type="spellEnd"/>
      <w:r w:rsidRPr="00D472F0">
        <w:rPr>
          <w:rFonts w:ascii="Calibri" w:eastAsia="Times New Roman" w:hAnsi="Calibri" w:cs="Calibri"/>
          <w:color w:val="000000"/>
        </w:rPr>
        <w:t xml:space="preserve"> JA, et al. Protocol-Driven Allied Health Post-Discharge Transition Clinic to Reduce Hospital Readmissions in Heart Failure. Journal of the American Heart Association. 2015;4(12</w:t>
      </w:r>
      <w:proofErr w:type="gramStart"/>
      <w:r w:rsidRPr="00D472F0">
        <w:rPr>
          <w:rFonts w:ascii="Calibri" w:eastAsia="Times New Roman" w:hAnsi="Calibri" w:cs="Calibri"/>
          <w:color w:val="000000"/>
        </w:rPr>
        <w:t>):e</w:t>
      </w:r>
      <w:proofErr w:type="gramEnd"/>
      <w:r w:rsidRPr="00D472F0">
        <w:rPr>
          <w:rFonts w:ascii="Calibri" w:eastAsia="Times New Roman" w:hAnsi="Calibri" w:cs="Calibri"/>
          <w:color w:val="000000"/>
        </w:rPr>
        <w:t>002296.</w:t>
      </w:r>
    </w:p>
    <w:p w14:paraId="6371A340" w14:textId="77777777" w:rsidR="00CA71C7" w:rsidRPr="00D472F0"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10. </w:t>
      </w:r>
      <w:r w:rsidRPr="00D472F0">
        <w:rPr>
          <w:rFonts w:ascii="Calibri" w:eastAsia="Times New Roman" w:hAnsi="Calibri" w:cs="Calibri"/>
          <w:color w:val="000000"/>
        </w:rPr>
        <w:t xml:space="preserve">Lee KK, Yang J, Hernandez AF, </w:t>
      </w:r>
      <w:proofErr w:type="spellStart"/>
      <w:r w:rsidRPr="00D472F0">
        <w:rPr>
          <w:rFonts w:ascii="Calibri" w:eastAsia="Times New Roman" w:hAnsi="Calibri" w:cs="Calibri"/>
          <w:color w:val="000000"/>
        </w:rPr>
        <w:t>Steimle</w:t>
      </w:r>
      <w:proofErr w:type="spellEnd"/>
      <w:r w:rsidRPr="00D472F0">
        <w:rPr>
          <w:rFonts w:ascii="Calibri" w:eastAsia="Times New Roman" w:hAnsi="Calibri" w:cs="Calibri"/>
          <w:color w:val="000000"/>
        </w:rPr>
        <w:t xml:space="preserve"> AE, Go AS. Post-discharge Follow-up Characteristics Associated With 30-Day Readmission After Heart Failure Hospitalization. Medical Care. 2016;54(4):365-372.</w:t>
      </w:r>
    </w:p>
    <w:p w14:paraId="1990CA09" w14:textId="77777777" w:rsidR="00CA71C7" w:rsidRPr="00D472F0"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11. </w:t>
      </w:r>
      <w:r w:rsidRPr="00D472F0">
        <w:rPr>
          <w:rFonts w:ascii="Calibri" w:eastAsia="Times New Roman" w:hAnsi="Calibri" w:cs="Calibri"/>
          <w:color w:val="000000"/>
        </w:rPr>
        <w:t>Murtaugh CM, Deb P, Zhu C, et al. Reducing Readmissions among Heart Failure Patients Discharged to Home Health Care: Effectiveness of Early and Intensive Nursing Services and Early Physician Follow-Up. Health Services Research. 2017;52(4):1445-1472.</w:t>
      </w:r>
    </w:p>
    <w:p w14:paraId="62A37171" w14:textId="192F646B" w:rsidR="00CA71C7" w:rsidRDefault="00CA71C7" w:rsidP="00CA71C7">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12. </w:t>
      </w:r>
      <w:r w:rsidRPr="00D472F0">
        <w:rPr>
          <w:rFonts w:ascii="Calibri" w:eastAsia="Times New Roman" w:hAnsi="Calibri" w:cs="Calibri"/>
          <w:color w:val="000000"/>
        </w:rPr>
        <w:t xml:space="preserve">Ryan J, Kang S, </w:t>
      </w:r>
      <w:proofErr w:type="spellStart"/>
      <w:r w:rsidRPr="00D472F0">
        <w:rPr>
          <w:rFonts w:ascii="Calibri" w:eastAsia="Times New Roman" w:hAnsi="Calibri" w:cs="Calibri"/>
          <w:color w:val="000000"/>
        </w:rPr>
        <w:t>Dolacky</w:t>
      </w:r>
      <w:proofErr w:type="spellEnd"/>
      <w:r w:rsidRPr="00D472F0">
        <w:rPr>
          <w:rFonts w:ascii="Calibri" w:eastAsia="Times New Roman" w:hAnsi="Calibri" w:cs="Calibri"/>
          <w:color w:val="000000"/>
        </w:rPr>
        <w:t xml:space="preserve"> S, Ingrassia J, </w:t>
      </w:r>
      <w:proofErr w:type="spellStart"/>
      <w:r w:rsidRPr="00D472F0">
        <w:rPr>
          <w:rFonts w:ascii="Calibri" w:eastAsia="Times New Roman" w:hAnsi="Calibri" w:cs="Calibri"/>
          <w:color w:val="000000"/>
        </w:rPr>
        <w:t>Ganeshan</w:t>
      </w:r>
      <w:proofErr w:type="spellEnd"/>
      <w:r w:rsidRPr="00D472F0">
        <w:rPr>
          <w:rFonts w:ascii="Calibri" w:eastAsia="Times New Roman" w:hAnsi="Calibri" w:cs="Calibri"/>
          <w:color w:val="000000"/>
        </w:rPr>
        <w:t xml:space="preserve"> R. Change in Readmissions and Follow-up Visits as Part of a Heart Failure Readmission Quality Improvement Initiative. The American Journal of Medicine. 2013;126(11):989-994.e981.</w:t>
      </w:r>
    </w:p>
    <w:p w14:paraId="5EA1207F" w14:textId="64AC4D67" w:rsidR="006364EE" w:rsidRPr="006364EE" w:rsidRDefault="006364EE" w:rsidP="006364EE">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13.</w:t>
      </w:r>
      <w:r w:rsidRPr="006364EE">
        <w:rPr>
          <w:rFonts w:ascii="Calibri" w:eastAsia="Times New Roman" w:hAnsi="Calibri" w:cs="Calibri"/>
          <w:color w:val="000000"/>
        </w:rPr>
        <w:t xml:space="preserve"> </w:t>
      </w:r>
      <w:proofErr w:type="spellStart"/>
      <w:r w:rsidRPr="006364EE">
        <w:rPr>
          <w:rFonts w:ascii="Calibri" w:eastAsia="Times New Roman" w:hAnsi="Calibri" w:cs="Calibri"/>
          <w:color w:val="000000"/>
        </w:rPr>
        <w:t>Echouffo-Tcheugui</w:t>
      </w:r>
      <w:proofErr w:type="spellEnd"/>
      <w:r w:rsidRPr="006364EE">
        <w:rPr>
          <w:rFonts w:ascii="Calibri" w:eastAsia="Times New Roman" w:hAnsi="Calibri" w:cs="Calibri"/>
          <w:color w:val="000000"/>
        </w:rPr>
        <w:t xml:space="preserve"> JB, </w:t>
      </w:r>
      <w:proofErr w:type="spellStart"/>
      <w:r w:rsidRPr="006364EE">
        <w:rPr>
          <w:rFonts w:ascii="Calibri" w:eastAsia="Times New Roman" w:hAnsi="Calibri" w:cs="Calibri"/>
          <w:color w:val="000000"/>
        </w:rPr>
        <w:t>Bishu</w:t>
      </w:r>
      <w:proofErr w:type="spellEnd"/>
      <w:r w:rsidRPr="006364EE">
        <w:rPr>
          <w:rFonts w:ascii="Calibri" w:eastAsia="Times New Roman" w:hAnsi="Calibri" w:cs="Calibri"/>
          <w:color w:val="000000"/>
        </w:rPr>
        <w:t xml:space="preserve"> KG, </w:t>
      </w:r>
      <w:proofErr w:type="spellStart"/>
      <w:r w:rsidRPr="006364EE">
        <w:rPr>
          <w:rFonts w:ascii="Calibri" w:eastAsia="Times New Roman" w:hAnsi="Calibri" w:cs="Calibri"/>
          <w:color w:val="000000"/>
        </w:rPr>
        <w:t>Fonarow</w:t>
      </w:r>
      <w:proofErr w:type="spellEnd"/>
      <w:r w:rsidRPr="006364EE">
        <w:rPr>
          <w:rFonts w:ascii="Calibri" w:eastAsia="Times New Roman" w:hAnsi="Calibri" w:cs="Calibri"/>
          <w:color w:val="000000"/>
        </w:rPr>
        <w:t xml:space="preserve"> GC, </w:t>
      </w:r>
      <w:proofErr w:type="spellStart"/>
      <w:r w:rsidRPr="006364EE">
        <w:rPr>
          <w:rFonts w:ascii="Calibri" w:eastAsia="Times New Roman" w:hAnsi="Calibri" w:cs="Calibri"/>
          <w:color w:val="000000"/>
        </w:rPr>
        <w:t>Egede</w:t>
      </w:r>
      <w:proofErr w:type="spellEnd"/>
      <w:r w:rsidRPr="006364EE">
        <w:rPr>
          <w:rFonts w:ascii="Calibri" w:eastAsia="Times New Roman" w:hAnsi="Calibri" w:cs="Calibri"/>
          <w:color w:val="000000"/>
        </w:rPr>
        <w:t xml:space="preserve"> LE. Trends in health care expenditure among US adults with heart failure: The Medical Expenditure Panel Survey 2002-2011. Am Heart J. </w:t>
      </w:r>
      <w:proofErr w:type="gramStart"/>
      <w:r w:rsidRPr="006364EE">
        <w:rPr>
          <w:rFonts w:ascii="Calibri" w:eastAsia="Times New Roman" w:hAnsi="Calibri" w:cs="Calibri"/>
          <w:color w:val="000000"/>
        </w:rPr>
        <w:t>2017;186:63</w:t>
      </w:r>
      <w:proofErr w:type="gramEnd"/>
      <w:r w:rsidRPr="006364EE">
        <w:rPr>
          <w:rFonts w:ascii="Calibri" w:eastAsia="Times New Roman" w:hAnsi="Calibri" w:cs="Calibri"/>
          <w:color w:val="000000"/>
        </w:rPr>
        <w:t>-72.</w:t>
      </w:r>
    </w:p>
    <w:p w14:paraId="66689B13" w14:textId="6430CF02" w:rsidR="006364EE" w:rsidRPr="006364EE" w:rsidRDefault="006364EE" w:rsidP="006364EE">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sidRPr="006364EE">
        <w:rPr>
          <w:rFonts w:ascii="Calibri" w:eastAsia="Times New Roman" w:hAnsi="Calibri" w:cs="Calibri"/>
          <w:color w:val="000000"/>
        </w:rPr>
        <w:t xml:space="preserve">14. Voigt J, Sasha John M, Taylor A, </w:t>
      </w:r>
      <w:proofErr w:type="spellStart"/>
      <w:r w:rsidRPr="006364EE">
        <w:rPr>
          <w:rFonts w:ascii="Calibri" w:eastAsia="Times New Roman" w:hAnsi="Calibri" w:cs="Calibri"/>
          <w:color w:val="000000"/>
        </w:rPr>
        <w:t>Krucoff</w:t>
      </w:r>
      <w:proofErr w:type="spellEnd"/>
      <w:r w:rsidRPr="006364EE">
        <w:rPr>
          <w:rFonts w:ascii="Calibri" w:eastAsia="Times New Roman" w:hAnsi="Calibri" w:cs="Calibri"/>
          <w:color w:val="000000"/>
        </w:rPr>
        <w:t xml:space="preserve"> M, Reynolds MR, Michael Gibson C. A reevaluation of the costs of heart failure and its implications for allocation of health resources in the United States. Clin Cardiol</w:t>
      </w:r>
      <w:r>
        <w:rPr>
          <w:rFonts w:ascii="Calibri" w:eastAsia="Times New Roman" w:hAnsi="Calibri" w:cs="Calibri"/>
          <w:color w:val="000000"/>
        </w:rPr>
        <w:t>ogy</w:t>
      </w:r>
      <w:r w:rsidRPr="006364EE">
        <w:rPr>
          <w:rFonts w:ascii="Calibri" w:eastAsia="Times New Roman" w:hAnsi="Calibri" w:cs="Calibri"/>
          <w:color w:val="000000"/>
        </w:rPr>
        <w:t>. 2014;37(5):312-321.</w:t>
      </w:r>
    </w:p>
    <w:p w14:paraId="56121A2B" w14:textId="77777777" w:rsidR="006364EE" w:rsidRPr="006364EE" w:rsidRDefault="006364EE" w:rsidP="006364EE">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sidRPr="006364EE">
        <w:rPr>
          <w:rFonts w:ascii="Calibri" w:eastAsia="Times New Roman" w:hAnsi="Calibri" w:cs="Calibri"/>
          <w:color w:val="000000"/>
        </w:rPr>
        <w:t xml:space="preserve">15. </w:t>
      </w:r>
      <w:proofErr w:type="spellStart"/>
      <w:r w:rsidRPr="006364EE">
        <w:rPr>
          <w:rFonts w:ascii="Calibri" w:eastAsia="Times New Roman" w:hAnsi="Calibri" w:cs="Calibri"/>
          <w:color w:val="000000"/>
        </w:rPr>
        <w:t>Torio</w:t>
      </w:r>
      <w:proofErr w:type="spellEnd"/>
      <w:r w:rsidRPr="006364EE">
        <w:rPr>
          <w:rFonts w:ascii="Calibri" w:eastAsia="Times New Roman" w:hAnsi="Calibri" w:cs="Calibri"/>
          <w:color w:val="000000"/>
        </w:rPr>
        <w:t xml:space="preserve"> CM, Moore BJ. National Inpatient Hospital Costs: The Most Expensive Conditions by Payer, 2013: Statistical Brief #204. Healthcare Cost and Utilization Project (HCUP) Statistical Briefs. Rockville (MD)2006.</w:t>
      </w:r>
    </w:p>
    <w:p w14:paraId="0F82BD8A" w14:textId="464ECD6B" w:rsidR="006364EE" w:rsidRPr="006364EE" w:rsidRDefault="006364EE" w:rsidP="006364EE">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16. </w:t>
      </w:r>
      <w:proofErr w:type="spellStart"/>
      <w:r w:rsidRPr="006364EE">
        <w:rPr>
          <w:rFonts w:ascii="Calibri" w:eastAsia="Times New Roman" w:hAnsi="Calibri" w:cs="Calibri"/>
          <w:color w:val="000000"/>
        </w:rPr>
        <w:t>Dunlay</w:t>
      </w:r>
      <w:proofErr w:type="spellEnd"/>
      <w:r w:rsidRPr="006364EE">
        <w:rPr>
          <w:rFonts w:ascii="Calibri" w:eastAsia="Times New Roman" w:hAnsi="Calibri" w:cs="Calibri"/>
          <w:color w:val="000000"/>
        </w:rPr>
        <w:t xml:space="preserve"> SM, Shah ND, Shi Q, et al. Lifetime costs of medical care</w:t>
      </w:r>
      <w:r>
        <w:rPr>
          <w:rFonts w:ascii="Calibri" w:eastAsia="Times New Roman" w:hAnsi="Calibri" w:cs="Calibri"/>
          <w:color w:val="000000"/>
        </w:rPr>
        <w:t xml:space="preserve"> after heart failure diagnosis. </w:t>
      </w:r>
      <w:r w:rsidRPr="006364EE">
        <w:rPr>
          <w:rFonts w:ascii="Calibri" w:eastAsia="Times New Roman" w:hAnsi="Calibri" w:cs="Calibri"/>
          <w:color w:val="000000"/>
        </w:rPr>
        <w:t>Circulation Cardiovascular quality and outcomes. 2011;4(1):68-75.</w:t>
      </w:r>
    </w:p>
    <w:p w14:paraId="25AE0969" w14:textId="0B1AB164" w:rsidR="006364EE" w:rsidRPr="006364EE" w:rsidRDefault="006364EE" w:rsidP="006364EE">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17. </w:t>
      </w:r>
      <w:r w:rsidRPr="006364EE">
        <w:rPr>
          <w:rFonts w:ascii="Calibri" w:eastAsia="Times New Roman" w:hAnsi="Calibri" w:cs="Calibri"/>
          <w:color w:val="000000"/>
        </w:rPr>
        <w:t xml:space="preserve">Banka G, Heidenreich PA, </w:t>
      </w:r>
      <w:proofErr w:type="spellStart"/>
      <w:r w:rsidRPr="006364EE">
        <w:rPr>
          <w:rFonts w:ascii="Calibri" w:eastAsia="Times New Roman" w:hAnsi="Calibri" w:cs="Calibri"/>
          <w:color w:val="000000"/>
        </w:rPr>
        <w:t>Fonarow</w:t>
      </w:r>
      <w:proofErr w:type="spellEnd"/>
      <w:r w:rsidRPr="006364EE">
        <w:rPr>
          <w:rFonts w:ascii="Calibri" w:eastAsia="Times New Roman" w:hAnsi="Calibri" w:cs="Calibri"/>
          <w:color w:val="000000"/>
        </w:rPr>
        <w:t xml:space="preserve"> GC. Incremental Cost-Effectiveness of Guideline-Directed Medical Therapies for Heart Failure. Journal of the American College of Cardiology. 2013;61(13):1440-1446.</w:t>
      </w:r>
    </w:p>
    <w:p w14:paraId="4A2C1CDC" w14:textId="1688441D" w:rsidR="006364EE" w:rsidRPr="00D472F0" w:rsidRDefault="006364EE" w:rsidP="006364EE">
      <w:pPr>
        <w:pBdr>
          <w:top w:val="single" w:sz="4" w:space="1" w:color="auto"/>
          <w:left w:val="single" w:sz="4" w:space="4" w:color="auto"/>
          <w:bottom w:val="single" w:sz="4" w:space="1" w:color="auto"/>
          <w:right w:val="single" w:sz="4" w:space="4" w:color="auto"/>
        </w:pBdr>
        <w:ind w:left="0" w:firstLine="0"/>
        <w:rPr>
          <w:rFonts w:ascii="Calibri" w:eastAsia="Times New Roman" w:hAnsi="Calibri" w:cs="Calibri"/>
          <w:color w:val="000000"/>
        </w:rPr>
      </w:pPr>
      <w:r>
        <w:rPr>
          <w:rFonts w:ascii="Calibri" w:eastAsia="Times New Roman" w:hAnsi="Calibri" w:cs="Calibri"/>
          <w:color w:val="000000"/>
        </w:rPr>
        <w:t xml:space="preserve">18. </w:t>
      </w:r>
      <w:proofErr w:type="spellStart"/>
      <w:r w:rsidRPr="006364EE">
        <w:rPr>
          <w:rFonts w:ascii="Calibri" w:eastAsia="Times New Roman" w:hAnsi="Calibri" w:cs="Calibri"/>
          <w:color w:val="000000"/>
        </w:rPr>
        <w:t>Bilchick</w:t>
      </w:r>
      <w:proofErr w:type="spellEnd"/>
      <w:r w:rsidRPr="006364EE">
        <w:rPr>
          <w:rFonts w:ascii="Calibri" w:eastAsia="Times New Roman" w:hAnsi="Calibri" w:cs="Calibri"/>
          <w:color w:val="000000"/>
        </w:rPr>
        <w:t xml:space="preserve"> K, Moss T, Welch T, et al. Improving Heart Failure Readmission Costs and Outcomes </w:t>
      </w:r>
      <w:proofErr w:type="gramStart"/>
      <w:r w:rsidRPr="006364EE">
        <w:rPr>
          <w:rFonts w:ascii="Calibri" w:eastAsia="Times New Roman" w:hAnsi="Calibri" w:cs="Calibri"/>
          <w:color w:val="000000"/>
        </w:rPr>
        <w:t>With</w:t>
      </w:r>
      <w:proofErr w:type="gramEnd"/>
      <w:r w:rsidRPr="006364EE">
        <w:rPr>
          <w:rFonts w:ascii="Calibri" w:eastAsia="Times New Roman" w:hAnsi="Calibri" w:cs="Calibri"/>
          <w:color w:val="000000"/>
        </w:rPr>
        <w:t xml:space="preserve"> a Hospital-to-Home Readmission Intervention Program. American Journal of Medical Quality. 2018:1062860618788436.</w:t>
      </w:r>
    </w:p>
    <w:p w14:paraId="18881F55" w14:textId="77777777" w:rsidR="00996EE4" w:rsidRDefault="00996EE4">
      <w:pPr>
        <w:ind w:left="0" w:firstLine="0"/>
        <w:rPr>
          <w:i/>
          <w:iCs/>
          <w:highlight w:val="green"/>
          <w:u w:val="single"/>
        </w:rPr>
      </w:pPr>
    </w:p>
    <w:p w14:paraId="3926BD79" w14:textId="77777777" w:rsidR="00996EE4" w:rsidRDefault="00132E82">
      <w:pPr>
        <w:ind w:left="0" w:firstLine="0"/>
        <w:rPr>
          <w:b/>
          <w:iCs/>
        </w:rPr>
      </w:pPr>
      <w:bookmarkStart w:id="5" w:name="Section1a3"/>
      <w:bookmarkEnd w:id="5"/>
      <w:r>
        <w:rPr>
          <w:b/>
          <w:iCs/>
          <w:color w:val="0000FF"/>
        </w:rPr>
        <w:t>1a.3.</w:t>
      </w:r>
      <w:r>
        <w:rPr>
          <w:i/>
          <w:iCs/>
          <w:color w:val="0000FF"/>
        </w:rPr>
        <w:t xml:space="preserve"> </w:t>
      </w:r>
      <w:r>
        <w:rPr>
          <w:b/>
          <w:iCs/>
          <w:color w:val="0000FF"/>
        </w:rPr>
        <w:t>SYSTEMATIC REVIEW(SR) OF THE EVIDENCE (</w:t>
      </w:r>
      <w:r>
        <w:rPr>
          <w:b/>
          <w:iCs/>
        </w:rPr>
        <w:t>for</w:t>
      </w:r>
      <w:r>
        <w:rPr>
          <w:b/>
          <w:iCs/>
          <w:caps/>
        </w:rPr>
        <w:t xml:space="preserve"> intermediate outcome, PROCESS, or STRUCTURE PERFORMANCE measures, including those that are instrument-based)</w:t>
      </w:r>
      <w:r>
        <w:rPr>
          <w:b/>
          <w:iCs/>
        </w:rPr>
        <w:t xml:space="preserve"> If the evidence is not based on a systematic review go to section 1a.4) If you wish to include more than one systematic review, add additional tables. </w:t>
      </w:r>
    </w:p>
    <w:p w14:paraId="1E3F8A46" w14:textId="77777777" w:rsidR="00996EE4" w:rsidRDefault="00996EE4">
      <w:pPr>
        <w:ind w:left="0" w:firstLine="0"/>
        <w:rPr>
          <w:i/>
          <w:iCs/>
        </w:rPr>
      </w:pPr>
    </w:p>
    <w:p w14:paraId="06A86591" w14:textId="77777777" w:rsidR="00996EE4" w:rsidRDefault="00132E82">
      <w:pPr>
        <w:ind w:left="0" w:firstLine="0"/>
        <w:rPr>
          <w:rFonts w:ascii="Calibri" w:eastAsia="Calibri" w:hAnsi="Calibri" w:cs="Times New Roman"/>
          <w:b/>
        </w:rPr>
      </w:pPr>
      <w:r>
        <w:rPr>
          <w:rFonts w:ascii="Calibri" w:eastAsia="Calibri" w:hAnsi="Calibri" w:cs="Times New Roman"/>
          <w:b/>
        </w:rPr>
        <w:t xml:space="preserve">What is the source of the </w:t>
      </w:r>
      <w:r>
        <w:rPr>
          <w:rFonts w:ascii="Calibri" w:eastAsia="Calibri" w:hAnsi="Calibri" w:cs="Times New Roman"/>
          <w:b/>
          <w:u w:val="single"/>
        </w:rPr>
        <w:t>systematic review of the body of evidence</w:t>
      </w:r>
      <w:r>
        <w:rPr>
          <w:rFonts w:ascii="Calibri" w:eastAsia="Calibri" w:hAnsi="Calibri" w:cs="Times New Roman"/>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054D1FC1" w14:textId="77777777" w:rsidR="00996EE4" w:rsidRDefault="00132E82">
      <w:pPr>
        <w:ind w:left="0" w:firstLine="0"/>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Pr>
          <w:rFonts w:ascii="Calibri" w:eastAsia="Calibri" w:hAnsi="Calibri" w:cs="Times New Roman"/>
        </w:rPr>
        <w:t>Clinical Practice Guideline recommendation  (with evidence review)</w:t>
      </w:r>
    </w:p>
    <w:p w14:paraId="7AC7EBCD" w14:textId="77777777" w:rsidR="00996EE4" w:rsidRDefault="00132E82">
      <w:pPr>
        <w:ind w:left="0" w:firstLine="0"/>
        <w:rPr>
          <w:rFonts w:ascii="Calibri" w:eastAsia="Calibri" w:hAnsi="Calibri" w:cs="Times New Roman"/>
          <w:b/>
          <w:i/>
        </w:rPr>
      </w:pPr>
      <w:r>
        <w:rPr>
          <w:rFonts w:ascii="Times New Roman" w:eastAsia="Arial Unicode MS" w:hAnsi="Times New Roman" w:cs="Mangal" w:hint="eastAsia"/>
          <w:color w:val="0000FF"/>
          <w:kern w:val="1"/>
          <w:sz w:val="24"/>
          <w:szCs w:val="24"/>
          <w:lang w:eastAsia="hi-IN" w:bidi="hi-IN"/>
        </w:rPr>
        <w:t>☐</w:t>
      </w:r>
      <w:r>
        <w:rPr>
          <w:rFonts w:ascii="Calibri" w:eastAsia="Calibri" w:hAnsi="Calibri" w:cs="Times New Roman"/>
        </w:rPr>
        <w:t xml:space="preserve"> US Preventive Services Task Force Recommendation</w:t>
      </w:r>
    </w:p>
    <w:p w14:paraId="62AE1C9E" w14:textId="77777777" w:rsidR="00996EE4" w:rsidRDefault="00132E82">
      <w:pPr>
        <w:ind w:left="0" w:firstLine="0"/>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w:t>
      </w:r>
      <w:r>
        <w:rPr>
          <w:rFonts w:ascii="Calibri" w:eastAsia="Calibri" w:hAnsi="Calibri" w:cs="Times New Roman"/>
        </w:rPr>
        <w:t xml:space="preserve"> Other systematic review and grading of the body of evidence (</w:t>
      </w:r>
      <w:r>
        <w:rPr>
          <w:rFonts w:ascii="Calibri" w:eastAsia="Calibri" w:hAnsi="Calibri" w:cs="Times New Roman"/>
          <w:i/>
        </w:rPr>
        <w:t>e.g., Cochrane Collaboration, AHRQ Evidence Practice Center</w:t>
      </w:r>
      <w:r>
        <w:rPr>
          <w:rFonts w:ascii="Calibri" w:eastAsia="Calibri" w:hAnsi="Calibri" w:cs="Times New Roman"/>
        </w:rPr>
        <w:t xml:space="preserve">) </w:t>
      </w:r>
    </w:p>
    <w:p w14:paraId="4C8CD10F" w14:textId="77777777" w:rsidR="00996EE4" w:rsidRDefault="00132E82">
      <w:pPr>
        <w:ind w:left="0" w:firstLine="0"/>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t>☐</w:t>
      </w:r>
      <w:r>
        <w:rPr>
          <w:rFonts w:ascii="Calibri" w:eastAsia="Calibri" w:hAnsi="Calibri" w:cs="Times New Roman"/>
        </w:rPr>
        <w:t xml:space="preserve"> Other </w:t>
      </w:r>
    </w:p>
    <w:p w14:paraId="513D095C" w14:textId="77777777" w:rsidR="00996EE4" w:rsidRDefault="00996EE4">
      <w:pPr>
        <w:ind w:left="0" w:firstLine="0"/>
        <w:rPr>
          <w:i/>
          <w:iCs/>
        </w:rPr>
      </w:pPr>
    </w:p>
    <w:p w14:paraId="2D9CF141" w14:textId="77777777" w:rsidR="00996EE4" w:rsidRDefault="00996EE4">
      <w:pPr>
        <w:ind w:left="0" w:firstLine="0"/>
        <w:rPr>
          <w:i/>
          <w:iCs/>
        </w:rPr>
      </w:pPr>
    </w:p>
    <w:tbl>
      <w:tblPr>
        <w:tblStyle w:val="TableGrid"/>
        <w:tblW w:w="0" w:type="auto"/>
        <w:tblLook w:val="04A0" w:firstRow="1" w:lastRow="0" w:firstColumn="1" w:lastColumn="0" w:noHBand="0" w:noVBand="1"/>
      </w:tblPr>
      <w:tblGrid>
        <w:gridCol w:w="4068"/>
        <w:gridCol w:w="5130"/>
      </w:tblGrid>
      <w:tr w:rsidR="00996EE4" w14:paraId="11EE5936" w14:textId="77777777">
        <w:tc>
          <w:tcPr>
            <w:tcW w:w="4068" w:type="dxa"/>
          </w:tcPr>
          <w:p w14:paraId="78E0147D" w14:textId="77777777" w:rsidR="00996EE4" w:rsidRDefault="00132E82">
            <w:pPr>
              <w:ind w:left="0" w:firstLine="0"/>
              <w:rPr>
                <w:b/>
              </w:rPr>
            </w:pPr>
            <w:r>
              <w:rPr>
                <w:b/>
              </w:rPr>
              <w:t>Source of Systematic Review:</w:t>
            </w:r>
          </w:p>
          <w:p w14:paraId="477F035C" w14:textId="77777777" w:rsidR="00996EE4" w:rsidRDefault="00132E82">
            <w:pPr>
              <w:pStyle w:val="ListParagraph"/>
              <w:numPr>
                <w:ilvl w:val="0"/>
                <w:numId w:val="9"/>
              </w:numPr>
              <w:rPr>
                <w:b/>
              </w:rPr>
            </w:pPr>
            <w:r>
              <w:rPr>
                <w:b/>
              </w:rPr>
              <w:t>Title</w:t>
            </w:r>
          </w:p>
          <w:p w14:paraId="6EB0B550" w14:textId="77777777" w:rsidR="00996EE4" w:rsidRDefault="00132E82">
            <w:pPr>
              <w:pStyle w:val="ListParagraph"/>
              <w:numPr>
                <w:ilvl w:val="0"/>
                <w:numId w:val="9"/>
              </w:numPr>
              <w:rPr>
                <w:b/>
              </w:rPr>
            </w:pPr>
            <w:r>
              <w:rPr>
                <w:b/>
              </w:rPr>
              <w:t>Author</w:t>
            </w:r>
          </w:p>
          <w:p w14:paraId="0C28B68D" w14:textId="77777777" w:rsidR="00996EE4" w:rsidRDefault="00132E82">
            <w:pPr>
              <w:pStyle w:val="ListParagraph"/>
              <w:numPr>
                <w:ilvl w:val="0"/>
                <w:numId w:val="9"/>
              </w:numPr>
              <w:rPr>
                <w:b/>
              </w:rPr>
            </w:pPr>
            <w:r>
              <w:rPr>
                <w:b/>
              </w:rPr>
              <w:t>Date</w:t>
            </w:r>
          </w:p>
          <w:p w14:paraId="10EFF5B3" w14:textId="77777777" w:rsidR="00996EE4" w:rsidRDefault="00132E82">
            <w:pPr>
              <w:pStyle w:val="ListParagraph"/>
              <w:numPr>
                <w:ilvl w:val="0"/>
                <w:numId w:val="9"/>
              </w:numPr>
              <w:rPr>
                <w:b/>
              </w:rPr>
            </w:pPr>
            <w:r>
              <w:rPr>
                <w:b/>
              </w:rPr>
              <w:t>Citation, including page number</w:t>
            </w:r>
          </w:p>
          <w:p w14:paraId="60B18986" w14:textId="77777777" w:rsidR="00996EE4" w:rsidRDefault="00132E82">
            <w:pPr>
              <w:pStyle w:val="ListParagraph"/>
              <w:numPr>
                <w:ilvl w:val="0"/>
                <w:numId w:val="9"/>
              </w:numPr>
              <w:rPr>
                <w:b/>
              </w:rPr>
            </w:pPr>
            <w:r>
              <w:rPr>
                <w:b/>
              </w:rPr>
              <w:t>URL</w:t>
            </w:r>
          </w:p>
        </w:tc>
        <w:tc>
          <w:tcPr>
            <w:tcW w:w="5130" w:type="dxa"/>
          </w:tcPr>
          <w:p w14:paraId="15F5CE0C" w14:textId="77777777" w:rsidR="00996EE4" w:rsidRDefault="00132E82">
            <w:pPr>
              <w:ind w:left="0" w:firstLine="0"/>
              <w:rPr>
                <w:b/>
              </w:rPr>
            </w:pPr>
            <w:r>
              <w:rPr>
                <w:b/>
              </w:rPr>
              <w:t>N/A</w:t>
            </w:r>
          </w:p>
        </w:tc>
      </w:tr>
      <w:tr w:rsidR="00996EE4" w14:paraId="3EB0320E" w14:textId="77777777">
        <w:tc>
          <w:tcPr>
            <w:tcW w:w="4068" w:type="dxa"/>
          </w:tcPr>
          <w:p w14:paraId="7FE11E97" w14:textId="77777777" w:rsidR="00996EE4" w:rsidRDefault="00132E82">
            <w:pPr>
              <w:ind w:left="0" w:firstLine="0"/>
            </w:pPr>
            <w:r>
              <w:t>Quote the guideline or recommendation verbatim about the process, structure or intermediate outcome being measured. If not a guideline, summarize the conclusions from the SR.</w:t>
            </w:r>
          </w:p>
        </w:tc>
        <w:tc>
          <w:tcPr>
            <w:tcW w:w="5130" w:type="dxa"/>
          </w:tcPr>
          <w:p w14:paraId="7A5F8CF9" w14:textId="77777777" w:rsidR="00996EE4" w:rsidRDefault="00996EE4">
            <w:pPr>
              <w:ind w:left="0" w:firstLine="0"/>
            </w:pPr>
          </w:p>
        </w:tc>
      </w:tr>
      <w:tr w:rsidR="00996EE4" w14:paraId="498A1B64" w14:textId="77777777">
        <w:tc>
          <w:tcPr>
            <w:tcW w:w="4068" w:type="dxa"/>
          </w:tcPr>
          <w:p w14:paraId="087D17D5" w14:textId="77777777" w:rsidR="00996EE4" w:rsidRDefault="00132E82">
            <w:pPr>
              <w:ind w:left="0" w:firstLine="0"/>
            </w:pPr>
            <w:r>
              <w:t xml:space="preserve">Grade assigned to the </w:t>
            </w:r>
            <w:r>
              <w:rPr>
                <w:b/>
              </w:rPr>
              <w:t>evidence</w:t>
            </w:r>
            <w:r>
              <w:t xml:space="preserve"> associated with the recommendation with the definition of the grade</w:t>
            </w:r>
          </w:p>
        </w:tc>
        <w:tc>
          <w:tcPr>
            <w:tcW w:w="5130" w:type="dxa"/>
          </w:tcPr>
          <w:p w14:paraId="42080A90" w14:textId="77777777" w:rsidR="00996EE4" w:rsidRDefault="00996EE4">
            <w:pPr>
              <w:ind w:left="0" w:firstLine="0"/>
            </w:pPr>
          </w:p>
        </w:tc>
      </w:tr>
      <w:tr w:rsidR="00996EE4" w14:paraId="355A02C7" w14:textId="77777777">
        <w:tc>
          <w:tcPr>
            <w:tcW w:w="4068" w:type="dxa"/>
          </w:tcPr>
          <w:p w14:paraId="5249A671" w14:textId="77777777" w:rsidR="00996EE4" w:rsidRDefault="00132E82">
            <w:pPr>
              <w:ind w:left="0" w:firstLine="0"/>
            </w:pPr>
            <w:r>
              <w:t>Provide all other grades and definitions from the evidence grading system</w:t>
            </w:r>
          </w:p>
        </w:tc>
        <w:tc>
          <w:tcPr>
            <w:tcW w:w="5130" w:type="dxa"/>
          </w:tcPr>
          <w:p w14:paraId="6E831218" w14:textId="77777777" w:rsidR="00996EE4" w:rsidRDefault="00996EE4">
            <w:pPr>
              <w:ind w:left="0" w:firstLine="0"/>
            </w:pPr>
          </w:p>
        </w:tc>
      </w:tr>
      <w:tr w:rsidR="00996EE4" w14:paraId="7A66B700" w14:textId="77777777">
        <w:tc>
          <w:tcPr>
            <w:tcW w:w="4068" w:type="dxa"/>
          </w:tcPr>
          <w:p w14:paraId="59296109" w14:textId="77777777" w:rsidR="00996EE4" w:rsidRDefault="00132E82">
            <w:pPr>
              <w:ind w:left="0" w:firstLine="0"/>
            </w:pPr>
            <w:r>
              <w:t xml:space="preserve">Grade assigned to the </w:t>
            </w:r>
            <w:r>
              <w:rPr>
                <w:b/>
              </w:rPr>
              <w:t>recommendation</w:t>
            </w:r>
            <w:r>
              <w:t xml:space="preserve"> with definition of the grade</w:t>
            </w:r>
          </w:p>
        </w:tc>
        <w:tc>
          <w:tcPr>
            <w:tcW w:w="5130" w:type="dxa"/>
          </w:tcPr>
          <w:p w14:paraId="237C80D2" w14:textId="77777777" w:rsidR="00996EE4" w:rsidRDefault="00996EE4">
            <w:pPr>
              <w:ind w:left="0" w:firstLine="0"/>
            </w:pPr>
          </w:p>
        </w:tc>
      </w:tr>
      <w:tr w:rsidR="00996EE4" w14:paraId="21A2B4D8" w14:textId="77777777">
        <w:tc>
          <w:tcPr>
            <w:tcW w:w="4068" w:type="dxa"/>
          </w:tcPr>
          <w:p w14:paraId="51877C7A" w14:textId="77777777" w:rsidR="00996EE4" w:rsidRDefault="00132E82">
            <w:pPr>
              <w:ind w:left="0" w:firstLine="0"/>
            </w:pPr>
            <w:r>
              <w:t>Provide all other grades and definitions from the recommendation grading system</w:t>
            </w:r>
          </w:p>
        </w:tc>
        <w:tc>
          <w:tcPr>
            <w:tcW w:w="5130" w:type="dxa"/>
          </w:tcPr>
          <w:p w14:paraId="55BF295D" w14:textId="77777777" w:rsidR="00996EE4" w:rsidRDefault="00996EE4">
            <w:pPr>
              <w:ind w:left="0" w:firstLine="0"/>
            </w:pPr>
          </w:p>
        </w:tc>
      </w:tr>
      <w:tr w:rsidR="00996EE4" w14:paraId="431CD05D" w14:textId="77777777">
        <w:tc>
          <w:tcPr>
            <w:tcW w:w="4068" w:type="dxa"/>
          </w:tcPr>
          <w:p w14:paraId="7A00970F" w14:textId="77777777" w:rsidR="00996EE4" w:rsidRDefault="00132E82">
            <w:pPr>
              <w:ind w:left="0" w:firstLine="0"/>
            </w:pPr>
            <w:r>
              <w:t>Body of evidence:</w:t>
            </w:r>
          </w:p>
          <w:p w14:paraId="03B01D6E" w14:textId="77777777" w:rsidR="00996EE4" w:rsidRDefault="00132E82">
            <w:pPr>
              <w:pStyle w:val="ListParagraph"/>
              <w:numPr>
                <w:ilvl w:val="0"/>
                <w:numId w:val="10"/>
              </w:numPr>
            </w:pPr>
            <w:r>
              <w:t>Quantity – how many studies?</w:t>
            </w:r>
          </w:p>
          <w:p w14:paraId="1665A58F" w14:textId="77777777" w:rsidR="00996EE4" w:rsidRDefault="00132E82">
            <w:pPr>
              <w:pStyle w:val="ListParagraph"/>
              <w:numPr>
                <w:ilvl w:val="0"/>
                <w:numId w:val="10"/>
              </w:numPr>
            </w:pPr>
            <w:r>
              <w:t>Quality – what type of studies?</w:t>
            </w:r>
          </w:p>
        </w:tc>
        <w:tc>
          <w:tcPr>
            <w:tcW w:w="5130" w:type="dxa"/>
          </w:tcPr>
          <w:p w14:paraId="548D12F3" w14:textId="77777777" w:rsidR="00996EE4" w:rsidRDefault="00996EE4">
            <w:pPr>
              <w:ind w:left="0" w:firstLine="0"/>
            </w:pPr>
          </w:p>
        </w:tc>
      </w:tr>
      <w:tr w:rsidR="00996EE4" w14:paraId="54701845" w14:textId="77777777">
        <w:tc>
          <w:tcPr>
            <w:tcW w:w="4068" w:type="dxa"/>
          </w:tcPr>
          <w:p w14:paraId="437262B1" w14:textId="77777777" w:rsidR="00996EE4" w:rsidRDefault="00132E82">
            <w:pPr>
              <w:ind w:left="0" w:firstLine="0"/>
            </w:pPr>
            <w:r>
              <w:t xml:space="preserve">Estimates of benefit and consistency across studies </w:t>
            </w:r>
          </w:p>
        </w:tc>
        <w:tc>
          <w:tcPr>
            <w:tcW w:w="5130" w:type="dxa"/>
          </w:tcPr>
          <w:p w14:paraId="1640F127" w14:textId="77777777" w:rsidR="00996EE4" w:rsidRDefault="00996EE4">
            <w:pPr>
              <w:ind w:left="0" w:firstLine="0"/>
            </w:pPr>
          </w:p>
        </w:tc>
      </w:tr>
      <w:tr w:rsidR="00996EE4" w14:paraId="0B200DD0" w14:textId="77777777">
        <w:tc>
          <w:tcPr>
            <w:tcW w:w="4068" w:type="dxa"/>
          </w:tcPr>
          <w:p w14:paraId="6B5FE442" w14:textId="77777777" w:rsidR="00996EE4" w:rsidRDefault="00132E82">
            <w:pPr>
              <w:ind w:left="0" w:firstLine="0"/>
            </w:pPr>
            <w:r>
              <w:t>What harms were identified?</w:t>
            </w:r>
          </w:p>
        </w:tc>
        <w:tc>
          <w:tcPr>
            <w:tcW w:w="5130" w:type="dxa"/>
          </w:tcPr>
          <w:p w14:paraId="58C4A5F8" w14:textId="77777777" w:rsidR="00996EE4" w:rsidRDefault="00996EE4">
            <w:pPr>
              <w:ind w:left="0" w:firstLine="0"/>
            </w:pPr>
          </w:p>
        </w:tc>
      </w:tr>
      <w:tr w:rsidR="00996EE4" w14:paraId="611CBF96" w14:textId="77777777">
        <w:tc>
          <w:tcPr>
            <w:tcW w:w="4068" w:type="dxa"/>
          </w:tcPr>
          <w:p w14:paraId="67BE9B8F" w14:textId="77777777" w:rsidR="00996EE4" w:rsidRDefault="00132E82">
            <w:pPr>
              <w:ind w:left="0" w:firstLine="0"/>
            </w:pPr>
            <w:r>
              <w:t>Identify any new studies conducted since the SR. Do the new studies change the conclusions from the SR?</w:t>
            </w:r>
          </w:p>
        </w:tc>
        <w:tc>
          <w:tcPr>
            <w:tcW w:w="5130" w:type="dxa"/>
          </w:tcPr>
          <w:p w14:paraId="1662A33B" w14:textId="77777777" w:rsidR="00996EE4" w:rsidRDefault="00996EE4">
            <w:pPr>
              <w:ind w:left="0" w:firstLine="0"/>
            </w:pPr>
          </w:p>
        </w:tc>
      </w:tr>
    </w:tbl>
    <w:p w14:paraId="26EEBD54" w14:textId="77777777" w:rsidR="00996EE4" w:rsidRDefault="00996EE4">
      <w:pPr>
        <w:ind w:left="0" w:firstLine="0"/>
      </w:pPr>
    </w:p>
    <w:p w14:paraId="2FE1FF35" w14:textId="77777777" w:rsidR="00996EE4" w:rsidRDefault="00132E82">
      <w:pPr>
        <w:ind w:left="0" w:firstLine="0"/>
        <w:rPr>
          <w:b/>
          <w:color w:val="0070C0"/>
        </w:rPr>
      </w:pPr>
      <w:r>
        <w:rPr>
          <w:b/>
          <w:iCs/>
          <w:caps/>
        </w:rPr>
        <w:t>________________________</w:t>
      </w:r>
    </w:p>
    <w:p w14:paraId="0C0856DE" w14:textId="77777777" w:rsidR="00996EE4" w:rsidRDefault="00132E82">
      <w:pPr>
        <w:ind w:left="0" w:firstLine="0"/>
        <w:rPr>
          <w:b/>
        </w:rPr>
      </w:pPr>
      <w:bookmarkStart w:id="6" w:name="Section1a8"/>
      <w:bookmarkEnd w:id="6"/>
      <w:r>
        <w:rPr>
          <w:b/>
          <w:color w:val="0000FF"/>
        </w:rPr>
        <w:lastRenderedPageBreak/>
        <w:t xml:space="preserve">1a.4 </w:t>
      </w:r>
      <w:r>
        <w:rPr>
          <w:b/>
        </w:rPr>
        <w:t>OTHER SOURCE OF EVIDENCE</w:t>
      </w:r>
    </w:p>
    <w:p w14:paraId="36F9487C" w14:textId="77777777" w:rsidR="00996EE4" w:rsidRDefault="00132E82">
      <w:pPr>
        <w:ind w:left="0" w:firstLine="0"/>
        <w:rPr>
          <w:i/>
        </w:rPr>
      </w:pPr>
      <w:r>
        <w:rPr>
          <w:i/>
        </w:rPr>
        <w:t>If source of evidence is NOT from a clinical practice guideline, USPSTF, or systematic review, please describe the evidence on which you are basing the performance measure.</w:t>
      </w:r>
    </w:p>
    <w:p w14:paraId="145E7B9D" w14:textId="77777777" w:rsidR="00996EE4" w:rsidRDefault="00132E82">
      <w:pPr>
        <w:pBdr>
          <w:top w:val="single" w:sz="4" w:space="1" w:color="auto"/>
          <w:left w:val="single" w:sz="4" w:space="4" w:color="auto"/>
          <w:bottom w:val="single" w:sz="4" w:space="1" w:color="auto"/>
          <w:right w:val="single" w:sz="4" w:space="4" w:color="auto"/>
        </w:pBdr>
        <w:ind w:left="0" w:firstLine="0"/>
      </w:pPr>
      <w:r>
        <w:t>N/A</w:t>
      </w:r>
    </w:p>
    <w:p w14:paraId="07B90337" w14:textId="77777777" w:rsidR="00996EE4" w:rsidRDefault="00132E82">
      <w:pPr>
        <w:ind w:left="0" w:firstLine="0"/>
      </w:pPr>
      <w:r>
        <w:rPr>
          <w:b/>
          <w:color w:val="0000FF"/>
        </w:rPr>
        <w:t>1a.4.1</w:t>
      </w:r>
      <w:r>
        <w:rPr>
          <w:color w:val="0070C0"/>
        </w:rPr>
        <w:t xml:space="preserve"> </w:t>
      </w:r>
      <w:r>
        <w:rPr>
          <w:b/>
        </w:rPr>
        <w:t xml:space="preserve">Briefly SYNTHESIZE the evidence that supports the measure. </w:t>
      </w:r>
      <w:r>
        <w:t>A list of references without a summary is not acceptable.</w:t>
      </w:r>
    </w:p>
    <w:p w14:paraId="5FBD0BE7" w14:textId="77777777" w:rsidR="00996EE4" w:rsidRDefault="00132E82">
      <w:pPr>
        <w:pBdr>
          <w:top w:val="single" w:sz="4" w:space="1" w:color="auto"/>
          <w:left w:val="single" w:sz="4" w:space="4" w:color="auto"/>
          <w:bottom w:val="single" w:sz="4" w:space="1" w:color="auto"/>
          <w:right w:val="single" w:sz="4" w:space="4" w:color="auto"/>
        </w:pBdr>
        <w:ind w:left="0" w:firstLine="0"/>
      </w:pPr>
      <w:r>
        <w:t>N/A</w:t>
      </w:r>
    </w:p>
    <w:p w14:paraId="727E7C39" w14:textId="77777777" w:rsidR="00996EE4" w:rsidRDefault="00996EE4">
      <w:pPr>
        <w:ind w:left="0" w:firstLine="0"/>
        <w:rPr>
          <w:b/>
        </w:rPr>
      </w:pPr>
    </w:p>
    <w:p w14:paraId="797098B4" w14:textId="77777777" w:rsidR="00996EE4" w:rsidRDefault="00132E82">
      <w:pPr>
        <w:ind w:left="0" w:firstLine="0"/>
      </w:pPr>
      <w:r>
        <w:rPr>
          <w:b/>
          <w:color w:val="244061" w:themeColor="accent1" w:themeShade="80"/>
        </w:rPr>
        <w:t xml:space="preserve">1a.4.2 </w:t>
      </w:r>
      <w:r>
        <w:rPr>
          <w:b/>
        </w:rPr>
        <w:t>What process was used to identify the evidence?</w:t>
      </w:r>
    </w:p>
    <w:p w14:paraId="6F9F3749" w14:textId="77777777" w:rsidR="00996EE4" w:rsidRDefault="00132E82">
      <w:pPr>
        <w:pBdr>
          <w:top w:val="single" w:sz="4" w:space="1" w:color="auto"/>
          <w:left w:val="single" w:sz="4" w:space="4" w:color="auto"/>
          <w:bottom w:val="single" w:sz="4" w:space="1" w:color="auto"/>
          <w:right w:val="single" w:sz="4" w:space="4" w:color="auto"/>
        </w:pBdr>
        <w:ind w:left="0" w:firstLine="0"/>
      </w:pPr>
      <w:r>
        <w:t>N/A</w:t>
      </w:r>
    </w:p>
    <w:p w14:paraId="4A18DC23" w14:textId="77777777" w:rsidR="00996EE4" w:rsidRDefault="00996EE4">
      <w:pPr>
        <w:ind w:left="0" w:firstLine="0"/>
        <w:rPr>
          <w:b/>
          <w:color w:val="0000FF"/>
        </w:rPr>
      </w:pPr>
    </w:p>
    <w:p w14:paraId="36C204DB" w14:textId="77777777" w:rsidR="00996EE4" w:rsidRDefault="00132E82">
      <w:pPr>
        <w:ind w:left="0" w:firstLine="0"/>
        <w:rPr>
          <w:b/>
        </w:rPr>
      </w:pPr>
      <w:r>
        <w:rPr>
          <w:b/>
          <w:color w:val="0000FF"/>
        </w:rPr>
        <w:t>1a.4.3.</w:t>
      </w:r>
      <w:r>
        <w:rPr>
          <w:color w:val="0070C0"/>
        </w:rPr>
        <w:t xml:space="preserve"> </w:t>
      </w:r>
      <w:r>
        <w:rPr>
          <w:b/>
        </w:rPr>
        <w:t>Provide the citation(s) for the evidence.</w:t>
      </w:r>
    </w:p>
    <w:p w14:paraId="4C410CBD" w14:textId="77777777" w:rsidR="00996EE4" w:rsidRDefault="00132E82">
      <w:pPr>
        <w:pBdr>
          <w:top w:val="single" w:sz="4" w:space="1" w:color="auto"/>
          <w:left w:val="single" w:sz="4" w:space="4" w:color="auto"/>
          <w:bottom w:val="single" w:sz="4" w:space="1" w:color="auto"/>
          <w:right w:val="single" w:sz="4" w:space="4" w:color="auto"/>
        </w:pBdr>
        <w:ind w:left="0" w:firstLine="0"/>
      </w:pPr>
      <w:r>
        <w:t>N/A</w:t>
      </w:r>
    </w:p>
    <w:sectPr w:rsidR="00996EE4">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3415E" w14:textId="77777777" w:rsidR="00F6772B" w:rsidRDefault="00F6772B">
      <w:r>
        <w:separator/>
      </w:r>
    </w:p>
  </w:endnote>
  <w:endnote w:type="continuationSeparator" w:id="0">
    <w:p w14:paraId="7BC869F1" w14:textId="77777777" w:rsidR="00F6772B" w:rsidRDefault="00F6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F5FA0" w14:textId="3EED999B" w:rsidR="00996EE4" w:rsidRDefault="00132E82">
    <w:pPr>
      <w:pStyle w:val="Footer"/>
    </w:pPr>
    <w:r>
      <w:t xml:space="preserve">Version 7.1  </w:t>
    </w:r>
    <w:r>
      <w:ptab w:relativeTo="margin" w:alignment="center" w:leader="none"/>
    </w:r>
    <w:r>
      <w:ptab w:relativeTo="margin" w:alignment="right" w:leader="none"/>
    </w:r>
    <w:r>
      <w:rPr>
        <w:color w:val="2B579A"/>
        <w:shd w:val="clear" w:color="auto" w:fill="E6E6E6"/>
      </w:rPr>
      <w:fldChar w:fldCharType="begin"/>
    </w:r>
    <w:r>
      <w:instrText xml:space="preserve"> PAGE   \* MERGEFORMAT </w:instrText>
    </w:r>
    <w:r>
      <w:rPr>
        <w:color w:val="2B579A"/>
        <w:shd w:val="clear" w:color="auto" w:fill="E6E6E6"/>
      </w:rPr>
      <w:fldChar w:fldCharType="separate"/>
    </w:r>
    <w:r w:rsidR="003A3110">
      <w:rPr>
        <w:noProof/>
      </w:rPr>
      <w:t>7</w:t>
    </w:r>
    <w:r>
      <w:rPr>
        <w:noProof/>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43A21" w14:textId="77777777" w:rsidR="00F6772B" w:rsidRDefault="00F6772B">
      <w:r>
        <w:separator/>
      </w:r>
    </w:p>
  </w:footnote>
  <w:footnote w:type="continuationSeparator" w:id="0">
    <w:p w14:paraId="45B1A68F" w14:textId="77777777" w:rsidR="00F6772B" w:rsidRDefault="00F67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1E287" w14:textId="4995D4F0" w:rsidR="00996EE4" w:rsidRDefault="00CA71C7">
    <w:pPr>
      <w:pStyle w:val="Header"/>
      <w:jc w:val="right"/>
    </w:pPr>
    <w:r>
      <w:t>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E09A8"/>
    <w:multiLevelType w:val="hybridMultilevel"/>
    <w:tmpl w:val="D16800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EFD1DFF"/>
    <w:multiLevelType w:val="hybridMultilevel"/>
    <w:tmpl w:val="E836F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B974AC"/>
    <w:multiLevelType w:val="hybridMultilevel"/>
    <w:tmpl w:val="67769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3C391A"/>
    <w:multiLevelType w:val="hybridMultilevel"/>
    <w:tmpl w:val="9DD6A6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023E77"/>
    <w:multiLevelType w:val="hybridMultilevel"/>
    <w:tmpl w:val="2FECD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2"/>
  </w:num>
  <w:num w:numId="4">
    <w:abstractNumId w:val="3"/>
  </w:num>
  <w:num w:numId="5">
    <w:abstractNumId w:val="5"/>
  </w:num>
  <w:num w:numId="6">
    <w:abstractNumId w:val="4"/>
  </w:num>
  <w:num w:numId="7">
    <w:abstractNumId w:val="12"/>
  </w:num>
  <w:num w:numId="8">
    <w:abstractNumId w:val="11"/>
  </w:num>
  <w:num w:numId="9">
    <w:abstractNumId w:val="14"/>
  </w:num>
  <w:num w:numId="10">
    <w:abstractNumId w:val="1"/>
  </w:num>
  <w:num w:numId="11">
    <w:abstractNumId w:val="8"/>
  </w:num>
  <w:num w:numId="12">
    <w:abstractNumId w:val="7"/>
  </w:num>
  <w:num w:numId="13">
    <w:abstractNumId w:val="10"/>
  </w:num>
  <w:num w:numId="14">
    <w:abstractNumId w:val="15"/>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EE4"/>
    <w:rsid w:val="000141C1"/>
    <w:rsid w:val="00022B4E"/>
    <w:rsid w:val="000560A7"/>
    <w:rsid w:val="00092021"/>
    <w:rsid w:val="000A3121"/>
    <w:rsid w:val="000E4D80"/>
    <w:rsid w:val="000F5EA5"/>
    <w:rsid w:val="00132E82"/>
    <w:rsid w:val="00170813"/>
    <w:rsid w:val="001A1C8F"/>
    <w:rsid w:val="001C06EA"/>
    <w:rsid w:val="001C5717"/>
    <w:rsid w:val="001C6D97"/>
    <w:rsid w:val="00200A46"/>
    <w:rsid w:val="00244F86"/>
    <w:rsid w:val="00266B74"/>
    <w:rsid w:val="002E049A"/>
    <w:rsid w:val="00303A9E"/>
    <w:rsid w:val="00374E8C"/>
    <w:rsid w:val="003A3110"/>
    <w:rsid w:val="003A481C"/>
    <w:rsid w:val="003E32C9"/>
    <w:rsid w:val="00414B42"/>
    <w:rsid w:val="00480967"/>
    <w:rsid w:val="00501429"/>
    <w:rsid w:val="006364EE"/>
    <w:rsid w:val="006D0A8A"/>
    <w:rsid w:val="006D5BC6"/>
    <w:rsid w:val="006E7626"/>
    <w:rsid w:val="006F6DEE"/>
    <w:rsid w:val="00703253"/>
    <w:rsid w:val="00775019"/>
    <w:rsid w:val="007C34F3"/>
    <w:rsid w:val="007E32C5"/>
    <w:rsid w:val="007E3317"/>
    <w:rsid w:val="00823448"/>
    <w:rsid w:val="00856D80"/>
    <w:rsid w:val="0089695C"/>
    <w:rsid w:val="00942EA4"/>
    <w:rsid w:val="00996EE4"/>
    <w:rsid w:val="009A60AA"/>
    <w:rsid w:val="00A27FBC"/>
    <w:rsid w:val="00A313C0"/>
    <w:rsid w:val="00A84253"/>
    <w:rsid w:val="00A964CF"/>
    <w:rsid w:val="00AA6BBE"/>
    <w:rsid w:val="00AB58E8"/>
    <w:rsid w:val="00B314E4"/>
    <w:rsid w:val="00B70930"/>
    <w:rsid w:val="00BA4BFE"/>
    <w:rsid w:val="00BB6D20"/>
    <w:rsid w:val="00C3401B"/>
    <w:rsid w:val="00C96C6D"/>
    <w:rsid w:val="00CA71C7"/>
    <w:rsid w:val="00CC1058"/>
    <w:rsid w:val="00CE144C"/>
    <w:rsid w:val="00D11849"/>
    <w:rsid w:val="00D252CD"/>
    <w:rsid w:val="00D520D5"/>
    <w:rsid w:val="00D538AB"/>
    <w:rsid w:val="00D65CDF"/>
    <w:rsid w:val="00D83381"/>
    <w:rsid w:val="00DB4B14"/>
    <w:rsid w:val="00E1451B"/>
    <w:rsid w:val="00EC4308"/>
    <w:rsid w:val="00EC58CF"/>
    <w:rsid w:val="00F11C8B"/>
    <w:rsid w:val="00F50195"/>
    <w:rsid w:val="00F6772B"/>
    <w:rsid w:val="00F72D58"/>
    <w:rsid w:val="00F85C3D"/>
    <w:rsid w:val="00FF1E7A"/>
    <w:rsid w:val="1CEE1BD6"/>
    <w:rsid w:val="63A9AF86"/>
    <w:rsid w:val="64089A65"/>
    <w:rsid w:val="6C32EA6A"/>
    <w:rsid w:val="71A03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30B49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pPr>
      <w:spacing w:after="200" w:line="276" w:lineRule="auto"/>
      <w:ind w:left="720"/>
      <w:contextualSpacing/>
    </w:pPr>
    <w:rPr>
      <w:rFonts w:eastAsiaTheme="minorEastAsia"/>
    </w:rPr>
  </w:style>
  <w:style w:type="character" w:styleId="PlaceholderText">
    <w:name w:val="Placeholder Text"/>
    <w:basedOn w:val="DefaultParagraphFont"/>
    <w:uiPriority w:val="99"/>
    <w:semiHidden/>
    <w:rPr>
      <w:color w:val="808080"/>
    </w:rPr>
  </w:style>
  <w:style w:type="character" w:styleId="Hyperlink">
    <w:name w:val="Hyperlink"/>
    <w:basedOn w:val="DefaultParagraphFont"/>
    <w:uiPriority w:val="99"/>
    <w:unhideWhenUsed/>
    <w:rPr>
      <w:color w:val="0000FF" w:themeColor="hyperlink"/>
      <w:u w:val="single"/>
    </w:rPr>
  </w:style>
  <w:style w:type="character" w:customStyle="1" w:styleId="Style1">
    <w:name w:val="Style1"/>
    <w:basedOn w:val="DefaultParagraphFont"/>
    <w:uiPriority w:val="1"/>
    <w:rPr>
      <w:rFonts w:asciiTheme="minorHAnsi" w:hAnsiTheme="minorHAnsi"/>
      <w:color w:val="0000FF"/>
      <w:sz w:val="22"/>
    </w:rPr>
  </w:style>
  <w:style w:type="character" w:customStyle="1" w:styleId="Style2">
    <w:name w:val="Style2"/>
    <w:basedOn w:val="DefaultParagraphFont"/>
    <w:uiPriority w:val="1"/>
    <w:rPr>
      <w:rFonts w:asciiTheme="minorHAnsi" w:hAnsiTheme="minorHAnsi"/>
      <w:color w:val="0000FF"/>
      <w:sz w:val="22"/>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character" w:customStyle="1" w:styleId="Style3">
    <w:name w:val="Style3"/>
    <w:basedOn w:val="DefaultParagraphFont"/>
    <w:uiPriority w:val="1"/>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ind w:left="0" w:firstLine="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FootnoteText">
    <w:name w:val="footnote text"/>
    <w:basedOn w:val="Normal"/>
    <w:link w:val="FootnoteTextChar"/>
    <w:semiHidden/>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Pr>
      <w:rFonts w:ascii="Calibri" w:eastAsia="Calibri" w:hAnsi="Calibri" w:cs="Calibri"/>
      <w:b/>
      <w:bC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Pr>
      <w:rFonts w:eastAsiaTheme="minorEastAsia"/>
    </w:rPr>
  </w:style>
  <w:style w:type="character"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70EFA81D-C7DC-4FAF-A54B-A7E021D9060D}">
    <t:Anchor>
      <t:Comment id="524769164"/>
    </t:Anchor>
    <t:History>
      <t:Event id="{DB2A9A8C-BF54-4566-979F-8E8B0CF3E2C8}" time="2021-03-25T19:28:36.955Z">
        <t:Attribution userId="S::faseeha.altaf@yale.edu::87bb328f-57bf-4e94-b4f4-f478cc9e516b" userProvider="AD" userName="Altaf, Faseeha"/>
        <t:Anchor>
          <t:Comment id="524769164"/>
        </t:Anchor>
        <t:Create/>
      </t:Event>
      <t:Event id="{C9214D40-D7B0-4D5F-8E18-FEEC8B1E3368}" time="2021-03-25T19:28:36.955Z">
        <t:Attribution userId="S::faseeha.altaf@yale.edu::87bb328f-57bf-4e94-b4f4-f478cc9e516b" userProvider="AD" userName="Altaf, Faseeha"/>
        <t:Anchor>
          <t:Comment id="524769164"/>
        </t:Anchor>
        <t:Assign userId="S::kasia.lipska@yale.edu::2bf6097e-3682-4932-a7d1-0fa01c1d214b" userProvider="AD" userName="Lipska, Kasia"/>
      </t:Event>
      <t:Event id="{84267826-2081-4EAB-AA67-37518253274A}" time="2021-03-25T19:28:36.955Z">
        <t:Attribution userId="S::faseeha.altaf@yale.edu::87bb328f-57bf-4e94-b4f4-f478cc9e516b" userProvider="AD" userName="Altaf, Faseeha"/>
        <t:Anchor>
          <t:Comment id="524769164"/>
        </t:Anchor>
        <t:SetTitle title="@Lipska, Kasia Do we have any updated sources or references to include in this form from our recent quarterly reviews of literature?"/>
      </t:Event>
      <t:Event id="{2863BDAB-8F05-45AA-AB1F-45FC2F19FB4E}" time="2021-03-28T19:33:13.5Z">
        <t:Attribution userId="S::kasia.lipska@yale.edu::2bf6097e-3682-4932-a7d1-0fa01c1d214b" userProvider="AD" userName="Lipska, Kasia"/>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859579">
      <w:bodyDiv w:val="1"/>
      <w:marLeft w:val="0"/>
      <w:marRight w:val="0"/>
      <w:marTop w:val="0"/>
      <w:marBottom w:val="0"/>
      <w:divBdr>
        <w:top w:val="none" w:sz="0" w:space="0" w:color="auto"/>
        <w:left w:val="none" w:sz="0" w:space="0" w:color="auto"/>
        <w:bottom w:val="none" w:sz="0" w:space="0" w:color="auto"/>
        <w:right w:val="none" w:sz="0" w:space="0" w:color="auto"/>
      </w:divBdr>
      <w:divsChild>
        <w:div w:id="1074283885">
          <w:marLeft w:val="0"/>
          <w:marRight w:val="0"/>
          <w:marTop w:val="0"/>
          <w:marBottom w:val="0"/>
          <w:divBdr>
            <w:top w:val="none" w:sz="0" w:space="0" w:color="auto"/>
            <w:left w:val="none" w:sz="0" w:space="0" w:color="auto"/>
            <w:bottom w:val="none" w:sz="0" w:space="0" w:color="auto"/>
            <w:right w:val="none" w:sz="0" w:space="0" w:color="auto"/>
          </w:divBdr>
          <w:divsChild>
            <w:div w:id="1698383238">
              <w:marLeft w:val="0"/>
              <w:marRight w:val="0"/>
              <w:marTop w:val="0"/>
              <w:marBottom w:val="0"/>
              <w:divBdr>
                <w:top w:val="none" w:sz="0" w:space="0" w:color="auto"/>
                <w:left w:val="none" w:sz="0" w:space="0" w:color="auto"/>
                <w:bottom w:val="none" w:sz="0" w:space="0" w:color="auto"/>
                <w:right w:val="none" w:sz="0" w:space="0" w:color="auto"/>
              </w:divBdr>
              <w:divsChild>
                <w:div w:id="2025130868">
                  <w:marLeft w:val="0"/>
                  <w:marRight w:val="0"/>
                  <w:marTop w:val="0"/>
                  <w:marBottom w:val="0"/>
                  <w:divBdr>
                    <w:top w:val="none" w:sz="0" w:space="0" w:color="auto"/>
                    <w:left w:val="none" w:sz="0" w:space="0" w:color="auto"/>
                    <w:bottom w:val="none" w:sz="0" w:space="0" w:color="auto"/>
                    <w:right w:val="none" w:sz="0" w:space="0" w:color="auto"/>
                  </w:divBdr>
                  <w:divsChild>
                    <w:div w:id="1995715694">
                      <w:marLeft w:val="0"/>
                      <w:marRight w:val="0"/>
                      <w:marTop w:val="0"/>
                      <w:marBottom w:val="0"/>
                      <w:divBdr>
                        <w:top w:val="none" w:sz="0" w:space="0" w:color="auto"/>
                        <w:left w:val="none" w:sz="0" w:space="0" w:color="auto"/>
                        <w:bottom w:val="none" w:sz="0" w:space="0" w:color="auto"/>
                        <w:right w:val="none" w:sz="0" w:space="0" w:color="auto"/>
                      </w:divBdr>
                      <w:divsChild>
                        <w:div w:id="32386615">
                          <w:marLeft w:val="0"/>
                          <w:marRight w:val="0"/>
                          <w:marTop w:val="0"/>
                          <w:marBottom w:val="0"/>
                          <w:divBdr>
                            <w:top w:val="none" w:sz="0" w:space="0" w:color="auto"/>
                            <w:left w:val="none" w:sz="0" w:space="0" w:color="auto"/>
                            <w:bottom w:val="none" w:sz="0" w:space="0" w:color="auto"/>
                            <w:right w:val="none" w:sz="0" w:space="0" w:color="auto"/>
                          </w:divBdr>
                          <w:divsChild>
                            <w:div w:id="1078359575">
                              <w:marLeft w:val="0"/>
                              <w:marRight w:val="0"/>
                              <w:marTop w:val="0"/>
                              <w:marBottom w:val="0"/>
                              <w:divBdr>
                                <w:top w:val="none" w:sz="0" w:space="0" w:color="auto"/>
                                <w:left w:val="none" w:sz="0" w:space="0" w:color="auto"/>
                                <w:bottom w:val="none" w:sz="0" w:space="0" w:color="auto"/>
                                <w:right w:val="none" w:sz="0" w:space="0" w:color="auto"/>
                              </w:divBdr>
                              <w:divsChild>
                                <w:div w:id="596519590">
                                  <w:marLeft w:val="0"/>
                                  <w:marRight w:val="0"/>
                                  <w:marTop w:val="0"/>
                                  <w:marBottom w:val="0"/>
                                  <w:divBdr>
                                    <w:top w:val="none" w:sz="0" w:space="0" w:color="auto"/>
                                    <w:left w:val="none" w:sz="0" w:space="0" w:color="auto"/>
                                    <w:bottom w:val="none" w:sz="0" w:space="0" w:color="auto"/>
                                    <w:right w:val="none" w:sz="0" w:space="0" w:color="auto"/>
                                  </w:divBdr>
                                  <w:divsChild>
                                    <w:div w:id="523861775">
                                      <w:marLeft w:val="0"/>
                                      <w:marRight w:val="0"/>
                                      <w:marTop w:val="0"/>
                                      <w:marBottom w:val="0"/>
                                      <w:divBdr>
                                        <w:top w:val="none" w:sz="0" w:space="0" w:color="auto"/>
                                        <w:left w:val="none" w:sz="0" w:space="0" w:color="auto"/>
                                        <w:bottom w:val="none" w:sz="0" w:space="0" w:color="auto"/>
                                        <w:right w:val="none" w:sz="0" w:space="0" w:color="auto"/>
                                      </w:divBdr>
                                      <w:divsChild>
                                        <w:div w:id="1209878934">
                                          <w:marLeft w:val="0"/>
                                          <w:marRight w:val="0"/>
                                          <w:marTop w:val="0"/>
                                          <w:marBottom w:val="0"/>
                                          <w:divBdr>
                                            <w:top w:val="none" w:sz="0" w:space="0" w:color="auto"/>
                                            <w:left w:val="none" w:sz="0" w:space="0" w:color="auto"/>
                                            <w:bottom w:val="none" w:sz="0" w:space="0" w:color="auto"/>
                                            <w:right w:val="none" w:sz="0" w:space="0" w:color="auto"/>
                                          </w:divBdr>
                                          <w:divsChild>
                                            <w:div w:id="141242700">
                                              <w:marLeft w:val="0"/>
                                              <w:marRight w:val="0"/>
                                              <w:marTop w:val="0"/>
                                              <w:marBottom w:val="0"/>
                                              <w:divBdr>
                                                <w:top w:val="none" w:sz="0" w:space="0" w:color="auto"/>
                                                <w:left w:val="none" w:sz="0" w:space="0" w:color="auto"/>
                                                <w:bottom w:val="none" w:sz="0" w:space="0" w:color="auto"/>
                                                <w:right w:val="none" w:sz="0" w:space="0" w:color="auto"/>
                                              </w:divBdr>
                                              <w:divsChild>
                                                <w:div w:id="1193763527">
                                                  <w:marLeft w:val="0"/>
                                                  <w:marRight w:val="0"/>
                                                  <w:marTop w:val="0"/>
                                                  <w:marBottom w:val="0"/>
                                                  <w:divBdr>
                                                    <w:top w:val="none" w:sz="0" w:space="0" w:color="auto"/>
                                                    <w:left w:val="none" w:sz="0" w:space="0" w:color="auto"/>
                                                    <w:bottom w:val="none" w:sz="0" w:space="0" w:color="auto"/>
                                                    <w:right w:val="none" w:sz="0" w:space="0" w:color="auto"/>
                                                  </w:divBdr>
                                                  <w:divsChild>
                                                    <w:div w:id="950014529">
                                                      <w:marLeft w:val="0"/>
                                                      <w:marRight w:val="0"/>
                                                      <w:marTop w:val="0"/>
                                                      <w:marBottom w:val="0"/>
                                                      <w:divBdr>
                                                        <w:top w:val="none" w:sz="0" w:space="0" w:color="auto"/>
                                                        <w:left w:val="none" w:sz="0" w:space="0" w:color="auto"/>
                                                        <w:bottom w:val="none" w:sz="0" w:space="0" w:color="auto"/>
                                                        <w:right w:val="none" w:sz="0" w:space="0" w:color="auto"/>
                                                      </w:divBdr>
                                                      <w:divsChild>
                                                        <w:div w:id="1571770312">
                                                          <w:marLeft w:val="0"/>
                                                          <w:marRight w:val="0"/>
                                                          <w:marTop w:val="0"/>
                                                          <w:marBottom w:val="0"/>
                                                          <w:divBdr>
                                                            <w:top w:val="none" w:sz="0" w:space="0" w:color="auto"/>
                                                            <w:left w:val="none" w:sz="0" w:space="0" w:color="auto"/>
                                                            <w:bottom w:val="none" w:sz="0" w:space="0" w:color="auto"/>
                                                            <w:right w:val="none" w:sz="0" w:space="0" w:color="auto"/>
                                                          </w:divBdr>
                                                          <w:divsChild>
                                                            <w:div w:id="802385116">
                                                              <w:marLeft w:val="0"/>
                                                              <w:marRight w:val="0"/>
                                                              <w:marTop w:val="15"/>
                                                              <w:marBottom w:val="0"/>
                                                              <w:divBdr>
                                                                <w:top w:val="none" w:sz="0" w:space="0" w:color="auto"/>
                                                                <w:left w:val="none" w:sz="0" w:space="0" w:color="auto"/>
                                                                <w:bottom w:val="none" w:sz="0" w:space="0" w:color="auto"/>
                                                                <w:right w:val="none" w:sz="0" w:space="0" w:color="auto"/>
                                                              </w:divBdr>
                                                              <w:divsChild>
                                                                <w:div w:id="310869462">
                                                                  <w:marLeft w:val="0"/>
                                                                  <w:marRight w:val="0"/>
                                                                  <w:marTop w:val="0"/>
                                                                  <w:marBottom w:val="0"/>
                                                                  <w:divBdr>
                                                                    <w:top w:val="none" w:sz="0" w:space="0" w:color="auto"/>
                                                                    <w:left w:val="none" w:sz="0" w:space="0" w:color="auto"/>
                                                                    <w:bottom w:val="none" w:sz="0" w:space="0" w:color="auto"/>
                                                                    <w:right w:val="none" w:sz="0" w:space="0" w:color="auto"/>
                                                                  </w:divBdr>
                                                                  <w:divsChild>
                                                                    <w:div w:id="369570625">
                                                                      <w:marLeft w:val="0"/>
                                                                      <w:marRight w:val="0"/>
                                                                      <w:marTop w:val="0"/>
                                                                      <w:marBottom w:val="0"/>
                                                                      <w:divBdr>
                                                                        <w:top w:val="none" w:sz="0" w:space="0" w:color="auto"/>
                                                                        <w:left w:val="none" w:sz="0" w:space="0" w:color="auto"/>
                                                                        <w:bottom w:val="none" w:sz="0" w:space="0" w:color="auto"/>
                                                                        <w:right w:val="none" w:sz="0" w:space="0" w:color="auto"/>
                                                                      </w:divBdr>
                                                                    </w:div>
                                                                    <w:div w:id="1775854963">
                                                                      <w:marLeft w:val="0"/>
                                                                      <w:marRight w:val="0"/>
                                                                      <w:marTop w:val="0"/>
                                                                      <w:marBottom w:val="0"/>
                                                                      <w:divBdr>
                                                                        <w:top w:val="none" w:sz="0" w:space="0" w:color="auto"/>
                                                                        <w:left w:val="none" w:sz="0" w:space="0" w:color="auto"/>
                                                                        <w:bottom w:val="none" w:sz="0" w:space="0" w:color="auto"/>
                                                                        <w:right w:val="none" w:sz="0" w:space="0" w:color="auto"/>
                                                                      </w:divBdr>
                                                                    </w:div>
                                                                    <w:div w:id="519248217">
                                                                      <w:marLeft w:val="0"/>
                                                                      <w:marRight w:val="0"/>
                                                                      <w:marTop w:val="0"/>
                                                                      <w:marBottom w:val="0"/>
                                                                      <w:divBdr>
                                                                        <w:top w:val="none" w:sz="0" w:space="0" w:color="auto"/>
                                                                        <w:left w:val="none" w:sz="0" w:space="0" w:color="auto"/>
                                                                        <w:bottom w:val="none" w:sz="0" w:space="0" w:color="auto"/>
                                                                        <w:right w:val="none" w:sz="0" w:space="0" w:color="auto"/>
                                                                      </w:divBdr>
                                                                    </w:div>
                                                                    <w:div w:id="1772622258">
                                                                      <w:marLeft w:val="0"/>
                                                                      <w:marRight w:val="0"/>
                                                                      <w:marTop w:val="0"/>
                                                                      <w:marBottom w:val="0"/>
                                                                      <w:divBdr>
                                                                        <w:top w:val="none" w:sz="0" w:space="0" w:color="auto"/>
                                                                        <w:left w:val="none" w:sz="0" w:space="0" w:color="auto"/>
                                                                        <w:bottom w:val="none" w:sz="0" w:space="0" w:color="auto"/>
                                                                        <w:right w:val="none" w:sz="0" w:space="0" w:color="auto"/>
                                                                      </w:divBdr>
                                                                    </w:div>
                                                                    <w:div w:id="1675067040">
                                                                      <w:marLeft w:val="0"/>
                                                                      <w:marRight w:val="0"/>
                                                                      <w:marTop w:val="0"/>
                                                                      <w:marBottom w:val="0"/>
                                                                      <w:divBdr>
                                                                        <w:top w:val="none" w:sz="0" w:space="0" w:color="auto"/>
                                                                        <w:left w:val="none" w:sz="0" w:space="0" w:color="auto"/>
                                                                        <w:bottom w:val="none" w:sz="0" w:space="0" w:color="auto"/>
                                                                        <w:right w:val="none" w:sz="0" w:space="0" w:color="auto"/>
                                                                      </w:divBdr>
                                                                    </w:div>
                                                                    <w:div w:id="2126121780">
                                                                      <w:marLeft w:val="0"/>
                                                                      <w:marRight w:val="0"/>
                                                                      <w:marTop w:val="0"/>
                                                                      <w:marBottom w:val="0"/>
                                                                      <w:divBdr>
                                                                        <w:top w:val="none" w:sz="0" w:space="0" w:color="auto"/>
                                                                        <w:left w:val="none" w:sz="0" w:space="0" w:color="auto"/>
                                                                        <w:bottom w:val="none" w:sz="0" w:space="0" w:color="auto"/>
                                                                        <w:right w:val="none" w:sz="0" w:space="0" w:color="auto"/>
                                                                      </w:divBdr>
                                                                    </w:div>
                                                                    <w:div w:id="1114054860">
                                                                      <w:marLeft w:val="0"/>
                                                                      <w:marRight w:val="0"/>
                                                                      <w:marTop w:val="0"/>
                                                                      <w:marBottom w:val="0"/>
                                                                      <w:divBdr>
                                                                        <w:top w:val="none" w:sz="0" w:space="0" w:color="auto"/>
                                                                        <w:left w:val="none" w:sz="0" w:space="0" w:color="auto"/>
                                                                        <w:bottom w:val="none" w:sz="0" w:space="0" w:color="auto"/>
                                                                        <w:right w:val="none" w:sz="0" w:space="0" w:color="auto"/>
                                                                      </w:divBdr>
                                                                    </w:div>
                                                                    <w:div w:id="1351755175">
                                                                      <w:marLeft w:val="0"/>
                                                                      <w:marRight w:val="0"/>
                                                                      <w:marTop w:val="0"/>
                                                                      <w:marBottom w:val="0"/>
                                                                      <w:divBdr>
                                                                        <w:top w:val="none" w:sz="0" w:space="0" w:color="auto"/>
                                                                        <w:left w:val="none" w:sz="0" w:space="0" w:color="auto"/>
                                                                        <w:bottom w:val="none" w:sz="0" w:space="0" w:color="auto"/>
                                                                        <w:right w:val="none" w:sz="0" w:space="0" w:color="auto"/>
                                                                      </w:divBdr>
                                                                    </w:div>
                                                                    <w:div w:id="261841861">
                                                                      <w:marLeft w:val="0"/>
                                                                      <w:marRight w:val="0"/>
                                                                      <w:marTop w:val="0"/>
                                                                      <w:marBottom w:val="0"/>
                                                                      <w:divBdr>
                                                                        <w:top w:val="none" w:sz="0" w:space="0" w:color="auto"/>
                                                                        <w:left w:val="none" w:sz="0" w:space="0" w:color="auto"/>
                                                                        <w:bottom w:val="none" w:sz="0" w:space="0" w:color="auto"/>
                                                                        <w:right w:val="none" w:sz="0" w:space="0" w:color="auto"/>
                                                                      </w:divBdr>
                                                                    </w:div>
                                                                    <w:div w:id="39486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87634893">
      <w:bodyDiv w:val="1"/>
      <w:marLeft w:val="0"/>
      <w:marRight w:val="0"/>
      <w:marTop w:val="0"/>
      <w:marBottom w:val="0"/>
      <w:divBdr>
        <w:top w:val="none" w:sz="0" w:space="0" w:color="auto"/>
        <w:left w:val="none" w:sz="0" w:space="0" w:color="auto"/>
        <w:bottom w:val="none" w:sz="0" w:space="0" w:color="auto"/>
        <w:right w:val="none" w:sz="0" w:space="0" w:color="auto"/>
      </w:divBdr>
      <w:divsChild>
        <w:div w:id="139540280">
          <w:marLeft w:val="0"/>
          <w:marRight w:val="0"/>
          <w:marTop w:val="0"/>
          <w:marBottom w:val="0"/>
          <w:divBdr>
            <w:top w:val="none" w:sz="0" w:space="0" w:color="auto"/>
            <w:left w:val="none" w:sz="0" w:space="0" w:color="auto"/>
            <w:bottom w:val="none" w:sz="0" w:space="0" w:color="auto"/>
            <w:right w:val="none" w:sz="0" w:space="0" w:color="auto"/>
          </w:divBdr>
          <w:divsChild>
            <w:div w:id="120925237">
              <w:marLeft w:val="0"/>
              <w:marRight w:val="0"/>
              <w:marTop w:val="0"/>
              <w:marBottom w:val="0"/>
              <w:divBdr>
                <w:top w:val="none" w:sz="0" w:space="0" w:color="auto"/>
                <w:left w:val="none" w:sz="0" w:space="0" w:color="auto"/>
                <w:bottom w:val="none" w:sz="0" w:space="0" w:color="auto"/>
                <w:right w:val="none" w:sz="0" w:space="0" w:color="auto"/>
              </w:divBdr>
              <w:divsChild>
                <w:div w:id="1709448958">
                  <w:marLeft w:val="0"/>
                  <w:marRight w:val="0"/>
                  <w:marTop w:val="0"/>
                  <w:marBottom w:val="0"/>
                  <w:divBdr>
                    <w:top w:val="none" w:sz="0" w:space="0" w:color="auto"/>
                    <w:left w:val="none" w:sz="0" w:space="0" w:color="auto"/>
                    <w:bottom w:val="none" w:sz="0" w:space="0" w:color="auto"/>
                    <w:right w:val="none" w:sz="0" w:space="0" w:color="auto"/>
                  </w:divBdr>
                  <w:divsChild>
                    <w:div w:id="24445608">
                      <w:marLeft w:val="0"/>
                      <w:marRight w:val="0"/>
                      <w:marTop w:val="0"/>
                      <w:marBottom w:val="0"/>
                      <w:divBdr>
                        <w:top w:val="none" w:sz="0" w:space="0" w:color="auto"/>
                        <w:left w:val="none" w:sz="0" w:space="0" w:color="auto"/>
                        <w:bottom w:val="none" w:sz="0" w:space="0" w:color="auto"/>
                        <w:right w:val="none" w:sz="0" w:space="0" w:color="auto"/>
                      </w:divBdr>
                      <w:divsChild>
                        <w:div w:id="1002319992">
                          <w:marLeft w:val="0"/>
                          <w:marRight w:val="0"/>
                          <w:marTop w:val="0"/>
                          <w:marBottom w:val="0"/>
                          <w:divBdr>
                            <w:top w:val="none" w:sz="0" w:space="0" w:color="auto"/>
                            <w:left w:val="none" w:sz="0" w:space="0" w:color="auto"/>
                            <w:bottom w:val="none" w:sz="0" w:space="0" w:color="auto"/>
                            <w:right w:val="none" w:sz="0" w:space="0" w:color="auto"/>
                          </w:divBdr>
                          <w:divsChild>
                            <w:div w:id="1516535521">
                              <w:marLeft w:val="0"/>
                              <w:marRight w:val="0"/>
                              <w:marTop w:val="0"/>
                              <w:marBottom w:val="0"/>
                              <w:divBdr>
                                <w:top w:val="none" w:sz="0" w:space="0" w:color="auto"/>
                                <w:left w:val="none" w:sz="0" w:space="0" w:color="auto"/>
                                <w:bottom w:val="none" w:sz="0" w:space="0" w:color="auto"/>
                                <w:right w:val="none" w:sz="0" w:space="0" w:color="auto"/>
                              </w:divBdr>
                              <w:divsChild>
                                <w:div w:id="1510019075">
                                  <w:marLeft w:val="0"/>
                                  <w:marRight w:val="0"/>
                                  <w:marTop w:val="0"/>
                                  <w:marBottom w:val="0"/>
                                  <w:divBdr>
                                    <w:top w:val="none" w:sz="0" w:space="0" w:color="auto"/>
                                    <w:left w:val="none" w:sz="0" w:space="0" w:color="auto"/>
                                    <w:bottom w:val="none" w:sz="0" w:space="0" w:color="auto"/>
                                    <w:right w:val="none" w:sz="0" w:space="0" w:color="auto"/>
                                  </w:divBdr>
                                  <w:divsChild>
                                    <w:div w:id="2139370992">
                                      <w:marLeft w:val="0"/>
                                      <w:marRight w:val="0"/>
                                      <w:marTop w:val="0"/>
                                      <w:marBottom w:val="0"/>
                                      <w:divBdr>
                                        <w:top w:val="none" w:sz="0" w:space="0" w:color="auto"/>
                                        <w:left w:val="none" w:sz="0" w:space="0" w:color="auto"/>
                                        <w:bottom w:val="none" w:sz="0" w:space="0" w:color="auto"/>
                                        <w:right w:val="none" w:sz="0" w:space="0" w:color="auto"/>
                                      </w:divBdr>
                                      <w:divsChild>
                                        <w:div w:id="139466196">
                                          <w:marLeft w:val="0"/>
                                          <w:marRight w:val="0"/>
                                          <w:marTop w:val="0"/>
                                          <w:marBottom w:val="0"/>
                                          <w:divBdr>
                                            <w:top w:val="none" w:sz="0" w:space="0" w:color="auto"/>
                                            <w:left w:val="none" w:sz="0" w:space="0" w:color="auto"/>
                                            <w:bottom w:val="none" w:sz="0" w:space="0" w:color="auto"/>
                                            <w:right w:val="none" w:sz="0" w:space="0" w:color="auto"/>
                                          </w:divBdr>
                                          <w:divsChild>
                                            <w:div w:id="884099120">
                                              <w:marLeft w:val="0"/>
                                              <w:marRight w:val="0"/>
                                              <w:marTop w:val="0"/>
                                              <w:marBottom w:val="0"/>
                                              <w:divBdr>
                                                <w:top w:val="none" w:sz="0" w:space="0" w:color="auto"/>
                                                <w:left w:val="none" w:sz="0" w:space="0" w:color="auto"/>
                                                <w:bottom w:val="none" w:sz="0" w:space="0" w:color="auto"/>
                                                <w:right w:val="none" w:sz="0" w:space="0" w:color="auto"/>
                                              </w:divBdr>
                                              <w:divsChild>
                                                <w:div w:id="1802112573">
                                                  <w:marLeft w:val="0"/>
                                                  <w:marRight w:val="0"/>
                                                  <w:marTop w:val="0"/>
                                                  <w:marBottom w:val="0"/>
                                                  <w:divBdr>
                                                    <w:top w:val="none" w:sz="0" w:space="0" w:color="auto"/>
                                                    <w:left w:val="none" w:sz="0" w:space="0" w:color="auto"/>
                                                    <w:bottom w:val="none" w:sz="0" w:space="0" w:color="auto"/>
                                                    <w:right w:val="none" w:sz="0" w:space="0" w:color="auto"/>
                                                  </w:divBdr>
                                                  <w:divsChild>
                                                    <w:div w:id="484862025">
                                                      <w:marLeft w:val="0"/>
                                                      <w:marRight w:val="0"/>
                                                      <w:marTop w:val="0"/>
                                                      <w:marBottom w:val="0"/>
                                                      <w:divBdr>
                                                        <w:top w:val="none" w:sz="0" w:space="0" w:color="auto"/>
                                                        <w:left w:val="none" w:sz="0" w:space="0" w:color="auto"/>
                                                        <w:bottom w:val="none" w:sz="0" w:space="0" w:color="auto"/>
                                                        <w:right w:val="none" w:sz="0" w:space="0" w:color="auto"/>
                                                      </w:divBdr>
                                                      <w:divsChild>
                                                        <w:div w:id="625815356">
                                                          <w:marLeft w:val="0"/>
                                                          <w:marRight w:val="0"/>
                                                          <w:marTop w:val="0"/>
                                                          <w:marBottom w:val="0"/>
                                                          <w:divBdr>
                                                            <w:top w:val="none" w:sz="0" w:space="0" w:color="auto"/>
                                                            <w:left w:val="none" w:sz="0" w:space="0" w:color="auto"/>
                                                            <w:bottom w:val="none" w:sz="0" w:space="0" w:color="auto"/>
                                                            <w:right w:val="none" w:sz="0" w:space="0" w:color="auto"/>
                                                          </w:divBdr>
                                                          <w:divsChild>
                                                            <w:div w:id="2085643402">
                                                              <w:marLeft w:val="0"/>
                                                              <w:marRight w:val="0"/>
                                                              <w:marTop w:val="15"/>
                                                              <w:marBottom w:val="0"/>
                                                              <w:divBdr>
                                                                <w:top w:val="none" w:sz="0" w:space="0" w:color="auto"/>
                                                                <w:left w:val="none" w:sz="0" w:space="0" w:color="auto"/>
                                                                <w:bottom w:val="none" w:sz="0" w:space="0" w:color="auto"/>
                                                                <w:right w:val="none" w:sz="0" w:space="0" w:color="auto"/>
                                                              </w:divBdr>
                                                              <w:divsChild>
                                                                <w:div w:id="1381049476">
                                                                  <w:marLeft w:val="0"/>
                                                                  <w:marRight w:val="0"/>
                                                                  <w:marTop w:val="0"/>
                                                                  <w:marBottom w:val="0"/>
                                                                  <w:divBdr>
                                                                    <w:top w:val="none" w:sz="0" w:space="0" w:color="auto"/>
                                                                    <w:left w:val="none" w:sz="0" w:space="0" w:color="auto"/>
                                                                    <w:bottom w:val="none" w:sz="0" w:space="0" w:color="auto"/>
                                                                    <w:right w:val="none" w:sz="0" w:space="0" w:color="auto"/>
                                                                  </w:divBdr>
                                                                  <w:divsChild>
                                                                    <w:div w:id="1503468733">
                                                                      <w:marLeft w:val="0"/>
                                                                      <w:marRight w:val="0"/>
                                                                      <w:marTop w:val="0"/>
                                                                      <w:marBottom w:val="0"/>
                                                                      <w:divBdr>
                                                                        <w:top w:val="none" w:sz="0" w:space="0" w:color="auto"/>
                                                                        <w:left w:val="none" w:sz="0" w:space="0" w:color="auto"/>
                                                                        <w:bottom w:val="none" w:sz="0" w:space="0" w:color="auto"/>
                                                                        <w:right w:val="none" w:sz="0" w:space="0" w:color="auto"/>
                                                                      </w:divBdr>
                                                                    </w:div>
                                                                    <w:div w:id="131409527">
                                                                      <w:marLeft w:val="0"/>
                                                                      <w:marRight w:val="0"/>
                                                                      <w:marTop w:val="0"/>
                                                                      <w:marBottom w:val="0"/>
                                                                      <w:divBdr>
                                                                        <w:top w:val="none" w:sz="0" w:space="0" w:color="auto"/>
                                                                        <w:left w:val="none" w:sz="0" w:space="0" w:color="auto"/>
                                                                        <w:bottom w:val="none" w:sz="0" w:space="0" w:color="auto"/>
                                                                        <w:right w:val="none" w:sz="0" w:space="0" w:color="auto"/>
                                                                      </w:divBdr>
                                                                    </w:div>
                                                                    <w:div w:id="1155603734">
                                                                      <w:marLeft w:val="0"/>
                                                                      <w:marRight w:val="0"/>
                                                                      <w:marTop w:val="0"/>
                                                                      <w:marBottom w:val="0"/>
                                                                      <w:divBdr>
                                                                        <w:top w:val="none" w:sz="0" w:space="0" w:color="auto"/>
                                                                        <w:left w:val="none" w:sz="0" w:space="0" w:color="auto"/>
                                                                        <w:bottom w:val="none" w:sz="0" w:space="0" w:color="auto"/>
                                                                        <w:right w:val="none" w:sz="0" w:space="0" w:color="auto"/>
                                                                      </w:divBdr>
                                                                    </w:div>
                                                                    <w:div w:id="1737243386">
                                                                      <w:marLeft w:val="0"/>
                                                                      <w:marRight w:val="0"/>
                                                                      <w:marTop w:val="0"/>
                                                                      <w:marBottom w:val="0"/>
                                                                      <w:divBdr>
                                                                        <w:top w:val="none" w:sz="0" w:space="0" w:color="auto"/>
                                                                        <w:left w:val="none" w:sz="0" w:space="0" w:color="auto"/>
                                                                        <w:bottom w:val="none" w:sz="0" w:space="0" w:color="auto"/>
                                                                        <w:right w:val="none" w:sz="0" w:space="0" w:color="auto"/>
                                                                      </w:divBdr>
                                                                    </w:div>
                                                                    <w:div w:id="708142981">
                                                                      <w:marLeft w:val="0"/>
                                                                      <w:marRight w:val="0"/>
                                                                      <w:marTop w:val="0"/>
                                                                      <w:marBottom w:val="0"/>
                                                                      <w:divBdr>
                                                                        <w:top w:val="none" w:sz="0" w:space="0" w:color="auto"/>
                                                                        <w:left w:val="none" w:sz="0" w:space="0" w:color="auto"/>
                                                                        <w:bottom w:val="none" w:sz="0" w:space="0" w:color="auto"/>
                                                                        <w:right w:val="none" w:sz="0" w:space="0" w:color="auto"/>
                                                                      </w:divBdr>
                                                                    </w:div>
                                                                    <w:div w:id="312568330">
                                                                      <w:marLeft w:val="0"/>
                                                                      <w:marRight w:val="0"/>
                                                                      <w:marTop w:val="0"/>
                                                                      <w:marBottom w:val="0"/>
                                                                      <w:divBdr>
                                                                        <w:top w:val="none" w:sz="0" w:space="0" w:color="auto"/>
                                                                        <w:left w:val="none" w:sz="0" w:space="0" w:color="auto"/>
                                                                        <w:bottom w:val="none" w:sz="0" w:space="0" w:color="auto"/>
                                                                        <w:right w:val="none" w:sz="0" w:space="0" w:color="auto"/>
                                                                      </w:divBdr>
                                                                    </w:div>
                                                                    <w:div w:id="680669018">
                                                                      <w:marLeft w:val="0"/>
                                                                      <w:marRight w:val="0"/>
                                                                      <w:marTop w:val="0"/>
                                                                      <w:marBottom w:val="0"/>
                                                                      <w:divBdr>
                                                                        <w:top w:val="none" w:sz="0" w:space="0" w:color="auto"/>
                                                                        <w:left w:val="none" w:sz="0" w:space="0" w:color="auto"/>
                                                                        <w:bottom w:val="none" w:sz="0" w:space="0" w:color="auto"/>
                                                                        <w:right w:val="none" w:sz="0" w:space="0" w:color="auto"/>
                                                                      </w:divBdr>
                                                                    </w:div>
                                                                    <w:div w:id="612713351">
                                                                      <w:marLeft w:val="0"/>
                                                                      <w:marRight w:val="0"/>
                                                                      <w:marTop w:val="0"/>
                                                                      <w:marBottom w:val="0"/>
                                                                      <w:divBdr>
                                                                        <w:top w:val="none" w:sz="0" w:space="0" w:color="auto"/>
                                                                        <w:left w:val="none" w:sz="0" w:space="0" w:color="auto"/>
                                                                        <w:bottom w:val="none" w:sz="0" w:space="0" w:color="auto"/>
                                                                        <w:right w:val="none" w:sz="0" w:space="0" w:color="auto"/>
                                                                      </w:divBdr>
                                                                    </w:div>
                                                                    <w:div w:id="922226698">
                                                                      <w:marLeft w:val="0"/>
                                                                      <w:marRight w:val="0"/>
                                                                      <w:marTop w:val="0"/>
                                                                      <w:marBottom w:val="0"/>
                                                                      <w:divBdr>
                                                                        <w:top w:val="none" w:sz="0" w:space="0" w:color="auto"/>
                                                                        <w:left w:val="none" w:sz="0" w:space="0" w:color="auto"/>
                                                                        <w:bottom w:val="none" w:sz="0" w:space="0" w:color="auto"/>
                                                                        <w:right w:val="none" w:sz="0" w:space="0" w:color="auto"/>
                                                                      </w:divBdr>
                                                                    </w:div>
                                                                    <w:div w:id="124402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403367cd06554580" Type="http://schemas.microsoft.com/office/2019/05/relationships/documenttasks" Target="task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5E47DD" w:rsidRDefault="00F72D58">
          <w:pPr>
            <w:pStyle w:val="6A100845774148B09AFD987423307E3B5"/>
          </w:pPr>
          <w:r>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5E47DD" w:rsidRDefault="00F72D58">
          <w:pPr>
            <w:pStyle w:val="8924E7CB4D5C4CC4905BEA5FE80343E53"/>
          </w:pPr>
          <w:r>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5E47DD" w:rsidRDefault="00F72D58">
          <w:pPr>
            <w:pStyle w:val="AB1B0578B87C4E9EA043F449B0E6989F2"/>
          </w:pPr>
          <w:r>
            <w:rPr>
              <w:rStyle w:val="PlaceholderText"/>
            </w:rPr>
            <w:t>Click here to enter NQF number</w:t>
          </w:r>
        </w:p>
      </w:docPartBody>
    </w:docPart>
    <w:docPart>
      <w:docPartPr>
        <w:name w:val="290B7F71793147E7A252ACA4048130B3"/>
        <w:category>
          <w:name w:val="General"/>
          <w:gallery w:val="placeholder"/>
        </w:category>
        <w:types>
          <w:type w:val="bbPlcHdr"/>
        </w:types>
        <w:behaviors>
          <w:behavior w:val="content"/>
        </w:behaviors>
        <w:guid w:val="{6D68C357-08A1-4556-B52B-3C37BC9847D5}"/>
      </w:docPartPr>
      <w:docPartBody>
        <w:p w:rsidR="00EE4489" w:rsidRDefault="006F6DEE" w:rsidP="006F6DEE">
          <w:pPr>
            <w:pStyle w:val="290B7F71793147E7A252ACA4048130B3"/>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47DD"/>
    <w:rsid w:val="00130AB1"/>
    <w:rsid w:val="00313961"/>
    <w:rsid w:val="00426E79"/>
    <w:rsid w:val="0043789D"/>
    <w:rsid w:val="004A3F6D"/>
    <w:rsid w:val="00583059"/>
    <w:rsid w:val="005D515B"/>
    <w:rsid w:val="005E47DD"/>
    <w:rsid w:val="0060067B"/>
    <w:rsid w:val="006F6DEE"/>
    <w:rsid w:val="00826A76"/>
    <w:rsid w:val="00944492"/>
    <w:rsid w:val="00B07639"/>
    <w:rsid w:val="00C27B9F"/>
    <w:rsid w:val="00D96E96"/>
    <w:rsid w:val="00DB545B"/>
    <w:rsid w:val="00DF167D"/>
    <w:rsid w:val="00E37E57"/>
    <w:rsid w:val="00EE4489"/>
    <w:rsid w:val="00F72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6DEE"/>
    <w:rPr>
      <w:color w:val="808080"/>
    </w:rPr>
  </w:style>
  <w:style w:type="paragraph" w:customStyle="1" w:styleId="61E91D4220034A64A72268AE9C6EBC95">
    <w:name w:val="61E91D4220034A64A72268AE9C6EBC95"/>
  </w:style>
  <w:style w:type="paragraph" w:customStyle="1" w:styleId="6A100845774148B09AFD987423307E3B">
    <w:name w:val="6A100845774148B09AFD987423307E3B"/>
  </w:style>
  <w:style w:type="paragraph" w:customStyle="1" w:styleId="B59CD9F2DCBD416F8DD4ACE1656AAD1E">
    <w:name w:val="B59CD9F2DCBD416F8DD4ACE1656AAD1E"/>
  </w:style>
  <w:style w:type="paragraph" w:customStyle="1" w:styleId="8ED943CC099849739225897FA985A43B">
    <w:name w:val="8ED943CC099849739225897FA985A43B"/>
  </w:style>
  <w:style w:type="paragraph" w:customStyle="1" w:styleId="FE39700CCB674637AE5F6C6E2061646C">
    <w:name w:val="FE39700CCB674637AE5F6C6E2061646C"/>
  </w:style>
  <w:style w:type="paragraph" w:customStyle="1" w:styleId="7B079A827B8044F6A41B2928311FF845">
    <w:name w:val="7B079A827B8044F6A41B2928311FF845"/>
  </w:style>
  <w:style w:type="paragraph" w:customStyle="1" w:styleId="7AD354A3534E470A93D37CC867B6592A">
    <w:name w:val="7AD354A3534E470A93D37CC867B6592A"/>
  </w:style>
  <w:style w:type="paragraph" w:customStyle="1" w:styleId="E4B3B6CDCBD242798A4970CADFA5E45C">
    <w:name w:val="E4B3B6CDCBD242798A4970CADFA5E45C"/>
  </w:style>
  <w:style w:type="paragraph" w:customStyle="1" w:styleId="83C1F2711A1D449CA51A71C971CF21CF">
    <w:name w:val="83C1F2711A1D449CA51A71C971CF21CF"/>
  </w:style>
  <w:style w:type="paragraph" w:customStyle="1" w:styleId="02A26E1EFA164EA1871864CD9111681B">
    <w:name w:val="02A26E1EFA164EA1871864CD9111681B"/>
  </w:style>
  <w:style w:type="paragraph" w:customStyle="1" w:styleId="3D9FB160D9F84384B14F2A497B2D7AAC">
    <w:name w:val="3D9FB160D9F84384B14F2A497B2D7AAC"/>
  </w:style>
  <w:style w:type="paragraph" w:customStyle="1" w:styleId="6B50521F14D742858FCF97254FD58AC4">
    <w:name w:val="6B50521F14D742858FCF97254FD58AC4"/>
  </w:style>
  <w:style w:type="paragraph" w:customStyle="1" w:styleId="61E91D4220034A64A72268AE9C6EBC951">
    <w:name w:val="61E91D4220034A64A72268AE9C6EBC951"/>
    <w:pPr>
      <w:spacing w:after="0" w:line="240" w:lineRule="auto"/>
      <w:ind w:left="360" w:hanging="360"/>
    </w:pPr>
    <w:rPr>
      <w:rFonts w:eastAsiaTheme="minorHAnsi"/>
    </w:rPr>
  </w:style>
  <w:style w:type="paragraph" w:customStyle="1" w:styleId="6A100845774148B09AFD987423307E3B1">
    <w:name w:val="6A100845774148B09AFD987423307E3B1"/>
    <w:pPr>
      <w:spacing w:after="0" w:line="240" w:lineRule="auto"/>
      <w:ind w:left="360" w:hanging="360"/>
    </w:pPr>
    <w:rPr>
      <w:rFonts w:eastAsiaTheme="minorHAnsi"/>
    </w:rPr>
  </w:style>
  <w:style w:type="paragraph" w:customStyle="1" w:styleId="B59CD9F2DCBD416F8DD4ACE1656AAD1E1">
    <w:name w:val="B59CD9F2DCBD416F8DD4ACE1656AAD1E1"/>
    <w:pPr>
      <w:spacing w:after="0" w:line="240" w:lineRule="auto"/>
      <w:ind w:left="360" w:hanging="360"/>
    </w:pPr>
    <w:rPr>
      <w:rFonts w:eastAsiaTheme="minorHAnsi"/>
    </w:rPr>
  </w:style>
  <w:style w:type="paragraph" w:customStyle="1" w:styleId="8ED943CC099849739225897FA985A43B1">
    <w:name w:val="8ED943CC099849739225897FA985A43B1"/>
    <w:pPr>
      <w:spacing w:after="0" w:line="240" w:lineRule="auto"/>
      <w:ind w:left="360" w:hanging="360"/>
    </w:pPr>
    <w:rPr>
      <w:rFonts w:eastAsiaTheme="minorHAnsi"/>
    </w:rPr>
  </w:style>
  <w:style w:type="paragraph" w:customStyle="1" w:styleId="FE39700CCB674637AE5F6C6E2061646C1">
    <w:name w:val="FE39700CCB674637AE5F6C6E2061646C1"/>
    <w:pPr>
      <w:spacing w:after="0" w:line="240" w:lineRule="auto"/>
      <w:ind w:left="360" w:hanging="360"/>
    </w:pPr>
    <w:rPr>
      <w:rFonts w:eastAsiaTheme="minorHAnsi"/>
    </w:rPr>
  </w:style>
  <w:style w:type="paragraph" w:customStyle="1" w:styleId="7B079A827B8044F6A41B2928311FF8451">
    <w:name w:val="7B079A827B8044F6A41B2928311FF8451"/>
    <w:pPr>
      <w:spacing w:after="0" w:line="240" w:lineRule="auto"/>
      <w:ind w:left="360" w:hanging="360"/>
    </w:pPr>
    <w:rPr>
      <w:rFonts w:eastAsiaTheme="minorHAnsi"/>
    </w:rPr>
  </w:style>
  <w:style w:type="paragraph" w:customStyle="1" w:styleId="7AD354A3534E470A93D37CC867B6592A1">
    <w:name w:val="7AD354A3534E470A93D37CC867B6592A1"/>
    <w:pPr>
      <w:spacing w:after="0" w:line="240" w:lineRule="auto"/>
      <w:ind w:left="360" w:hanging="360"/>
    </w:pPr>
    <w:rPr>
      <w:rFonts w:eastAsiaTheme="minorHAnsi"/>
    </w:rPr>
  </w:style>
  <w:style w:type="paragraph" w:customStyle="1" w:styleId="D7595CF80D4D484686C7EB51E001CF5E">
    <w:name w:val="D7595CF80D4D484686C7EB51E001CF5E"/>
    <w:pPr>
      <w:spacing w:after="0" w:line="240" w:lineRule="auto"/>
      <w:ind w:left="360" w:hanging="360"/>
    </w:pPr>
    <w:rPr>
      <w:rFonts w:eastAsiaTheme="minorHAnsi"/>
    </w:rPr>
  </w:style>
  <w:style w:type="paragraph" w:customStyle="1" w:styleId="1FB0BFDDF2E04426AA7D3CB9F5B78DEE">
    <w:name w:val="1FB0BFDDF2E04426AA7D3CB9F5B78DEE"/>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style>
  <w:style w:type="paragraph" w:customStyle="1" w:styleId="72600D3732554DC083A096F37118546F">
    <w:name w:val="72600D3732554DC083A096F37118546F"/>
  </w:style>
  <w:style w:type="paragraph" w:customStyle="1" w:styleId="D591CFA96B3D49F29BCCC4C398F45B0E">
    <w:name w:val="D591CFA96B3D49F29BCCC4C398F45B0E"/>
  </w:style>
  <w:style w:type="paragraph" w:customStyle="1" w:styleId="61E91D4220034A64A72268AE9C6EBC952">
    <w:name w:val="61E91D4220034A64A72268AE9C6EBC952"/>
    <w:pPr>
      <w:spacing w:after="0" w:line="240" w:lineRule="auto"/>
      <w:ind w:left="360" w:hanging="360"/>
    </w:pPr>
    <w:rPr>
      <w:rFonts w:eastAsiaTheme="minorHAnsi"/>
    </w:rPr>
  </w:style>
  <w:style w:type="paragraph" w:customStyle="1" w:styleId="6A100845774148B09AFD987423307E3B2">
    <w:name w:val="6A100845774148B09AFD987423307E3B2"/>
    <w:pPr>
      <w:spacing w:after="0" w:line="240" w:lineRule="auto"/>
      <w:ind w:left="360" w:hanging="360"/>
    </w:pPr>
    <w:rPr>
      <w:rFonts w:eastAsiaTheme="minorHAnsi"/>
    </w:rPr>
  </w:style>
  <w:style w:type="paragraph" w:customStyle="1" w:styleId="B59CD9F2DCBD416F8DD4ACE1656AAD1E2">
    <w:name w:val="B59CD9F2DCBD416F8DD4ACE1656AAD1E2"/>
    <w:pPr>
      <w:spacing w:after="0" w:line="240" w:lineRule="auto"/>
      <w:ind w:left="360" w:hanging="360"/>
    </w:pPr>
    <w:rPr>
      <w:rFonts w:eastAsiaTheme="minorHAnsi"/>
    </w:rPr>
  </w:style>
  <w:style w:type="paragraph" w:customStyle="1" w:styleId="8ED943CC099849739225897FA985A43B2">
    <w:name w:val="8ED943CC099849739225897FA985A43B2"/>
    <w:pPr>
      <w:spacing w:after="0" w:line="240" w:lineRule="auto"/>
      <w:ind w:left="360" w:hanging="360"/>
    </w:pPr>
    <w:rPr>
      <w:rFonts w:eastAsiaTheme="minorHAnsi"/>
    </w:rPr>
  </w:style>
  <w:style w:type="paragraph" w:customStyle="1" w:styleId="FE39700CCB674637AE5F6C6E2061646C2">
    <w:name w:val="FE39700CCB674637AE5F6C6E2061646C2"/>
    <w:pPr>
      <w:spacing w:after="0" w:line="240" w:lineRule="auto"/>
      <w:ind w:left="360" w:hanging="360"/>
    </w:pPr>
    <w:rPr>
      <w:rFonts w:eastAsiaTheme="minorHAnsi"/>
    </w:rPr>
  </w:style>
  <w:style w:type="paragraph" w:customStyle="1" w:styleId="7B079A827B8044F6A41B2928311FF8452">
    <w:name w:val="7B079A827B8044F6A41B2928311FF8452"/>
    <w:pPr>
      <w:spacing w:after="0" w:line="240" w:lineRule="auto"/>
      <w:ind w:left="360" w:hanging="360"/>
    </w:pPr>
    <w:rPr>
      <w:rFonts w:eastAsiaTheme="minorHAnsi"/>
    </w:rPr>
  </w:style>
  <w:style w:type="paragraph" w:customStyle="1" w:styleId="7AD354A3534E470A93D37CC867B6592A2">
    <w:name w:val="7AD354A3534E470A93D37CC867B6592A2"/>
    <w:pPr>
      <w:spacing w:after="0" w:line="240" w:lineRule="auto"/>
      <w:ind w:left="360" w:hanging="360"/>
    </w:pPr>
    <w:rPr>
      <w:rFonts w:eastAsiaTheme="minorHAnsi"/>
    </w:rPr>
  </w:style>
  <w:style w:type="paragraph" w:customStyle="1" w:styleId="690F238D284B4D6FBB345393104A00B7">
    <w:name w:val="690F238D284B4D6FBB345393104A00B7"/>
    <w:pPr>
      <w:spacing w:after="0" w:line="240" w:lineRule="auto"/>
      <w:ind w:left="360" w:hanging="360"/>
    </w:pPr>
    <w:rPr>
      <w:rFonts w:eastAsiaTheme="minorHAnsi"/>
    </w:rPr>
  </w:style>
  <w:style w:type="paragraph" w:customStyle="1" w:styleId="16055023A8FF46AD93F9B03E59DA7CDD">
    <w:name w:val="16055023A8FF46AD93F9B03E59DA7CDD"/>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style>
  <w:style w:type="paragraph" w:customStyle="1" w:styleId="F30279444DFD4347858F1E4C80B7C67C">
    <w:name w:val="F30279444DFD4347858F1E4C80B7C67C"/>
  </w:style>
  <w:style w:type="paragraph" w:customStyle="1" w:styleId="61E91D4220034A64A72268AE9C6EBC953">
    <w:name w:val="61E91D4220034A64A72268AE9C6EBC953"/>
    <w:pPr>
      <w:spacing w:after="0" w:line="240" w:lineRule="auto"/>
      <w:ind w:left="360" w:hanging="360"/>
    </w:pPr>
    <w:rPr>
      <w:rFonts w:eastAsiaTheme="minorHAnsi"/>
    </w:rPr>
  </w:style>
  <w:style w:type="paragraph" w:customStyle="1" w:styleId="8924E7CB4D5C4CC4905BEA5FE80343E51">
    <w:name w:val="8924E7CB4D5C4CC4905BEA5FE80343E51"/>
    <w:pPr>
      <w:spacing w:after="0" w:line="240" w:lineRule="auto"/>
      <w:ind w:left="360" w:hanging="360"/>
    </w:pPr>
    <w:rPr>
      <w:rFonts w:eastAsiaTheme="minorHAnsi"/>
    </w:rPr>
  </w:style>
  <w:style w:type="paragraph" w:customStyle="1" w:styleId="6A100845774148B09AFD987423307E3B3">
    <w:name w:val="6A100845774148B09AFD987423307E3B3"/>
    <w:pPr>
      <w:spacing w:after="0" w:line="240" w:lineRule="auto"/>
      <w:ind w:left="360" w:hanging="360"/>
    </w:pPr>
    <w:rPr>
      <w:rFonts w:eastAsiaTheme="minorHAnsi"/>
    </w:rPr>
  </w:style>
  <w:style w:type="paragraph" w:customStyle="1" w:styleId="041DAD2E359F4FA2848EB67C2E48F029">
    <w:name w:val="041DAD2E359F4FA2848EB67C2E48F029"/>
    <w:pPr>
      <w:spacing w:after="0" w:line="240" w:lineRule="auto"/>
      <w:ind w:left="360" w:hanging="360"/>
    </w:pPr>
    <w:rPr>
      <w:rFonts w:eastAsiaTheme="minorHAnsi"/>
    </w:rPr>
  </w:style>
  <w:style w:type="paragraph" w:customStyle="1" w:styleId="8976851BFEE34EC8AB577B36C7EC1773">
    <w:name w:val="8976851BFEE34EC8AB577B36C7EC1773"/>
    <w:pPr>
      <w:spacing w:after="0" w:line="240" w:lineRule="auto"/>
      <w:ind w:left="360" w:hanging="360"/>
    </w:pPr>
    <w:rPr>
      <w:rFonts w:eastAsiaTheme="minorHAnsi"/>
    </w:rPr>
  </w:style>
  <w:style w:type="paragraph" w:customStyle="1" w:styleId="B89F06B695EF41C8905F2C302ADDC341">
    <w:name w:val="B89F06B695EF41C8905F2C302ADDC341"/>
    <w:pPr>
      <w:spacing w:after="0" w:line="240" w:lineRule="auto"/>
      <w:ind w:left="360" w:hanging="360"/>
    </w:pPr>
    <w:rPr>
      <w:rFonts w:eastAsiaTheme="minorHAnsi"/>
    </w:rPr>
  </w:style>
  <w:style w:type="paragraph" w:customStyle="1" w:styleId="18E069800924413B8B0DCF1E4629BFB3">
    <w:name w:val="18E069800924413B8B0DCF1E4629BFB3"/>
    <w:pPr>
      <w:spacing w:after="0" w:line="240" w:lineRule="auto"/>
      <w:ind w:left="360" w:hanging="360"/>
    </w:pPr>
    <w:rPr>
      <w:rFonts w:eastAsiaTheme="minorHAnsi"/>
    </w:rPr>
  </w:style>
  <w:style w:type="paragraph" w:customStyle="1" w:styleId="2258D32411FA4C08AE3CF99A001894E9">
    <w:name w:val="2258D32411FA4C08AE3CF99A001894E9"/>
    <w:pPr>
      <w:spacing w:after="0" w:line="240" w:lineRule="auto"/>
      <w:ind w:left="360" w:hanging="360"/>
    </w:pPr>
    <w:rPr>
      <w:rFonts w:eastAsiaTheme="minorHAnsi"/>
    </w:rPr>
  </w:style>
  <w:style w:type="paragraph" w:customStyle="1" w:styleId="50D6FDEC50A4467E8187F237C444E603">
    <w:name w:val="50D6FDEC50A4467E8187F237C444E603"/>
    <w:pPr>
      <w:spacing w:after="0" w:line="240" w:lineRule="auto"/>
      <w:ind w:left="360" w:hanging="360"/>
    </w:pPr>
    <w:rPr>
      <w:rFonts w:eastAsiaTheme="minorHAnsi"/>
    </w:rPr>
  </w:style>
  <w:style w:type="paragraph" w:customStyle="1" w:styleId="FE4951A9A79F4E89AADB293907F0FCBF">
    <w:name w:val="FE4951A9A79F4E89AADB293907F0FCBF"/>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style>
  <w:style w:type="paragraph" w:customStyle="1" w:styleId="AB1B0578B87C4E9EA043F449B0E6989F1">
    <w:name w:val="AB1B0578B87C4E9EA043F449B0E6989F1"/>
    <w:pPr>
      <w:spacing w:after="0" w:line="240" w:lineRule="auto"/>
      <w:ind w:left="360" w:hanging="360"/>
    </w:pPr>
    <w:rPr>
      <w:rFonts w:eastAsiaTheme="minorHAnsi"/>
    </w:rPr>
  </w:style>
  <w:style w:type="paragraph" w:customStyle="1" w:styleId="61E91D4220034A64A72268AE9C6EBC954">
    <w:name w:val="61E91D4220034A64A72268AE9C6EBC954"/>
    <w:pPr>
      <w:spacing w:after="0" w:line="240" w:lineRule="auto"/>
      <w:ind w:left="360" w:hanging="360"/>
    </w:pPr>
    <w:rPr>
      <w:rFonts w:eastAsiaTheme="minorHAnsi"/>
    </w:rPr>
  </w:style>
  <w:style w:type="paragraph" w:customStyle="1" w:styleId="8924E7CB4D5C4CC4905BEA5FE80343E52">
    <w:name w:val="8924E7CB4D5C4CC4905BEA5FE80343E52"/>
    <w:pPr>
      <w:spacing w:after="0" w:line="240" w:lineRule="auto"/>
      <w:ind w:left="360" w:hanging="360"/>
    </w:pPr>
    <w:rPr>
      <w:rFonts w:eastAsiaTheme="minorHAnsi"/>
    </w:rPr>
  </w:style>
  <w:style w:type="paragraph" w:customStyle="1" w:styleId="6A100845774148B09AFD987423307E3B4">
    <w:name w:val="6A100845774148B09AFD987423307E3B4"/>
    <w:pPr>
      <w:spacing w:after="0" w:line="240" w:lineRule="auto"/>
      <w:ind w:left="360" w:hanging="360"/>
    </w:pPr>
    <w:rPr>
      <w:rFonts w:eastAsiaTheme="minorHAnsi"/>
    </w:rPr>
  </w:style>
  <w:style w:type="paragraph" w:customStyle="1" w:styleId="9D75847318FD4C758784349FFB06DC38">
    <w:name w:val="9D75847318FD4C758784349FFB06DC38"/>
    <w:pPr>
      <w:spacing w:after="0" w:line="240" w:lineRule="auto"/>
      <w:ind w:left="360" w:hanging="360"/>
    </w:pPr>
    <w:rPr>
      <w:rFonts w:eastAsiaTheme="minorHAnsi"/>
    </w:rPr>
  </w:style>
  <w:style w:type="paragraph" w:customStyle="1" w:styleId="2B99015EBC8C42E59EAF748FDFC94310">
    <w:name w:val="2B99015EBC8C42E59EAF748FDFC94310"/>
    <w:pPr>
      <w:spacing w:after="0" w:line="240" w:lineRule="auto"/>
      <w:ind w:left="360" w:hanging="360"/>
    </w:pPr>
    <w:rPr>
      <w:rFonts w:eastAsiaTheme="minorHAnsi"/>
    </w:rPr>
  </w:style>
  <w:style w:type="paragraph" w:customStyle="1" w:styleId="B238509E1F334D88A227ED52EA5BF893">
    <w:name w:val="B238509E1F334D88A227ED52EA5BF893"/>
    <w:pPr>
      <w:spacing w:after="0" w:line="240" w:lineRule="auto"/>
      <w:ind w:left="360" w:hanging="360"/>
    </w:pPr>
    <w:rPr>
      <w:rFonts w:eastAsiaTheme="minorHAnsi"/>
    </w:rPr>
  </w:style>
  <w:style w:type="paragraph" w:customStyle="1" w:styleId="6FD8CFA6B3E24BCD87EAA8CD44E95587">
    <w:name w:val="6FD8CFA6B3E24BCD87EAA8CD44E95587"/>
    <w:pPr>
      <w:spacing w:after="0" w:line="240" w:lineRule="auto"/>
      <w:ind w:left="360" w:hanging="360"/>
    </w:pPr>
    <w:rPr>
      <w:rFonts w:eastAsiaTheme="minorHAnsi"/>
    </w:rPr>
  </w:style>
  <w:style w:type="paragraph" w:customStyle="1" w:styleId="2B38FBE0E45547A4943ABCE42B70AADA">
    <w:name w:val="2B38FBE0E45547A4943ABCE42B70AADA"/>
    <w:pPr>
      <w:spacing w:after="0" w:line="240" w:lineRule="auto"/>
      <w:ind w:left="360" w:hanging="360"/>
    </w:pPr>
    <w:rPr>
      <w:rFonts w:eastAsiaTheme="minorHAnsi"/>
    </w:rPr>
  </w:style>
  <w:style w:type="paragraph" w:customStyle="1" w:styleId="7CCD991507AC445D9F97128E4909AC5D">
    <w:name w:val="7CCD991507AC445D9F97128E4909AC5D"/>
    <w:pPr>
      <w:spacing w:after="0" w:line="240" w:lineRule="auto"/>
      <w:ind w:left="360" w:hanging="360"/>
    </w:pPr>
    <w:rPr>
      <w:rFonts w:eastAsiaTheme="minorHAnsi"/>
    </w:rPr>
  </w:style>
  <w:style w:type="paragraph" w:customStyle="1" w:styleId="C159F3E80A2E45EF9EE3AB3F0528C605">
    <w:name w:val="C159F3E80A2E45EF9EE3AB3F0528C605"/>
    <w:pPr>
      <w:spacing w:after="0" w:line="240" w:lineRule="auto"/>
      <w:ind w:left="360" w:hanging="360"/>
    </w:pPr>
    <w:rPr>
      <w:rFonts w:eastAsiaTheme="minorHAnsi"/>
    </w:rPr>
  </w:style>
  <w:style w:type="paragraph" w:customStyle="1" w:styleId="F166DE160DBD4651BD173FF69E398136">
    <w:name w:val="F166DE160DBD4651BD173FF69E398136"/>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pPr>
      <w:spacing w:after="0" w:line="240" w:lineRule="auto"/>
      <w:ind w:left="360" w:hanging="360"/>
    </w:pPr>
    <w:rPr>
      <w:rFonts w:eastAsiaTheme="minorHAnsi"/>
    </w:rPr>
  </w:style>
  <w:style w:type="paragraph" w:customStyle="1" w:styleId="61E91D4220034A64A72268AE9C6EBC955">
    <w:name w:val="61E91D4220034A64A72268AE9C6EBC955"/>
    <w:pPr>
      <w:spacing w:after="0" w:line="240" w:lineRule="auto"/>
      <w:ind w:left="360" w:hanging="360"/>
    </w:pPr>
    <w:rPr>
      <w:rFonts w:eastAsiaTheme="minorHAnsi"/>
    </w:rPr>
  </w:style>
  <w:style w:type="paragraph" w:customStyle="1" w:styleId="8924E7CB4D5C4CC4905BEA5FE80343E53">
    <w:name w:val="8924E7CB4D5C4CC4905BEA5FE80343E53"/>
    <w:pPr>
      <w:spacing w:after="0" w:line="240" w:lineRule="auto"/>
      <w:ind w:left="360" w:hanging="360"/>
    </w:pPr>
    <w:rPr>
      <w:rFonts w:eastAsiaTheme="minorHAnsi"/>
    </w:rPr>
  </w:style>
  <w:style w:type="paragraph" w:customStyle="1" w:styleId="6A100845774148B09AFD987423307E3B5">
    <w:name w:val="6A100845774148B09AFD987423307E3B5"/>
    <w:pPr>
      <w:spacing w:after="0" w:line="240" w:lineRule="auto"/>
      <w:ind w:left="360" w:hanging="360"/>
    </w:pPr>
    <w:rPr>
      <w:rFonts w:eastAsiaTheme="minorHAnsi"/>
    </w:rPr>
  </w:style>
  <w:style w:type="paragraph" w:customStyle="1" w:styleId="8A37B22604104FD58FD9B5969045D3F1">
    <w:name w:val="8A37B22604104FD58FD9B5969045D3F1"/>
    <w:pPr>
      <w:spacing w:after="0" w:line="240" w:lineRule="auto"/>
      <w:ind w:left="360" w:hanging="360"/>
    </w:pPr>
    <w:rPr>
      <w:rFonts w:eastAsiaTheme="minorHAnsi"/>
    </w:rPr>
  </w:style>
  <w:style w:type="paragraph" w:customStyle="1" w:styleId="962214A8263E430591B9ED4CADA7154B">
    <w:name w:val="962214A8263E430591B9ED4CADA7154B"/>
    <w:pPr>
      <w:spacing w:after="0" w:line="240" w:lineRule="auto"/>
      <w:ind w:left="360" w:hanging="360"/>
    </w:pPr>
    <w:rPr>
      <w:rFonts w:eastAsiaTheme="minorHAnsi"/>
    </w:rPr>
  </w:style>
  <w:style w:type="paragraph" w:customStyle="1" w:styleId="15AC292313CE45DC8AC3FC91D340CC66">
    <w:name w:val="15AC292313CE45DC8AC3FC91D340CC66"/>
    <w:pPr>
      <w:spacing w:after="0" w:line="240" w:lineRule="auto"/>
      <w:ind w:left="360" w:hanging="360"/>
    </w:pPr>
    <w:rPr>
      <w:rFonts w:eastAsiaTheme="minorHAnsi"/>
    </w:rPr>
  </w:style>
  <w:style w:type="paragraph" w:customStyle="1" w:styleId="4CBFC8EF1476485CBF0E82C994E3DC6E">
    <w:name w:val="4CBFC8EF1476485CBF0E82C994E3DC6E"/>
    <w:pPr>
      <w:spacing w:after="0" w:line="240" w:lineRule="auto"/>
      <w:ind w:left="360" w:hanging="360"/>
    </w:pPr>
    <w:rPr>
      <w:rFonts w:eastAsiaTheme="minorHAnsi"/>
    </w:rPr>
  </w:style>
  <w:style w:type="paragraph" w:customStyle="1" w:styleId="32094DA73C124CA8A717FF8A8F08AF3B">
    <w:name w:val="32094DA73C124CA8A717FF8A8F08AF3B"/>
    <w:pPr>
      <w:spacing w:after="0" w:line="240" w:lineRule="auto"/>
      <w:ind w:left="360" w:hanging="360"/>
    </w:pPr>
    <w:rPr>
      <w:rFonts w:eastAsiaTheme="minorHAnsi"/>
    </w:rPr>
  </w:style>
  <w:style w:type="paragraph" w:customStyle="1" w:styleId="A47729CCDE844CBF86BF69FF0481955B">
    <w:name w:val="A47729CCDE844CBF86BF69FF0481955B"/>
    <w:pPr>
      <w:spacing w:after="0" w:line="240" w:lineRule="auto"/>
      <w:ind w:left="360" w:hanging="360"/>
    </w:pPr>
    <w:rPr>
      <w:rFonts w:eastAsiaTheme="minorHAnsi"/>
    </w:rPr>
  </w:style>
  <w:style w:type="paragraph" w:customStyle="1" w:styleId="4FF54B78223544A29AA39B5261EBE67D">
    <w:name w:val="4FF54B78223544A29AA39B5261EBE67D"/>
    <w:pPr>
      <w:spacing w:after="0" w:line="240" w:lineRule="auto"/>
      <w:ind w:left="360" w:hanging="360"/>
    </w:pPr>
    <w:rPr>
      <w:rFonts w:eastAsiaTheme="minorHAnsi"/>
    </w:rPr>
  </w:style>
  <w:style w:type="paragraph" w:customStyle="1" w:styleId="73B308F1A99D4788BA3E9AC2AFE5C701">
    <w:name w:val="73B308F1A99D4788BA3E9AC2AFE5C701"/>
  </w:style>
  <w:style w:type="paragraph" w:customStyle="1" w:styleId="290B7F71793147E7A252ACA4048130B3">
    <w:name w:val="290B7F71793147E7A252ACA4048130B3"/>
    <w:rsid w:val="006F6DE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CA12E85F17D8F41ABA97183F972DA5D" ma:contentTypeVersion="4" ma:contentTypeDescription="Create a new document." ma:contentTypeScope="" ma:versionID="12238e0df99deb2a2394cfee05173a4e">
  <xsd:schema xmlns:xsd="http://www.w3.org/2001/XMLSchema" xmlns:xs="http://www.w3.org/2001/XMLSchema" xmlns:p="http://schemas.microsoft.com/office/2006/metadata/properties" xmlns:ns2="09f9e170-3c13-4d52-9c6b-e2cd62266a2b" targetNamespace="http://schemas.microsoft.com/office/2006/metadata/properties" ma:root="true" ma:fieldsID="d885977f8e63242766e1e3fefec83454" ns2:_="">
    <xsd:import namespace="09f9e170-3c13-4d52-9c6b-e2cd62266a2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f9e170-3c13-4d52-9c6b-e2cd62266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18AC2-5407-4027-A616-7EACC8042805}">
  <ds:schemaRefs>
    <ds:schemaRef ds:uri="http://schemas.openxmlformats.org/officeDocument/2006/bibliography"/>
  </ds:schemaRefs>
</ds:datastoreItem>
</file>

<file path=customXml/itemProps2.xml><?xml version="1.0" encoding="utf-8"?>
<ds:datastoreItem xmlns:ds="http://schemas.openxmlformats.org/officeDocument/2006/customXml" ds:itemID="{72B04D9E-B28F-452C-853A-5A78C34E5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f9e170-3c13-4d52-9c6b-e2cd62266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purl.org/dc/terms/"/>
    <ds:schemaRef ds:uri="http://schemas.microsoft.com/office/2006/documentManagement/types"/>
    <ds:schemaRef ds:uri="http://purl.org/dc/dcmitype/"/>
    <ds:schemaRef ds:uri="http://purl.org/dc/elements/1.1/"/>
    <ds:schemaRef ds:uri="09f9e170-3c13-4d52-9c6b-e2cd62266a2b"/>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3018</Words>
  <Characters>17209</Characters>
  <Application>Microsoft Office Word</Application>
  <DocSecurity>0</DocSecurity>
  <Lines>143</Lines>
  <Paragraphs>40</Paragraphs>
  <ScaleCrop>false</ScaleCrop>
  <Company>National Quality Forum</Company>
  <LinksUpToDate>false</LinksUpToDate>
  <CharactersWithSpaces>20187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Amin, Duwa</cp:lastModifiedBy>
  <cp:revision>10</cp:revision>
  <dcterms:created xsi:type="dcterms:W3CDTF">2020-07-24T12:12:00Z</dcterms:created>
  <dcterms:modified xsi:type="dcterms:W3CDTF">2021-04-06T19:31:00Z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0x0101001CA12E85F17D8F41ABA97183F972DA5D</vt:lpwstr>
  </property>
</Properties>
</file>