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4703A128" w:rsidR="00927027" w:rsidRDefault="000E78F6" w:rsidP="1B4C5267">
      <w:pPr>
        <w:contextualSpacing/>
        <w:jc w:val="center"/>
        <w:rPr>
          <w:b/>
          <w:bCs/>
          <w:noProof/>
        </w:rPr>
      </w:pPr>
      <w:r w:rsidRPr="1F2A1F7D">
        <w:rPr>
          <w:b/>
          <w:bCs/>
          <w:smallCaps/>
          <w:noProof/>
          <w:sz w:val="24"/>
          <w:szCs w:val="24"/>
        </w:rPr>
        <w:t>National Quality Forum</w:t>
      </w:r>
      <w:r w:rsidRPr="1F2A1F7D">
        <w:rPr>
          <w:b/>
          <w:bCs/>
          <w:noProof/>
          <w:sz w:val="24"/>
          <w:szCs w:val="24"/>
        </w:rPr>
        <w:t>—</w:t>
      </w:r>
      <w:r w:rsidR="00927027" w:rsidRPr="1F2A1F7D">
        <w:rPr>
          <w:b/>
          <w:bCs/>
          <w:noProof/>
        </w:rPr>
        <w:t>Measure Te</w:t>
      </w:r>
      <w:r w:rsidRPr="1F2A1F7D">
        <w:rPr>
          <w:b/>
          <w:bCs/>
          <w:noProof/>
        </w:rPr>
        <w:t>sting (subcriteria 2a2, 2b</w:t>
      </w:r>
      <w:r w:rsidR="00651D44" w:rsidRPr="1F2A1F7D">
        <w:rPr>
          <w:b/>
          <w:bCs/>
          <w:noProof/>
        </w:rPr>
        <w:t>1</w:t>
      </w:r>
      <w:r w:rsidRPr="1F2A1F7D">
        <w:rPr>
          <w:b/>
          <w:bCs/>
          <w:noProof/>
        </w:rPr>
        <w:t>-2b</w:t>
      </w:r>
      <w:r w:rsidR="00651D44" w:rsidRPr="1F2A1F7D">
        <w:rPr>
          <w:b/>
          <w:bCs/>
          <w:noProof/>
        </w:rPr>
        <w:t>6</w:t>
      </w:r>
      <w:r w:rsidRPr="1F2A1F7D">
        <w:rPr>
          <w:b/>
          <w:bCs/>
          <w:noProof/>
        </w:rPr>
        <w:t>)</w:t>
      </w:r>
    </w:p>
    <w:p w14:paraId="0CABCF54" w14:textId="77777777" w:rsidR="00797624" w:rsidRDefault="00797624" w:rsidP="00105D8B">
      <w:pPr>
        <w:contextualSpacing/>
        <w:rPr>
          <w:rFonts w:cstheme="minorHAnsi"/>
          <w:b/>
          <w:noProof/>
        </w:rPr>
      </w:pPr>
    </w:p>
    <w:p w14:paraId="0CABCF55" w14:textId="1E9FEDE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453F4D">
            <w:rPr>
              <w:rStyle w:val="Style1"/>
            </w:rPr>
            <w:t>N/A</w:t>
          </w:r>
        </w:sdtContent>
      </w:sdt>
    </w:p>
    <w:p w14:paraId="0CABCF56" w14:textId="4E653FC5" w:rsidR="00105D8B" w:rsidRPr="00A25024" w:rsidRDefault="00105D8B" w:rsidP="45E871D7">
      <w:pPr>
        <w:contextualSpacing/>
        <w:rPr>
          <w:noProof/>
        </w:rPr>
      </w:pPr>
      <w:r w:rsidRPr="5645140E">
        <w:rPr>
          <w:b/>
          <w:bCs/>
          <w:noProof/>
        </w:rPr>
        <w:t>Measure Title</w:t>
      </w:r>
      <w:r w:rsidRPr="5645140E">
        <w:rPr>
          <w:noProof/>
        </w:rPr>
        <w:t xml:space="preserve">:  </w:t>
      </w:r>
      <w:sdt>
        <w:sdtPr>
          <w:rPr>
            <w:rStyle w:val="Style1"/>
          </w:rPr>
          <w:id w:val="-882640736"/>
          <w:placeholder>
            <w:docPart w:val="00949831315D4E1BAFC508BD77E32A40"/>
          </w:placeholder>
        </w:sdtPr>
        <w:sdtEndPr>
          <w:rPr>
            <w:rStyle w:val="DefaultParagraphFont"/>
            <w:noProof/>
            <w:color w:val="auto"/>
          </w:rPr>
        </w:sdtEndPr>
        <w:sdtContent>
          <w:sdt>
            <w:sdtPr>
              <w:rPr>
                <w:rStyle w:val="Style1"/>
              </w:rPr>
              <w:id w:val="253716391"/>
              <w:placeholder>
                <w:docPart w:val="08D223A3D43C417FBA5093C91FA75560"/>
              </w:placeholder>
            </w:sdtPr>
            <w:sdtEndPr>
              <w:rPr>
                <w:rStyle w:val="DefaultParagraphFont"/>
                <w:noProof/>
                <w:color w:val="auto"/>
              </w:rPr>
            </w:sdtEndPr>
            <w:sdtContent>
              <w:r w:rsidR="00453F4D" w:rsidRPr="5645140E">
                <w:rPr>
                  <w:rStyle w:val="Style1"/>
                </w:rPr>
                <w:t xml:space="preserve">Risk-Standardized Acute Cardiovascular-Related </w:t>
              </w:r>
              <w:r w:rsidR="00FE7D94" w:rsidRPr="5645140E">
                <w:rPr>
                  <w:rStyle w:val="Style1"/>
                </w:rPr>
                <w:t xml:space="preserve">Hospital </w:t>
              </w:r>
              <w:r w:rsidR="00453F4D" w:rsidRPr="5645140E">
                <w:rPr>
                  <w:rStyle w:val="Style1"/>
                </w:rPr>
                <w:t xml:space="preserve">Admissions for Patients with Heart Failure </w:t>
              </w:r>
              <w:r w:rsidR="00FE7D94" w:rsidRPr="5645140E">
                <w:rPr>
                  <w:rStyle w:val="Style1"/>
                </w:rPr>
                <w:t xml:space="preserve">under </w:t>
              </w:r>
              <w:r w:rsidR="00453F4D" w:rsidRPr="5645140E">
                <w:rPr>
                  <w:rStyle w:val="Style1"/>
                </w:rPr>
                <w:t>the Merit-based</w:t>
              </w:r>
              <w:r w:rsidR="002A2864" w:rsidRPr="5645140E">
                <w:rPr>
                  <w:rStyle w:val="Style1"/>
                </w:rPr>
                <w:t xml:space="preserve"> Incentive Payment System</w:t>
              </w:r>
            </w:sdtContent>
          </w:sdt>
        </w:sdtContent>
      </w:sdt>
    </w:p>
    <w:p w14:paraId="0CABCF57" w14:textId="748ACA25"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Fonts w:cstheme="minorHAnsi"/>
            <w:noProof/>
            <w:color w:val="0000FF"/>
            <w:u w:val="single"/>
            <w:shd w:val="clear" w:color="auto" w:fill="E6E6E6"/>
          </w:rPr>
          <w:id w:val="-1689821638"/>
          <w:placeholder>
            <w:docPart w:val="D0A5AE3409394D21BA5FA5F27780E302"/>
          </w:placeholder>
          <w:date w:fullDate="2021-04-09T00:00:00Z">
            <w:dateFormat w:val="M/d/yyyy"/>
            <w:lid w:val="en-US"/>
            <w:storeMappedDataAs w:val="dateTime"/>
            <w:calendar w:val="gregorian"/>
          </w:date>
        </w:sdtPr>
        <w:sdtContent>
          <w:r w:rsidR="006A5297" w:rsidRPr="006A5297">
            <w:rPr>
              <w:rFonts w:cstheme="minorHAnsi"/>
              <w:noProof/>
              <w:color w:val="0000FF"/>
              <w:u w:val="single"/>
              <w:shd w:val="clear" w:color="auto" w:fill="E6E6E6"/>
            </w:rPr>
            <w:t>4/9/2021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6C1CE10C" w:rsidR="000B7D57" w:rsidRPr="00C775CE" w:rsidRDefault="006A5297" w:rsidP="00CD364B">
            <w:pPr>
              <w:autoSpaceDE w:val="0"/>
              <w:autoSpaceDN w:val="0"/>
              <w:adjustRightInd w:val="0"/>
              <w:rPr>
                <w:rFonts w:cstheme="minorHAnsi"/>
                <w:bCs/>
              </w:rPr>
            </w:pPr>
            <w:sdt>
              <w:sdtPr>
                <w:rPr>
                  <w:rFonts w:cstheme="minorHAnsi"/>
                  <w:bCs/>
                  <w:color w:val="0000FF"/>
                  <w:shd w:val="clear" w:color="auto" w:fill="E6E6E6"/>
                </w:rPr>
                <w:id w:val="40960739"/>
                <w14:checkbox>
                  <w14:checked w14:val="1"/>
                  <w14:checkedState w14:val="2612" w14:font="MS Gothic"/>
                  <w14:uncheckedState w14:val="2610" w14:font="MS Gothic"/>
                </w14:checkbox>
              </w:sdtPr>
              <w:sdtContent>
                <w:r w:rsidR="00F626D1">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6A5297" w:rsidP="00CD364B">
            <w:pPr>
              <w:autoSpaceDE w:val="0"/>
              <w:autoSpaceDN w:val="0"/>
              <w:adjustRightInd w:val="0"/>
              <w:rPr>
                <w:rFonts w:cstheme="minorHAnsi"/>
                <w:bCs/>
              </w:rPr>
            </w:pPr>
            <w:sdt>
              <w:sdtPr>
                <w:rPr>
                  <w:rFonts w:cstheme="minorHAnsi"/>
                  <w:bCs/>
                  <w:color w:val="2B579A"/>
                  <w:shd w:val="clear" w:color="auto" w:fill="E6E6E6"/>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6A5297" w:rsidP="00CD364B">
            <w:pPr>
              <w:autoSpaceDE w:val="0"/>
              <w:autoSpaceDN w:val="0"/>
              <w:adjustRightInd w:val="0"/>
              <w:rPr>
                <w:rFonts w:cstheme="minorHAnsi"/>
                <w:bCs/>
                <w:color w:val="0000FF"/>
              </w:rPr>
            </w:pPr>
            <w:sdt>
              <w:sdtPr>
                <w:rPr>
                  <w:rFonts w:cstheme="minorHAnsi"/>
                  <w:bCs/>
                  <w:color w:val="0000FF"/>
                  <w:shd w:val="clear" w:color="auto" w:fill="E6E6E6"/>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6A5297" w:rsidP="00CD364B">
            <w:pPr>
              <w:autoSpaceDE w:val="0"/>
              <w:autoSpaceDN w:val="0"/>
              <w:adjustRightInd w:val="0"/>
              <w:rPr>
                <w:rFonts w:cstheme="minorHAnsi"/>
                <w:bCs/>
              </w:rPr>
            </w:pPr>
            <w:sdt>
              <w:sdtPr>
                <w:rPr>
                  <w:rFonts w:cstheme="minorHAnsi"/>
                  <w:bCs/>
                  <w:color w:val="2B579A"/>
                  <w:shd w:val="clear" w:color="auto" w:fill="E6E6E6"/>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6A5297" w:rsidP="00CD364B">
            <w:pPr>
              <w:autoSpaceDE w:val="0"/>
              <w:autoSpaceDN w:val="0"/>
              <w:adjustRightInd w:val="0"/>
              <w:rPr>
                <w:rFonts w:cstheme="minorHAnsi"/>
                <w:bCs/>
              </w:rPr>
            </w:pPr>
            <w:sdt>
              <w:sdtPr>
                <w:rPr>
                  <w:rFonts w:cstheme="minorHAnsi"/>
                  <w:bCs/>
                  <w:color w:val="0000FF"/>
                  <w:shd w:val="clear" w:color="auto" w:fill="E6E6E6"/>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6A5297" w:rsidP="00CD364B">
            <w:pPr>
              <w:autoSpaceDE w:val="0"/>
              <w:autoSpaceDN w:val="0"/>
              <w:adjustRightInd w:val="0"/>
              <w:rPr>
                <w:rFonts w:cstheme="minorHAnsi"/>
                <w:bCs/>
              </w:rPr>
            </w:pPr>
            <w:sdt>
              <w:sdtPr>
                <w:rPr>
                  <w:rFonts w:cstheme="minorHAnsi"/>
                  <w:bCs/>
                  <w:color w:val="2B579A"/>
                  <w:shd w:val="clear" w:color="auto" w:fill="E6E6E6"/>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6A5297" w:rsidP="00CD364B">
            <w:pPr>
              <w:autoSpaceDE w:val="0"/>
              <w:autoSpaceDN w:val="0"/>
              <w:adjustRightInd w:val="0"/>
              <w:rPr>
                <w:rFonts w:cstheme="minorHAnsi"/>
                <w:bCs/>
              </w:rPr>
            </w:pPr>
            <w:sdt>
              <w:sdtPr>
                <w:rPr>
                  <w:rFonts w:cstheme="minorHAnsi"/>
                  <w:bCs/>
                  <w:color w:val="0000FF"/>
                  <w:shd w:val="clear" w:color="auto" w:fill="E6E6E6"/>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7"/>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7"/>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7"/>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7"/>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7"/>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7"/>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7"/>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7"/>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7"/>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w:t>
            </w:r>
            <w:proofErr w:type="gramStart"/>
            <w:r w:rsidRPr="000F034A">
              <w:rPr>
                <w:rFonts w:cstheme="minorHAnsi"/>
                <w:bCs/>
                <w:iCs/>
              </w:rPr>
              <w:t>time period</w:t>
            </w:r>
            <w:proofErr w:type="gramEnd"/>
            <w:r w:rsidRPr="000F034A">
              <w:rPr>
                <w:rFonts w:cstheme="minorHAnsi"/>
                <w:bCs/>
                <w:iCs/>
              </w:rPr>
              <w:t xml:space="preserve">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7"/>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7"/>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 xml:space="preserve">differences in </w:t>
            </w:r>
            <w:proofErr w:type="gramStart"/>
            <w:r w:rsidRPr="000F034A">
              <w:rPr>
                <w:rFonts w:cstheme="minorHAnsi"/>
                <w:b/>
              </w:rPr>
              <w:t>performance</w:t>
            </w:r>
            <w:r w:rsidRPr="000F034A">
              <w:rPr>
                <w:rFonts w:cstheme="minorHAnsi"/>
              </w:rPr>
              <w:t>;</w:t>
            </w:r>
            <w:proofErr w:type="gramEnd"/>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6A5297" w:rsidP="00DB3627">
            <w:pPr>
              <w:autoSpaceDE w:val="0"/>
              <w:autoSpaceDN w:val="0"/>
              <w:adjustRightInd w:val="0"/>
              <w:rPr>
                <w:rFonts w:cstheme="minorHAnsi"/>
                <w:bCs/>
              </w:rPr>
            </w:pPr>
            <w:sdt>
              <w:sdtPr>
                <w:rPr>
                  <w:rFonts w:cstheme="minorHAnsi"/>
                  <w:bCs/>
                  <w:color w:val="0000FF"/>
                  <w:shd w:val="clear" w:color="auto" w:fill="E6E6E6"/>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6A5297" w:rsidP="00DB3627">
            <w:pPr>
              <w:autoSpaceDE w:val="0"/>
              <w:autoSpaceDN w:val="0"/>
              <w:adjustRightInd w:val="0"/>
              <w:rPr>
                <w:rFonts w:cstheme="minorHAnsi"/>
                <w:bCs/>
              </w:rPr>
            </w:pPr>
            <w:sdt>
              <w:sdtPr>
                <w:rPr>
                  <w:rFonts w:cstheme="minorHAnsi"/>
                  <w:bCs/>
                  <w:color w:val="0000FF"/>
                  <w:shd w:val="clear" w:color="auto" w:fill="E6E6E6"/>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792A0A56" w:rsidR="00A01494" w:rsidRPr="000F1B7A" w:rsidRDefault="006A5297" w:rsidP="000F1B7A">
            <w:pPr>
              <w:autoSpaceDE w:val="0"/>
              <w:autoSpaceDN w:val="0"/>
              <w:adjustRightInd w:val="0"/>
              <w:rPr>
                <w:rFonts w:cstheme="minorHAnsi"/>
                <w:bCs/>
              </w:rPr>
            </w:pPr>
            <w:sdt>
              <w:sdtPr>
                <w:rPr>
                  <w:rFonts w:cstheme="minorHAnsi"/>
                  <w:bCs/>
                  <w:color w:val="0000FF"/>
                  <w:shd w:val="clear" w:color="auto" w:fill="E6E6E6"/>
                </w:rPr>
                <w:id w:val="560149406"/>
                <w14:checkbox>
                  <w14:checked w14:val="1"/>
                  <w14:checkedState w14:val="2612" w14:font="MS Gothic"/>
                  <w14:uncheckedState w14:val="2610" w14:font="MS Gothic"/>
                </w14:checkbox>
              </w:sdtPr>
              <w:sdtContent>
                <w:r w:rsidR="00F626D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7235925A" w:rsidR="00A01494" w:rsidRPr="000F1B7A" w:rsidRDefault="006A5297" w:rsidP="000F1B7A">
            <w:pPr>
              <w:autoSpaceDE w:val="0"/>
              <w:autoSpaceDN w:val="0"/>
              <w:adjustRightInd w:val="0"/>
              <w:rPr>
                <w:rFonts w:cstheme="minorHAnsi"/>
                <w:bCs/>
              </w:rPr>
            </w:pPr>
            <w:sdt>
              <w:sdtPr>
                <w:rPr>
                  <w:rFonts w:cstheme="minorHAnsi"/>
                  <w:bCs/>
                  <w:color w:val="0000FF"/>
                  <w:shd w:val="clear" w:color="auto" w:fill="E6E6E6"/>
                </w:rPr>
                <w:id w:val="-387195507"/>
                <w14:checkbox>
                  <w14:checked w14:val="1"/>
                  <w14:checkedState w14:val="2612" w14:font="MS Gothic"/>
                  <w14:uncheckedState w14:val="2610" w14:font="MS Gothic"/>
                </w14:checkbox>
              </w:sdtPr>
              <w:sdtContent>
                <w:r w:rsidR="00453F4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6A5297" w:rsidP="000F1B7A">
            <w:pPr>
              <w:autoSpaceDE w:val="0"/>
              <w:autoSpaceDN w:val="0"/>
              <w:adjustRightInd w:val="0"/>
              <w:rPr>
                <w:rFonts w:cstheme="minorHAnsi"/>
                <w:bCs/>
              </w:rPr>
            </w:pPr>
            <w:sdt>
              <w:sdtPr>
                <w:rPr>
                  <w:rFonts w:cstheme="minorHAnsi"/>
                  <w:bCs/>
                  <w:color w:val="0000FF"/>
                  <w:shd w:val="clear" w:color="auto" w:fill="E6E6E6"/>
                </w:rPr>
                <w:id w:val="751091068"/>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6A5297" w:rsidP="000F1B7A">
            <w:pPr>
              <w:autoSpaceDE w:val="0"/>
              <w:autoSpaceDN w:val="0"/>
              <w:adjustRightInd w:val="0"/>
              <w:rPr>
                <w:rFonts w:cstheme="minorHAnsi"/>
                <w:bCs/>
              </w:rPr>
            </w:pPr>
            <w:sdt>
              <w:sdtPr>
                <w:rPr>
                  <w:rFonts w:cstheme="minorHAnsi"/>
                  <w:bCs/>
                  <w:color w:val="0000FF"/>
                  <w:shd w:val="clear" w:color="auto" w:fill="E6E6E6"/>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6A5297" w:rsidP="00DB3627">
            <w:pPr>
              <w:autoSpaceDE w:val="0"/>
              <w:autoSpaceDN w:val="0"/>
              <w:adjustRightInd w:val="0"/>
              <w:rPr>
                <w:rFonts w:cstheme="minorHAnsi"/>
                <w:bCs/>
              </w:rPr>
            </w:pPr>
            <w:sdt>
              <w:sdtPr>
                <w:rPr>
                  <w:rFonts w:cstheme="minorHAnsi"/>
                  <w:bCs/>
                  <w:color w:val="0000FF"/>
                  <w:shd w:val="clear" w:color="auto" w:fill="E6E6E6"/>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6A5297" w:rsidP="00DB3627">
            <w:pPr>
              <w:autoSpaceDE w:val="0"/>
              <w:autoSpaceDN w:val="0"/>
              <w:adjustRightInd w:val="0"/>
              <w:rPr>
                <w:rFonts w:cstheme="minorHAnsi"/>
                <w:bCs/>
              </w:rPr>
            </w:pPr>
            <w:sdt>
              <w:sdtPr>
                <w:rPr>
                  <w:rFonts w:cstheme="minorHAnsi"/>
                  <w:bCs/>
                  <w:color w:val="0000FF"/>
                  <w:shd w:val="clear" w:color="auto" w:fill="E6E6E6"/>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6A5297" w:rsidP="00B82A57">
            <w:pPr>
              <w:autoSpaceDE w:val="0"/>
              <w:autoSpaceDN w:val="0"/>
              <w:adjustRightInd w:val="0"/>
              <w:rPr>
                <w:rFonts w:cstheme="minorHAnsi"/>
                <w:bCs/>
              </w:rPr>
            </w:pPr>
            <w:sdt>
              <w:sdtPr>
                <w:rPr>
                  <w:rFonts w:cstheme="minorHAnsi"/>
                  <w:bCs/>
                  <w:color w:val="0000FF"/>
                  <w:shd w:val="clear" w:color="auto" w:fill="E6E6E6"/>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6A5297" w:rsidP="00DB3627">
            <w:pPr>
              <w:autoSpaceDE w:val="0"/>
              <w:autoSpaceDN w:val="0"/>
              <w:adjustRightInd w:val="0"/>
              <w:rPr>
                <w:rFonts w:cstheme="minorHAnsi"/>
                <w:bCs/>
              </w:rPr>
            </w:pPr>
            <w:sdt>
              <w:sdtPr>
                <w:rPr>
                  <w:rFonts w:cstheme="minorHAnsi"/>
                  <w:bCs/>
                  <w:color w:val="0000FF"/>
                  <w:shd w:val="clear" w:color="auto" w:fill="E6E6E6"/>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6DD0BB14" w:rsidR="00A01494" w:rsidRPr="000F1B7A" w:rsidRDefault="006A5297" w:rsidP="00DB3627">
            <w:pPr>
              <w:autoSpaceDE w:val="0"/>
              <w:autoSpaceDN w:val="0"/>
              <w:adjustRightInd w:val="0"/>
              <w:rPr>
                <w:rFonts w:cstheme="minorHAnsi"/>
                <w:bCs/>
              </w:rPr>
            </w:pPr>
            <w:sdt>
              <w:sdtPr>
                <w:rPr>
                  <w:rFonts w:cstheme="minorHAnsi"/>
                  <w:bCs/>
                  <w:color w:val="0000FF"/>
                  <w:shd w:val="clear" w:color="auto" w:fill="E6E6E6"/>
                </w:rPr>
                <w:id w:val="1316375390"/>
                <w14:checkbox>
                  <w14:checked w14:val="1"/>
                  <w14:checkedState w14:val="2612" w14:font="MS Gothic"/>
                  <w14:uncheckedState w14:val="2610" w14:font="MS Gothic"/>
                </w14:checkbox>
              </w:sdtPr>
              <w:sdtContent>
                <w:r w:rsidR="00FF076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FF0765">
                  <w:rPr>
                    <w:rStyle w:val="Style1"/>
                  </w:rPr>
                  <w:t>All data sources are described below in section 1.2</w:t>
                </w:r>
              </w:sdtContent>
            </w:sdt>
          </w:p>
        </w:tc>
        <w:tc>
          <w:tcPr>
            <w:tcW w:w="4847" w:type="dxa"/>
          </w:tcPr>
          <w:p w14:paraId="0CABCFAB" w14:textId="31920A04" w:rsidR="00A01494" w:rsidRPr="000F1B7A" w:rsidRDefault="006A5297" w:rsidP="00DB3627">
            <w:pPr>
              <w:autoSpaceDE w:val="0"/>
              <w:autoSpaceDN w:val="0"/>
              <w:adjustRightInd w:val="0"/>
              <w:rPr>
                <w:rFonts w:cstheme="minorHAnsi"/>
                <w:bCs/>
              </w:rPr>
            </w:pPr>
            <w:sdt>
              <w:sdtPr>
                <w:rPr>
                  <w:rFonts w:cstheme="minorHAnsi"/>
                  <w:bCs/>
                  <w:color w:val="0000FF"/>
                  <w:shd w:val="clear" w:color="auto" w:fill="E6E6E6"/>
                </w:rPr>
                <w:id w:val="1689098749"/>
                <w14:checkbox>
                  <w14:checked w14:val="1"/>
                  <w14:checkedState w14:val="2612" w14:font="MS Gothic"/>
                  <w14:uncheckedState w14:val="2610" w14:font="MS Gothic"/>
                </w14:checkbox>
              </w:sdtPr>
              <w:sdtContent>
                <w:r w:rsidR="00FF076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FF0765">
                  <w:rPr>
                    <w:rStyle w:val="Style1"/>
                  </w:rPr>
                  <w:t>All data sources are described below in section 1.2</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w:t>
      </w:r>
      <w:proofErr w:type="gramStart"/>
      <w:r w:rsidR="001C7B02">
        <w:rPr>
          <w:rFonts w:cstheme="minorHAnsi"/>
          <w:bCs/>
          <w:i/>
        </w:rPr>
        <w:t>measured;</w:t>
      </w:r>
      <w:proofErr w:type="gramEnd"/>
      <w:r w:rsidR="001C7B02">
        <w:rPr>
          <w:rFonts w:cstheme="minorHAnsi"/>
          <w:bCs/>
          <w:i/>
        </w:rPr>
        <w:t xml:space="preserve">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C58CB0E" w14:textId="77777777" w:rsidR="00A72647" w:rsidRDefault="00A72647" w:rsidP="00DB3627">
      <w:pPr>
        <w:autoSpaceDE w:val="0"/>
        <w:autoSpaceDN w:val="0"/>
        <w:adjustRightInd w:val="0"/>
        <w:spacing w:after="0" w:line="240" w:lineRule="auto"/>
        <w:rPr>
          <w:rFonts w:cstheme="minorHAnsi"/>
          <w:bCs/>
        </w:rPr>
      </w:pPr>
    </w:p>
    <w:p w14:paraId="3CE30CD7" w14:textId="24E097BF"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The datasets, dates, and number of measured entities used in each type of testing </w:t>
      </w:r>
      <w:r w:rsidR="002A79D1">
        <w:rPr>
          <w:rFonts w:ascii="Calibri" w:eastAsia="Calibri" w:hAnsi="Calibri" w:cs="Calibri"/>
          <w:color w:val="000000"/>
        </w:rPr>
        <w:t xml:space="preserve">were </w:t>
      </w:r>
      <w:r>
        <w:rPr>
          <w:rFonts w:ascii="Calibri" w:eastAsia="Calibri" w:hAnsi="Calibri" w:cs="Calibri"/>
          <w:color w:val="000000"/>
        </w:rPr>
        <w:t>as follows:</w:t>
      </w:r>
    </w:p>
    <w:p w14:paraId="6D70657A" w14:textId="77777777"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BF1DD34" w14:textId="0B35E7FF"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5F11F9">
        <w:rPr>
          <w:rFonts w:ascii="Calibri" w:eastAsia="Calibri" w:hAnsi="Calibri" w:cs="Calibri"/>
          <w:color w:val="000000"/>
        </w:rPr>
        <w:t xml:space="preserve">For </w:t>
      </w:r>
      <w:r>
        <w:rPr>
          <w:rFonts w:ascii="Calibri" w:eastAsia="Calibri" w:hAnsi="Calibri" w:cs="Calibri"/>
          <w:color w:val="000000"/>
        </w:rPr>
        <w:t>measure</w:t>
      </w:r>
      <w:r w:rsidRPr="005F11F9">
        <w:rPr>
          <w:rFonts w:ascii="Calibri" w:eastAsia="Calibri" w:hAnsi="Calibri" w:cs="Calibri"/>
          <w:color w:val="000000"/>
        </w:rPr>
        <w:t xml:space="preserve"> development and </w:t>
      </w:r>
      <w:r>
        <w:rPr>
          <w:rFonts w:ascii="Calibri" w:eastAsia="Calibri" w:hAnsi="Calibri" w:cs="Calibri"/>
          <w:color w:val="000000"/>
        </w:rPr>
        <w:t>testing</w:t>
      </w:r>
      <w:r w:rsidRPr="005F11F9">
        <w:rPr>
          <w:rFonts w:ascii="Calibri" w:eastAsia="Calibri" w:hAnsi="Calibri" w:cs="Calibri"/>
          <w:color w:val="000000"/>
        </w:rPr>
        <w:t xml:space="preserve">, we used Medicare </w:t>
      </w:r>
      <w:r w:rsidR="00FF0765">
        <w:rPr>
          <w:rFonts w:ascii="Calibri" w:eastAsia="Calibri" w:hAnsi="Calibri" w:cs="Calibri"/>
          <w:color w:val="000000"/>
        </w:rPr>
        <w:t>Fee-for-Service (</w:t>
      </w:r>
      <w:r w:rsidRPr="005F11F9">
        <w:rPr>
          <w:rFonts w:ascii="Calibri" w:eastAsia="Calibri" w:hAnsi="Calibri" w:cs="Calibri"/>
          <w:color w:val="000000"/>
        </w:rPr>
        <w:t>FFS</w:t>
      </w:r>
      <w:r w:rsidR="00FF0765">
        <w:rPr>
          <w:rFonts w:ascii="Calibri" w:eastAsia="Calibri" w:hAnsi="Calibri" w:cs="Calibri"/>
          <w:color w:val="000000"/>
        </w:rPr>
        <w:t>)</w:t>
      </w:r>
      <w:r w:rsidRPr="005F11F9">
        <w:rPr>
          <w:rFonts w:ascii="Calibri" w:eastAsia="Calibri" w:hAnsi="Calibri" w:cs="Calibri"/>
          <w:color w:val="000000"/>
        </w:rPr>
        <w:t xml:space="preserve"> administrative claims </w:t>
      </w:r>
      <w:r>
        <w:rPr>
          <w:rFonts w:ascii="Calibri" w:eastAsia="Calibri" w:hAnsi="Calibri" w:cs="Calibri"/>
          <w:color w:val="000000"/>
        </w:rPr>
        <w:t xml:space="preserve">data (Parts A and B) </w:t>
      </w:r>
      <w:r w:rsidRPr="005F11F9">
        <w:rPr>
          <w:rFonts w:ascii="Calibri" w:eastAsia="Calibri" w:hAnsi="Calibri" w:cs="Calibri"/>
          <w:color w:val="000000"/>
        </w:rPr>
        <w:t xml:space="preserve">and </w:t>
      </w:r>
      <w:r>
        <w:rPr>
          <w:rFonts w:ascii="Calibri" w:eastAsia="Calibri" w:hAnsi="Calibri" w:cs="Calibri"/>
          <w:color w:val="000000"/>
        </w:rPr>
        <w:t>the Medicare Enrollment Database</w:t>
      </w:r>
      <w:r w:rsidR="00FF0765">
        <w:rPr>
          <w:rFonts w:ascii="Calibri" w:eastAsia="Calibri" w:hAnsi="Calibri" w:cs="Calibri"/>
          <w:color w:val="000000"/>
        </w:rPr>
        <w:t xml:space="preserve"> (EDB)</w:t>
      </w:r>
      <w:r>
        <w:rPr>
          <w:rFonts w:ascii="Calibri" w:eastAsia="Calibri" w:hAnsi="Calibri" w:cs="Calibri"/>
          <w:color w:val="000000"/>
        </w:rPr>
        <w:t xml:space="preserve"> from </w:t>
      </w:r>
      <w:r w:rsidR="00117BB7">
        <w:rPr>
          <w:rFonts w:cstheme="minorHAnsi"/>
        </w:rPr>
        <w:t>fiscal year 2015 through 2018</w:t>
      </w:r>
      <w:r w:rsidRPr="005F11F9">
        <w:rPr>
          <w:rFonts w:ascii="Calibri" w:eastAsia="Calibri" w:hAnsi="Calibri" w:cs="Calibri"/>
          <w:color w:val="000000"/>
        </w:rPr>
        <w:t xml:space="preserve">. </w:t>
      </w:r>
      <w:r w:rsidR="00117BB7">
        <w:rPr>
          <w:rFonts w:ascii="Calibri" w:eastAsia="Calibri" w:hAnsi="Calibri" w:cs="Calibri"/>
          <w:color w:val="000000"/>
        </w:rPr>
        <w:t>Specifically, w</w:t>
      </w:r>
      <w:r w:rsidR="00117BB7" w:rsidRPr="00117BB7">
        <w:rPr>
          <w:rFonts w:ascii="Calibri" w:eastAsia="Calibri" w:hAnsi="Calibri" w:cs="Calibri"/>
          <w:color w:val="000000"/>
        </w:rPr>
        <w:t xml:space="preserve">e assessed provider performance from October 1, 2017 </w:t>
      </w:r>
      <w:r w:rsidR="002A79D1">
        <w:rPr>
          <w:rFonts w:ascii="Calibri" w:eastAsia="Calibri" w:hAnsi="Calibri" w:cs="Calibri"/>
          <w:color w:val="000000"/>
        </w:rPr>
        <w:t xml:space="preserve">(Q4 2017) </w:t>
      </w:r>
      <w:r w:rsidR="00117BB7">
        <w:rPr>
          <w:rFonts w:ascii="Calibri" w:eastAsia="Calibri" w:hAnsi="Calibri" w:cs="Calibri"/>
          <w:color w:val="000000"/>
        </w:rPr>
        <w:t xml:space="preserve">through </w:t>
      </w:r>
      <w:r w:rsidR="00117BB7" w:rsidRPr="00117BB7">
        <w:rPr>
          <w:rFonts w:ascii="Calibri" w:eastAsia="Calibri" w:hAnsi="Calibri" w:cs="Calibri"/>
          <w:color w:val="000000"/>
        </w:rPr>
        <w:t>September 30, 2018</w:t>
      </w:r>
      <w:r w:rsidR="002A79D1">
        <w:rPr>
          <w:rFonts w:ascii="Calibri" w:eastAsia="Calibri" w:hAnsi="Calibri" w:cs="Calibri"/>
          <w:color w:val="000000"/>
        </w:rPr>
        <w:t xml:space="preserve"> (Q3 2018), </w:t>
      </w:r>
      <w:r w:rsidR="00117BB7" w:rsidRPr="00117BB7">
        <w:rPr>
          <w:rFonts w:ascii="Calibri" w:eastAsia="Calibri" w:hAnsi="Calibri" w:cs="Calibri"/>
          <w:color w:val="000000"/>
        </w:rPr>
        <w:t>referred to as the measurement period</w:t>
      </w:r>
      <w:r w:rsidR="002A79D1">
        <w:rPr>
          <w:rFonts w:ascii="Calibri" w:eastAsia="Calibri" w:hAnsi="Calibri" w:cs="Calibri"/>
          <w:color w:val="000000"/>
        </w:rPr>
        <w:t>,</w:t>
      </w:r>
      <w:r w:rsidR="00117BB7" w:rsidRPr="00117BB7">
        <w:rPr>
          <w:rFonts w:ascii="Calibri" w:eastAsia="Calibri" w:hAnsi="Calibri" w:cs="Calibri"/>
          <w:color w:val="000000"/>
        </w:rPr>
        <w:t xml:space="preserve"> and used the prior two-year period (October 1, 2015 – September 30, 2017) to identify qualifying HF patients for the cohort and the prior one-year period (October 1, 2016 – September 30, 2017) to identify patients’ clinical risk factors. Outpatient Evaluation and Management (E&amp;M) visits during the measurement period, identified using the 2017 and 2018 Medicare FFS non-institutional carrier claims, were used to attribute patients to providers.</w:t>
      </w:r>
    </w:p>
    <w:p w14:paraId="3078C761" w14:textId="77777777"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8BFCC4F" w14:textId="16369442"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a. </w:t>
      </w:r>
      <w:r w:rsidR="00117BB7">
        <w:rPr>
          <w:rFonts w:ascii="Calibri" w:eastAsia="Calibri" w:hAnsi="Calibri" w:cs="Calibri"/>
          <w:color w:val="000000"/>
        </w:rPr>
        <w:t xml:space="preserve">Additional dataset </w:t>
      </w:r>
      <w:r>
        <w:rPr>
          <w:rFonts w:ascii="Calibri" w:eastAsia="Calibri" w:hAnsi="Calibri" w:cs="Calibri"/>
          <w:color w:val="000000"/>
        </w:rPr>
        <w:t>used to define the cohort:</w:t>
      </w:r>
    </w:p>
    <w:p w14:paraId="510DEA49" w14:textId="56694D6D" w:rsidR="00453F4D" w:rsidRDefault="001B3D17"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cstheme="minorHAnsi"/>
        </w:rPr>
        <w:t>-</w:t>
      </w:r>
      <w:r w:rsidRPr="002D6112">
        <w:rPr>
          <w:rFonts w:cstheme="minorHAnsi"/>
        </w:rPr>
        <w:t xml:space="preserve"> </w:t>
      </w:r>
      <w:r w:rsidR="00F96797" w:rsidRPr="00A34292">
        <w:rPr>
          <w:rFonts w:cstheme="minorHAnsi"/>
        </w:rPr>
        <w:t xml:space="preserve">The cohort of beneficiaries assigned to </w:t>
      </w:r>
      <w:r w:rsidR="002A2864">
        <w:rPr>
          <w:rFonts w:cstheme="minorHAnsi"/>
        </w:rPr>
        <w:t>Merit-based Incentive Payment System (</w:t>
      </w:r>
      <w:r w:rsidR="00F96797" w:rsidRPr="00A34292">
        <w:rPr>
          <w:rFonts w:cstheme="minorHAnsi"/>
        </w:rPr>
        <w:t>MIPS</w:t>
      </w:r>
      <w:r w:rsidR="002A2864">
        <w:rPr>
          <w:rFonts w:cstheme="minorHAnsi"/>
        </w:rPr>
        <w:t>)</w:t>
      </w:r>
      <w:r w:rsidR="00F96797">
        <w:rPr>
          <w:rFonts w:cstheme="minorHAnsi"/>
        </w:rPr>
        <w:t xml:space="preserve"> </w:t>
      </w:r>
      <w:r w:rsidR="00F96797" w:rsidRPr="00A34292">
        <w:rPr>
          <w:rFonts w:cstheme="minorHAnsi"/>
        </w:rPr>
        <w:t xml:space="preserve">eligible </w:t>
      </w:r>
      <w:r w:rsidR="00F96797">
        <w:rPr>
          <w:rFonts w:cstheme="minorHAnsi"/>
        </w:rPr>
        <w:t>clinicians</w:t>
      </w:r>
      <w:r w:rsidR="00F96797" w:rsidRPr="00A34292">
        <w:rPr>
          <w:rFonts w:cstheme="minorHAnsi"/>
        </w:rPr>
        <w:t xml:space="preserve"> was </w:t>
      </w:r>
      <w:r w:rsidR="00F96797">
        <w:rPr>
          <w:rFonts w:cstheme="minorHAnsi"/>
        </w:rPr>
        <w:t xml:space="preserve">determined using the MIPS eligible provider files for 2017 and 2018. </w:t>
      </w:r>
      <w:r w:rsidR="00F96797" w:rsidRPr="00375487">
        <w:rPr>
          <w:rFonts w:cstheme="minorHAnsi"/>
        </w:rPr>
        <w:t xml:space="preserve">The </w:t>
      </w:r>
      <w:r w:rsidR="00993D60">
        <w:rPr>
          <w:rFonts w:cstheme="minorHAnsi"/>
        </w:rPr>
        <w:t>Quality Payment Program (</w:t>
      </w:r>
      <w:r w:rsidR="00F96797" w:rsidRPr="00375487">
        <w:rPr>
          <w:rFonts w:cstheme="minorHAnsi"/>
        </w:rPr>
        <w:t>QPP</w:t>
      </w:r>
      <w:r w:rsidR="00993D60">
        <w:rPr>
          <w:rFonts w:cstheme="minorHAnsi"/>
        </w:rPr>
        <w:t>)</w:t>
      </w:r>
      <w:r w:rsidR="00F96797" w:rsidRPr="00375487">
        <w:rPr>
          <w:rFonts w:cstheme="minorHAnsi"/>
        </w:rPr>
        <w:t xml:space="preserve"> provides eligibility information for each Physician </w:t>
      </w:r>
      <w:r w:rsidR="00993D60">
        <w:rPr>
          <w:rFonts w:cstheme="minorHAnsi"/>
        </w:rPr>
        <w:t>National Provider Identifier (</w:t>
      </w:r>
      <w:r w:rsidR="00F96797" w:rsidRPr="00375487">
        <w:rPr>
          <w:rFonts w:cstheme="minorHAnsi"/>
        </w:rPr>
        <w:t>NPI</w:t>
      </w:r>
      <w:r w:rsidR="00993D60">
        <w:rPr>
          <w:rFonts w:cstheme="minorHAnsi"/>
        </w:rPr>
        <w:t>)</w:t>
      </w:r>
      <w:r w:rsidR="00F96797" w:rsidRPr="00375487">
        <w:rPr>
          <w:rFonts w:cstheme="minorHAnsi"/>
        </w:rPr>
        <w:t xml:space="preserve"> and Group </w:t>
      </w:r>
      <w:r w:rsidR="00993D60">
        <w:rPr>
          <w:rFonts w:cstheme="minorHAnsi"/>
        </w:rPr>
        <w:t>Taxpayer Identification Number (</w:t>
      </w:r>
      <w:r w:rsidR="00F96797" w:rsidRPr="00375487">
        <w:rPr>
          <w:rFonts w:cstheme="minorHAnsi"/>
        </w:rPr>
        <w:t>TIN</w:t>
      </w:r>
      <w:r w:rsidR="00993D60">
        <w:rPr>
          <w:rFonts w:cstheme="minorHAnsi"/>
        </w:rPr>
        <w:t>)</w:t>
      </w:r>
      <w:r w:rsidR="00F96797" w:rsidRPr="00375487">
        <w:rPr>
          <w:rFonts w:cstheme="minorHAnsi"/>
        </w:rPr>
        <w:t xml:space="preserve"> during a performance year through the </w:t>
      </w:r>
      <w:r w:rsidR="00F96797">
        <w:rPr>
          <w:rFonts w:cstheme="minorHAnsi"/>
        </w:rPr>
        <w:t>QPP</w:t>
      </w:r>
      <w:r w:rsidR="00F96797" w:rsidRPr="00375487">
        <w:rPr>
          <w:rFonts w:cstheme="minorHAnsi"/>
        </w:rPr>
        <w:t xml:space="preserve"> Research and Analytics platform. This information includes whether a provider was eligible to participate in MIPS at the individual or group level, whether the provider was part of an </w:t>
      </w:r>
      <w:r w:rsidR="00F96797">
        <w:rPr>
          <w:rFonts w:cstheme="minorHAnsi"/>
        </w:rPr>
        <w:t>advanced payment model (</w:t>
      </w:r>
      <w:r w:rsidR="00F96797" w:rsidRPr="00375487">
        <w:rPr>
          <w:rFonts w:cstheme="minorHAnsi"/>
        </w:rPr>
        <w:t>APM</w:t>
      </w:r>
      <w:r w:rsidR="00F96797">
        <w:rPr>
          <w:rFonts w:cstheme="minorHAnsi"/>
        </w:rPr>
        <w:t>)</w:t>
      </w:r>
      <w:r w:rsidR="00F96797" w:rsidRPr="00375487">
        <w:rPr>
          <w:rFonts w:cstheme="minorHAnsi"/>
        </w:rPr>
        <w:t>, the assigned provider specialty, and the reason a</w:t>
      </w:r>
      <w:r w:rsidR="00F96797">
        <w:rPr>
          <w:rFonts w:cstheme="minorHAnsi"/>
        </w:rPr>
        <w:t xml:space="preserve"> provider was not eligible.</w:t>
      </w:r>
    </w:p>
    <w:p w14:paraId="6718729B" w14:textId="77777777" w:rsidR="00F96797" w:rsidRDefault="00F96797"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FBC4A7D" w14:textId="2A35B66A" w:rsidR="00453F4D" w:rsidRDefault="009B61E9"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lastRenderedPageBreak/>
        <w:t>b</w:t>
      </w:r>
      <w:r w:rsidR="00453F4D">
        <w:rPr>
          <w:rFonts w:ascii="Calibri" w:eastAsia="Calibri" w:hAnsi="Calibri" w:cs="Calibri"/>
          <w:color w:val="000000"/>
        </w:rPr>
        <w:t xml:space="preserve">. </w:t>
      </w:r>
      <w:r>
        <w:rPr>
          <w:rFonts w:ascii="Calibri" w:eastAsia="Calibri" w:hAnsi="Calibri" w:cs="Calibri"/>
          <w:color w:val="000000"/>
        </w:rPr>
        <w:t xml:space="preserve">Additional datasets </w:t>
      </w:r>
      <w:r w:rsidR="00453F4D">
        <w:rPr>
          <w:rFonts w:ascii="Calibri" w:eastAsia="Calibri" w:hAnsi="Calibri" w:cs="Calibri"/>
          <w:color w:val="000000"/>
        </w:rPr>
        <w:t>used to identify risk-adjustment factors:</w:t>
      </w:r>
    </w:p>
    <w:p w14:paraId="08EE0323" w14:textId="77777777"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pPr>
      <w:r>
        <w:rPr>
          <w:rFonts w:ascii="Calibri" w:eastAsia="Times New Roman" w:hAnsi="Calibri" w:cs="Times New Roman"/>
        </w:rPr>
        <w:t xml:space="preserve">- </w:t>
      </w:r>
      <w:r w:rsidRPr="002F15C8">
        <w:rPr>
          <w:rFonts w:ascii="Calibri" w:eastAsia="Times New Roman" w:hAnsi="Calibri" w:cs="Times New Roman"/>
          <w:u w:val="single"/>
        </w:rPr>
        <w:t>Social risk factors</w:t>
      </w:r>
      <w:r>
        <w:rPr>
          <w:rFonts w:ascii="Calibri" w:eastAsia="Times New Roman" w:hAnsi="Calibri" w:cs="Times New Roman"/>
        </w:rPr>
        <w:t xml:space="preserve">: </w:t>
      </w:r>
      <w:r w:rsidRPr="002D6112">
        <w:t xml:space="preserve">The </w:t>
      </w:r>
      <w:r w:rsidRPr="002D6112">
        <w:rPr>
          <w:u w:val="single"/>
        </w:rPr>
        <w:t>social risk factors</w:t>
      </w:r>
      <w:r w:rsidRPr="002D6112">
        <w:t xml:space="preserve"> for analysis and the data sources used to define them were as follows: </w:t>
      </w:r>
    </w:p>
    <w:p w14:paraId="2DFB0E83" w14:textId="1F7A30D3"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pPr>
      <w:r>
        <w:t xml:space="preserve">1) </w:t>
      </w:r>
      <w:r w:rsidRPr="002D6112">
        <w:t>Medicare/Medica</w:t>
      </w:r>
      <w:r w:rsidR="00591109">
        <w:t>id dual-eligibility status: 2017-2018</w:t>
      </w:r>
      <w:r w:rsidRPr="002D6112">
        <w:t xml:space="preserve"> Medicare </w:t>
      </w:r>
      <w:r w:rsidR="009E2C9D">
        <w:t>Enrollment Database (EDB) Demographic/Enrollment files</w:t>
      </w:r>
      <w:r w:rsidRPr="002D6112">
        <w:t>.</w:t>
      </w:r>
      <w:r>
        <w:t xml:space="preserve"> </w:t>
      </w:r>
    </w:p>
    <w:p w14:paraId="1368854B" w14:textId="6F65DF3F"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pPr>
      <w:r>
        <w:t xml:space="preserve">2) </w:t>
      </w:r>
      <w:r w:rsidRPr="002D6112">
        <w:t>Agency for Healthcare Research Quality (AHRQ) Socioe</w:t>
      </w:r>
      <w:r w:rsidR="00591109">
        <w:t>conomic Status (SES) Index: 2013-2017</w:t>
      </w:r>
      <w:r w:rsidRPr="002D6112">
        <w:t xml:space="preserve"> American Community Survey </w:t>
      </w:r>
      <w:r>
        <w:t>(</w:t>
      </w:r>
      <w:r w:rsidRPr="002D6112">
        <w:t>ACS).</w:t>
      </w:r>
      <w:r>
        <w:t xml:space="preserve"> </w:t>
      </w:r>
    </w:p>
    <w:p w14:paraId="2BCE4F96" w14:textId="77777777"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pPr>
      <w:r>
        <w:t xml:space="preserve">3) </w:t>
      </w:r>
      <w:r w:rsidRPr="002D6112">
        <w:t>Rural residence: 2014 United States Department of Agriculture Economic Research Service.</w:t>
      </w:r>
      <w:r>
        <w:t xml:space="preserve"> </w:t>
      </w:r>
    </w:p>
    <w:p w14:paraId="24CFEFF5" w14:textId="6BC32459"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pPr>
      <w:r>
        <w:t>4) Primary care provider (</w:t>
      </w:r>
      <w:r w:rsidRPr="002D6112">
        <w:t>PCP</w:t>
      </w:r>
      <w:r>
        <w:t>)</w:t>
      </w:r>
      <w:r w:rsidRPr="002D6112">
        <w:t xml:space="preserve"> and </w:t>
      </w:r>
      <w:r>
        <w:t>cardiologist</w:t>
      </w:r>
      <w:r w:rsidR="00591109">
        <w:t xml:space="preserve"> density variables: 2016</w:t>
      </w:r>
      <w:r w:rsidRPr="002D6112">
        <w:t xml:space="preserve"> Area Health Resources File (AHRF).</w:t>
      </w:r>
    </w:p>
    <w:p w14:paraId="16050900" w14:textId="63FB5BA8"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A3702F7" w14:textId="0B9E40D5"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Pr>
          <w:rFonts w:cstheme="minorHAnsi"/>
        </w:rPr>
        <w:t>B</w:t>
      </w:r>
      <w:r w:rsidRPr="00A77D36">
        <w:rPr>
          <w:rFonts w:cstheme="minorHAnsi"/>
        </w:rPr>
        <w:t xml:space="preserve">elow, we refer to the final analytic sample for measure development as the </w:t>
      </w:r>
      <w:r w:rsidR="00F96797">
        <w:rPr>
          <w:rFonts w:cstheme="minorHAnsi"/>
        </w:rPr>
        <w:t>Q4 2017 – Q3 2018</w:t>
      </w:r>
      <w:r w:rsidRPr="00820DA1">
        <w:rPr>
          <w:rFonts w:cstheme="minorHAnsi"/>
        </w:rPr>
        <w:t xml:space="preserve"> Medicare </w:t>
      </w:r>
      <w:r>
        <w:rPr>
          <w:rFonts w:cstheme="minorHAnsi"/>
        </w:rPr>
        <w:t>HF</w:t>
      </w:r>
      <w:r w:rsidRPr="00820DA1">
        <w:rPr>
          <w:rFonts w:cstheme="minorHAnsi"/>
        </w:rPr>
        <w:t xml:space="preserve"> Full Sample</w:t>
      </w:r>
      <w:r w:rsidRPr="00A77D36">
        <w:rPr>
          <w:rFonts w:cstheme="minorHAnsi"/>
        </w:rPr>
        <w:t>.</w:t>
      </w:r>
      <w:r>
        <w:rPr>
          <w:rFonts w:cstheme="minorHAnsi"/>
        </w:rPr>
        <w:t xml:space="preserve"> </w:t>
      </w:r>
      <w:r>
        <w:t xml:space="preserve">For development and testing of the patient-level model, we randomly split the </w:t>
      </w:r>
      <w:r w:rsidR="00F96797">
        <w:rPr>
          <w:rFonts w:cstheme="minorHAnsi"/>
        </w:rPr>
        <w:t>Q4 2017 – Q3 2018</w:t>
      </w:r>
      <w:r w:rsidR="00F96797" w:rsidRPr="00820DA1">
        <w:rPr>
          <w:rFonts w:cstheme="minorHAnsi"/>
        </w:rPr>
        <w:t xml:space="preserve"> </w:t>
      </w:r>
      <w:r>
        <w:t>Medicare HF Full Sample into Development and Validation samples.</w:t>
      </w:r>
    </w:p>
    <w:p w14:paraId="0B799FE4" w14:textId="77777777" w:rsidR="00F314A4" w:rsidRPr="005F11F9"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3F79F5B" w14:textId="2E11CDD9" w:rsidR="00F314A4" w:rsidRDefault="00F314A4" w:rsidP="00F314A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5F11F9">
        <w:rPr>
          <w:rFonts w:ascii="Calibri" w:eastAsia="Calibri" w:hAnsi="Calibri" w:cs="Calibri"/>
          <w:color w:val="000000"/>
        </w:rPr>
        <w:t>We developed the measure using years that included</w:t>
      </w:r>
      <w:r w:rsidR="002A79D1">
        <w:rPr>
          <w:rFonts w:ascii="Calibri" w:eastAsia="Calibri" w:hAnsi="Calibri" w:cs="Calibri"/>
          <w:color w:val="000000"/>
        </w:rPr>
        <w:t xml:space="preserve"> data based on</w:t>
      </w:r>
      <w:r w:rsidRPr="005F11F9">
        <w:rPr>
          <w:rFonts w:ascii="Calibri" w:eastAsia="Calibri" w:hAnsi="Calibri" w:cs="Calibri"/>
          <w:color w:val="000000"/>
        </w:rPr>
        <w:t xml:space="preserve"> International Classification of Diseases, Tenth </w:t>
      </w:r>
      <w:r w:rsidRPr="008B6D85">
        <w:rPr>
          <w:rFonts w:ascii="Calibri" w:eastAsia="Calibri" w:hAnsi="Calibri" w:cs="Calibri"/>
          <w:color w:val="000000"/>
        </w:rPr>
        <w:t>Revision, Clinical</w:t>
      </w:r>
      <w:r w:rsidR="00F96797">
        <w:rPr>
          <w:rFonts w:ascii="Calibri" w:eastAsia="Calibri" w:hAnsi="Calibri" w:cs="Calibri"/>
          <w:color w:val="000000"/>
        </w:rPr>
        <w:t xml:space="preserve"> Modification (ICD-10-CM) codes, </w:t>
      </w:r>
      <w:r w:rsidRPr="008B6D85">
        <w:rPr>
          <w:rFonts w:ascii="Calibri" w:eastAsia="Calibri" w:hAnsi="Calibri" w:cs="Calibri"/>
          <w:color w:val="000000"/>
        </w:rPr>
        <w:t>as provided in the accompanying data dictionary.</w:t>
      </w:r>
    </w:p>
    <w:p w14:paraId="36CD4E70" w14:textId="7D4700EA"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27FB163B" w14:textId="66716F07" w:rsidR="00453F4D" w:rsidRDefault="00453F4D" w:rsidP="00453F4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See Section 1.7 for details.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961DBE4"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Calibri" w:eastAsia="Calibri" w:hAnsi="Calibri" w:cs="Calibri"/>
            <w:color w:val="000000"/>
            <w:shd w:val="clear" w:color="auto" w:fill="E6E6E6"/>
          </w:rPr>
          <w:id w:val="950514773"/>
          <w:text/>
        </w:sdtPr>
        <w:sdtContent>
          <w:r w:rsidR="00784702">
            <w:rPr>
              <w:rFonts w:ascii="Calibri" w:eastAsia="Calibri" w:hAnsi="Calibri" w:cs="Calibri"/>
              <w:color w:val="000000"/>
            </w:rPr>
            <w:t>October 1, 2015 through</w:t>
          </w:r>
          <w:r w:rsidR="00784702" w:rsidRPr="00784702">
            <w:rPr>
              <w:rFonts w:ascii="Calibri" w:eastAsia="Calibri" w:hAnsi="Calibri" w:cs="Calibri"/>
              <w:color w:val="000000"/>
            </w:rPr>
            <w:t xml:space="preserve"> September 30, 2018.</w:t>
          </w:r>
        </w:sdtContent>
      </w:sdt>
    </w:p>
    <w:p w14:paraId="27F1AF82" w14:textId="79A91629" w:rsidR="001B3D17" w:rsidRPr="00CB118B" w:rsidRDefault="001B3D17" w:rsidP="001B3D17">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bCs/>
          <w:color w:val="000000"/>
        </w:rPr>
      </w:pPr>
      <w:r w:rsidRPr="00BF6266">
        <w:rPr>
          <w:rFonts w:ascii="Calibri" w:eastAsia="Calibri" w:hAnsi="Calibri" w:cs="Calibri"/>
          <w:bCs/>
          <w:color w:val="000000"/>
        </w:rPr>
        <w:t xml:space="preserve">The dates of the data vary by testing type. </w:t>
      </w:r>
      <w:r>
        <w:rPr>
          <w:rFonts w:ascii="Calibri" w:eastAsia="Calibri" w:hAnsi="Calibri" w:cs="Calibri"/>
          <w:bCs/>
          <w:color w:val="000000"/>
        </w:rPr>
        <w:t>Our data spanned from October 1, 2015 – September 30, 2018</w:t>
      </w:r>
      <w:r w:rsidRPr="00BF6266">
        <w:rPr>
          <w:rFonts w:ascii="Calibri" w:eastAsia="Calibri" w:hAnsi="Calibri" w:cs="Calibri"/>
          <w:bCs/>
          <w:color w:val="000000"/>
        </w:rPr>
        <w:t>. More information is provided in Section 1.7.</w:t>
      </w:r>
      <w:r w:rsidRPr="00D41E98">
        <w:rPr>
          <w:sz w:val="20"/>
          <w:szCs w:val="20"/>
        </w:rPr>
        <w:tab/>
      </w:r>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6C5BBF22"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447514278"/>
                <w14:checkbox>
                  <w14:checked w14:val="1"/>
                  <w14:checkedState w14:val="2612" w14:font="MS Gothic"/>
                  <w14:uncheckedState w14:val="2610" w14:font="MS Gothic"/>
                </w14:checkbox>
              </w:sdtPr>
              <w:sdtContent>
                <w:r w:rsidR="00784702">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1E66942A"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1571624283"/>
                <w14:checkbox>
                  <w14:checked w14:val="1"/>
                  <w14:checkedState w14:val="2612" w14:font="MS Gothic"/>
                  <w14:uncheckedState w14:val="2610" w14:font="MS Gothic"/>
                </w14:checkbox>
              </w:sdtPr>
              <w:sdtContent>
                <w:r w:rsidR="00784702">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6D7C9481"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834455086"/>
                <w14:checkbox>
                  <w14:checked w14:val="1"/>
                  <w14:checkedState w14:val="2612" w14:font="MS Gothic"/>
                  <w14:uncheckedState w14:val="2610" w14:font="MS Gothic"/>
                </w14:checkbox>
              </w:sdtPr>
              <w:sdtContent>
                <w:r w:rsidR="0078470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4A6602E3"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412627602"/>
                <w14:checkbox>
                  <w14:checked w14:val="1"/>
                  <w14:checkedState w14:val="2612" w14:font="MS Gothic"/>
                  <w14:uncheckedState w14:val="2610" w14:font="MS Gothic"/>
                </w14:checkbox>
              </w:sdtPr>
              <w:sdtContent>
                <w:r w:rsidR="0078470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6A5297" w:rsidP="00D61410">
            <w:pPr>
              <w:autoSpaceDE w:val="0"/>
              <w:autoSpaceDN w:val="0"/>
              <w:adjustRightInd w:val="0"/>
              <w:rPr>
                <w:rFonts w:cstheme="minorHAnsi"/>
                <w:bCs/>
              </w:rPr>
            </w:pPr>
            <w:sdt>
              <w:sdtPr>
                <w:rPr>
                  <w:rFonts w:cstheme="minorHAnsi"/>
                  <w:bCs/>
                  <w:color w:val="0000FF"/>
                  <w:shd w:val="clear" w:color="auto" w:fill="E6E6E6"/>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2A8C4C4"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784702">
        <w:rPr>
          <w:rFonts w:cstheme="minorHAnsi"/>
          <w:bCs/>
        </w:rPr>
        <w:br/>
      </w:r>
    </w:p>
    <w:p w14:paraId="37A362ED" w14:textId="75202A3F" w:rsidR="009902CB" w:rsidRDefault="002A79D1" w:rsidP="009902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t xml:space="preserve">Measured entities were </w:t>
      </w:r>
      <w:r w:rsidR="002B1EA4">
        <w:t>TIN-</w:t>
      </w:r>
      <w:r w:rsidR="009902CB">
        <w:t>based groups/practices, which can includ</w:t>
      </w:r>
      <w:r w:rsidR="002B1EA4">
        <w:t>e individual clinicians</w:t>
      </w:r>
      <w:r>
        <w:t xml:space="preserve"> or groups of clinician</w:t>
      </w:r>
      <w:r w:rsidR="00655551">
        <w:t>s</w:t>
      </w:r>
      <w:r w:rsidR="002B1EA4">
        <w:t>, in MIPS</w:t>
      </w:r>
      <w:r w:rsidR="009902CB">
        <w:t>. The number of measured entities varies by testing type; see Section 1.7 for details.</w:t>
      </w:r>
    </w:p>
    <w:p w14:paraId="570C03C6" w14:textId="5F227A3B" w:rsidR="00784702" w:rsidRPr="00A25024" w:rsidRDefault="00784702" w:rsidP="00DB3627">
      <w:pPr>
        <w:autoSpaceDE w:val="0"/>
        <w:autoSpaceDN w:val="0"/>
        <w:adjustRightInd w:val="0"/>
        <w:spacing w:after="0" w:line="240" w:lineRule="auto"/>
        <w:rPr>
          <w:rFonts w:cstheme="minorHAnsi"/>
          <w:bCs/>
        </w:rPr>
      </w:pPr>
    </w:p>
    <w:p w14:paraId="0CABCFC9" w14:textId="48B8079E" w:rsidR="007422FD"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4E7DDE56" w14:textId="49373660" w:rsidR="00784702" w:rsidRDefault="00784702" w:rsidP="0078470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t>The number of patients varies by testing type; see Section 1.7 for details.</w:t>
      </w:r>
    </w:p>
    <w:p w14:paraId="57091E99" w14:textId="77777777" w:rsidR="00784702" w:rsidRDefault="00784702"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662DD3F8" w:rsidR="00E37E1B" w:rsidRDefault="00E37E1B" w:rsidP="00E37E1B">
      <w:pPr>
        <w:autoSpaceDE w:val="0"/>
        <w:autoSpaceDN w:val="0"/>
        <w:adjustRightInd w:val="0"/>
        <w:spacing w:after="0" w:line="240" w:lineRule="auto"/>
        <w:rPr>
          <w:rFonts w:cstheme="minorHAnsi"/>
          <w:bCs/>
        </w:rPr>
      </w:pPr>
    </w:p>
    <w:p w14:paraId="633282B0" w14:textId="50D05BA8"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5F11F9">
        <w:rPr>
          <w:rFonts w:ascii="Calibri" w:eastAsia="Calibri" w:hAnsi="Calibri" w:cs="Calibri"/>
          <w:color w:val="000000"/>
        </w:rPr>
        <w:t xml:space="preserve">For </w:t>
      </w:r>
      <w:r>
        <w:rPr>
          <w:rFonts w:ascii="Calibri" w:eastAsia="Calibri" w:hAnsi="Calibri" w:cs="Calibri"/>
          <w:color w:val="000000"/>
        </w:rPr>
        <w:t>measure</w:t>
      </w:r>
      <w:r w:rsidRPr="005F11F9">
        <w:rPr>
          <w:rFonts w:ascii="Calibri" w:eastAsia="Calibri" w:hAnsi="Calibri" w:cs="Calibri"/>
          <w:color w:val="000000"/>
        </w:rPr>
        <w:t xml:space="preserve"> development and </w:t>
      </w:r>
      <w:r>
        <w:rPr>
          <w:rFonts w:ascii="Calibri" w:eastAsia="Calibri" w:hAnsi="Calibri" w:cs="Calibri"/>
          <w:color w:val="000000"/>
        </w:rPr>
        <w:t>testing</w:t>
      </w:r>
      <w:r w:rsidRPr="005F11F9">
        <w:rPr>
          <w:rFonts w:ascii="Calibri" w:eastAsia="Calibri" w:hAnsi="Calibri" w:cs="Calibri"/>
          <w:color w:val="000000"/>
        </w:rPr>
        <w:t xml:space="preserve">, we used Medicare </w:t>
      </w:r>
      <w:r>
        <w:rPr>
          <w:rFonts w:ascii="Calibri" w:eastAsia="Calibri" w:hAnsi="Calibri" w:cs="Calibri"/>
          <w:color w:val="000000"/>
        </w:rPr>
        <w:t>Fee-for-Service (</w:t>
      </w:r>
      <w:r w:rsidRPr="005F11F9">
        <w:rPr>
          <w:rFonts w:ascii="Calibri" w:eastAsia="Calibri" w:hAnsi="Calibri" w:cs="Calibri"/>
          <w:color w:val="000000"/>
        </w:rPr>
        <w:t>FFS</w:t>
      </w:r>
      <w:r>
        <w:rPr>
          <w:rFonts w:ascii="Calibri" w:eastAsia="Calibri" w:hAnsi="Calibri" w:cs="Calibri"/>
          <w:color w:val="000000"/>
        </w:rPr>
        <w:t>)</w:t>
      </w:r>
      <w:r w:rsidRPr="005F11F9">
        <w:rPr>
          <w:rFonts w:ascii="Calibri" w:eastAsia="Calibri" w:hAnsi="Calibri" w:cs="Calibri"/>
          <w:color w:val="000000"/>
        </w:rPr>
        <w:t xml:space="preserve"> administrative claims </w:t>
      </w:r>
      <w:r>
        <w:rPr>
          <w:rFonts w:ascii="Calibri" w:eastAsia="Calibri" w:hAnsi="Calibri" w:cs="Calibri"/>
          <w:color w:val="000000"/>
        </w:rPr>
        <w:t xml:space="preserve">data (Parts A and B) </w:t>
      </w:r>
      <w:r w:rsidRPr="005F11F9">
        <w:rPr>
          <w:rFonts w:ascii="Calibri" w:eastAsia="Calibri" w:hAnsi="Calibri" w:cs="Calibri"/>
          <w:color w:val="000000"/>
        </w:rPr>
        <w:t xml:space="preserve">and </w:t>
      </w:r>
      <w:r>
        <w:rPr>
          <w:rFonts w:ascii="Calibri" w:eastAsia="Calibri" w:hAnsi="Calibri" w:cs="Calibri"/>
          <w:color w:val="000000"/>
        </w:rPr>
        <w:t>the Medicare Enrollment Database (EDB)</w:t>
      </w:r>
      <w:r w:rsidRPr="005F11F9">
        <w:rPr>
          <w:rFonts w:ascii="Calibri" w:eastAsia="Calibri" w:hAnsi="Calibri" w:cs="Calibri"/>
          <w:color w:val="000000"/>
        </w:rPr>
        <w:t xml:space="preserve"> from </w:t>
      </w:r>
      <w:r>
        <w:rPr>
          <w:rFonts w:ascii="Calibri" w:eastAsia="Calibri" w:hAnsi="Calibri" w:cs="Calibri"/>
          <w:color w:val="000000"/>
        </w:rPr>
        <w:t>performance periods October 1, 2015</w:t>
      </w:r>
      <w:r w:rsidRPr="005F11F9">
        <w:rPr>
          <w:rFonts w:ascii="Calibri" w:eastAsia="Calibri" w:hAnsi="Calibri" w:cs="Calibri"/>
          <w:color w:val="000000"/>
        </w:rPr>
        <w:t xml:space="preserve"> </w:t>
      </w:r>
      <w:r w:rsidR="002A79D1">
        <w:rPr>
          <w:rFonts w:ascii="Calibri" w:eastAsia="Calibri" w:hAnsi="Calibri" w:cs="Calibri"/>
          <w:color w:val="000000"/>
        </w:rPr>
        <w:t xml:space="preserve">(Q4) </w:t>
      </w:r>
      <w:r w:rsidRPr="005F11F9">
        <w:rPr>
          <w:rFonts w:ascii="Calibri" w:eastAsia="Calibri" w:hAnsi="Calibri" w:cs="Calibri"/>
          <w:color w:val="000000"/>
        </w:rPr>
        <w:t xml:space="preserve">through </w:t>
      </w:r>
      <w:r>
        <w:rPr>
          <w:rFonts w:ascii="Calibri" w:eastAsia="Calibri" w:hAnsi="Calibri" w:cs="Calibri"/>
          <w:color w:val="000000"/>
        </w:rPr>
        <w:t>September 30, 2018</w:t>
      </w:r>
      <w:r w:rsidR="002A79D1">
        <w:rPr>
          <w:rFonts w:ascii="Calibri" w:eastAsia="Calibri" w:hAnsi="Calibri" w:cs="Calibri"/>
          <w:color w:val="000000"/>
        </w:rPr>
        <w:t xml:space="preserve"> (Q3)</w:t>
      </w:r>
      <w:r>
        <w:rPr>
          <w:rFonts w:ascii="Calibri" w:eastAsia="Calibri" w:hAnsi="Calibri" w:cs="Calibri"/>
          <w:color w:val="000000"/>
        </w:rPr>
        <w:t>, as well as additional datasets specified above in Section 1.2.</w:t>
      </w:r>
    </w:p>
    <w:p w14:paraId="2A7FBE08" w14:textId="77777777"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72B3899F" w14:textId="77777777" w:rsidR="00A30C19" w:rsidRPr="00C32BC5"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C32BC5">
        <w:rPr>
          <w:rFonts w:ascii="Calibri" w:eastAsia="Calibri" w:hAnsi="Calibri" w:cs="Calibri"/>
          <w:color w:val="000000"/>
        </w:rPr>
        <w:t>The dat</w:t>
      </w:r>
      <w:r>
        <w:rPr>
          <w:rFonts w:ascii="Calibri" w:eastAsia="Calibri" w:hAnsi="Calibri" w:cs="Calibri"/>
          <w:color w:val="000000"/>
        </w:rPr>
        <w:t>a</w:t>
      </w:r>
      <w:r w:rsidRPr="00C32BC5">
        <w:rPr>
          <w:rFonts w:ascii="Calibri" w:eastAsia="Calibri" w:hAnsi="Calibri" w:cs="Calibri"/>
          <w:color w:val="000000"/>
        </w:rPr>
        <w:t>sets, dates</w:t>
      </w:r>
      <w:r>
        <w:rPr>
          <w:rFonts w:ascii="Calibri" w:eastAsia="Calibri" w:hAnsi="Calibri" w:cs="Calibri"/>
          <w:color w:val="000000"/>
        </w:rPr>
        <w:t xml:space="preserve">, </w:t>
      </w:r>
      <w:r w:rsidRPr="00C32BC5">
        <w:rPr>
          <w:rFonts w:ascii="Calibri" w:eastAsia="Calibri" w:hAnsi="Calibri" w:cs="Calibri"/>
          <w:color w:val="000000"/>
        </w:rPr>
        <w:t xml:space="preserve">number of measured entities, number of patients, </w:t>
      </w:r>
      <w:r>
        <w:rPr>
          <w:rFonts w:ascii="Calibri" w:eastAsia="Calibri" w:hAnsi="Calibri" w:cs="Calibri"/>
          <w:color w:val="000000"/>
        </w:rPr>
        <w:t xml:space="preserve">and </w:t>
      </w:r>
      <w:r w:rsidRPr="00C32BC5">
        <w:rPr>
          <w:rFonts w:ascii="Calibri" w:eastAsia="Calibri" w:hAnsi="Calibri" w:cs="Calibri"/>
          <w:color w:val="000000"/>
        </w:rPr>
        <w:t>demographic profile for the patients used in each type of testing are included below.</w:t>
      </w:r>
    </w:p>
    <w:p w14:paraId="6CB39C1C" w14:textId="77777777"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729BBCC" w14:textId="4F0768F9" w:rsidR="00784702"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The primary dataset used for testing was what we have called the “</w:t>
      </w:r>
      <w:r w:rsidR="00603568" w:rsidRPr="00603568">
        <w:rPr>
          <w:rFonts w:cstheme="minorHAnsi"/>
        </w:rPr>
        <w:t>Q4 2017 – Q3 2018 Medicare HF Full Sample</w:t>
      </w:r>
      <w:r w:rsidRPr="00603568">
        <w:rPr>
          <w:rFonts w:ascii="Calibri" w:eastAsia="Calibri" w:hAnsi="Calibri" w:cs="Calibri"/>
          <w:color w:val="000000"/>
        </w:rPr>
        <w:t xml:space="preserve">.” </w:t>
      </w:r>
      <w:r>
        <w:rPr>
          <w:rFonts w:ascii="Calibri" w:eastAsia="Calibri" w:hAnsi="Calibri" w:cs="Calibri"/>
          <w:color w:val="000000"/>
        </w:rPr>
        <w:t xml:space="preserve">This includes eligible patients who were attributed to a MIPS-eligible </w:t>
      </w:r>
      <w:r w:rsidR="001F3F6A">
        <w:rPr>
          <w:rFonts w:ascii="Calibri" w:eastAsia="Calibri" w:hAnsi="Calibri" w:cs="Calibri"/>
          <w:color w:val="000000"/>
        </w:rPr>
        <w:t>provider</w:t>
      </w:r>
      <w:r>
        <w:rPr>
          <w:rFonts w:ascii="Calibri" w:eastAsia="Calibri" w:hAnsi="Calibri" w:cs="Calibri"/>
          <w:color w:val="000000"/>
        </w:rPr>
        <w:t>.</w:t>
      </w:r>
      <w:r w:rsidDel="00635D28">
        <w:rPr>
          <w:rFonts w:ascii="Calibri" w:eastAsia="Calibri" w:hAnsi="Calibri" w:cs="Calibri"/>
          <w:color w:val="000000"/>
        </w:rPr>
        <w:t xml:space="preserve"> </w:t>
      </w:r>
    </w:p>
    <w:p w14:paraId="3ED6EF3A" w14:textId="61EAFE25"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4737A522" w14:textId="03E13E0C" w:rsidR="00A30C19" w:rsidRPr="00F96797"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u w:val="single"/>
        </w:rPr>
      </w:pPr>
      <w:r w:rsidRPr="00CB118B">
        <w:rPr>
          <w:rFonts w:ascii="Calibri" w:eastAsia="Calibri" w:hAnsi="Calibri" w:cs="Calibri"/>
          <w:color w:val="000000"/>
          <w:u w:val="single"/>
        </w:rPr>
        <w:t>1</w:t>
      </w:r>
      <w:r w:rsidRPr="00F96797">
        <w:rPr>
          <w:rFonts w:ascii="Calibri" w:eastAsia="Calibri" w:hAnsi="Calibri" w:cs="Calibri"/>
          <w:color w:val="000000"/>
          <w:u w:val="single"/>
        </w:rPr>
        <w:t xml:space="preserve">. </w:t>
      </w:r>
      <w:r w:rsidR="00F96797" w:rsidRPr="00F96797">
        <w:rPr>
          <w:rFonts w:cstheme="minorHAnsi"/>
          <w:u w:val="single"/>
        </w:rPr>
        <w:t>Q4 2017 – Q3 2018 Medicare HF Full Sample</w:t>
      </w:r>
    </w:p>
    <w:p w14:paraId="3CC6F4B9" w14:textId="0DACBBCD"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B118B">
        <w:t xml:space="preserve">-Dates: </w:t>
      </w:r>
      <w:r w:rsidR="00F96797">
        <w:t>October 1, 2017 – September 30, 2018</w:t>
      </w:r>
    </w:p>
    <w:p w14:paraId="37A74236" w14:textId="055AB34E" w:rsidR="00A30C19" w:rsidRPr="00CB118B"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 xml:space="preserve">-Number of clinician groups/practices (TINs): </w:t>
      </w:r>
      <w:r w:rsidR="00F96797">
        <w:t>4</w:t>
      </w:r>
      <w:r w:rsidR="008E4020">
        <w:t>5,093</w:t>
      </w:r>
    </w:p>
    <w:p w14:paraId="26A3E5C3" w14:textId="5BE158D8" w:rsidR="00A30C19" w:rsidRPr="00B1357C"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B118B">
        <w:t>-</w:t>
      </w:r>
      <w:r w:rsidRPr="00B1357C">
        <w:t xml:space="preserve">Number of patients: </w:t>
      </w:r>
      <w:r w:rsidR="00085D3A" w:rsidRPr="00085D3A">
        <w:t>1,855,941</w:t>
      </w:r>
    </w:p>
    <w:p w14:paraId="78B24300" w14:textId="6F1A3BFE" w:rsidR="00A30C19" w:rsidRPr="00CB118B"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B1357C">
        <w:t xml:space="preserve">-Patient demographic and clinical characteristics: The sample was </w:t>
      </w:r>
      <w:r w:rsidR="00B1357C" w:rsidRPr="00B1357C">
        <w:t>51.</w:t>
      </w:r>
      <w:r w:rsidR="00085D3A">
        <w:t>9</w:t>
      </w:r>
      <w:r w:rsidRPr="00B1357C">
        <w:t xml:space="preserve">% female and had an average age of </w:t>
      </w:r>
      <w:r w:rsidR="00B1357C" w:rsidRPr="00B1357C">
        <w:t xml:space="preserve">80 </w:t>
      </w:r>
      <w:r w:rsidR="002B1EA4">
        <w:t>(</w:t>
      </w:r>
      <w:r w:rsidR="00B1357C" w:rsidRPr="00B1357C">
        <w:t>±8</w:t>
      </w:r>
      <w:r w:rsidRPr="00B1357C">
        <w:t xml:space="preserve"> years</w:t>
      </w:r>
      <w:r w:rsidR="002B1EA4">
        <w:t>)</w:t>
      </w:r>
      <w:r w:rsidRPr="00B1357C">
        <w:t>.</w:t>
      </w:r>
      <w:r w:rsidRPr="00CB118B">
        <w:t xml:space="preserve"> </w:t>
      </w:r>
    </w:p>
    <w:p w14:paraId="69C15D0B" w14:textId="6284C613" w:rsidR="00A30C19" w:rsidRPr="00CB118B"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B118B">
        <w:t>-</w:t>
      </w:r>
      <w:r>
        <w:t>Dataset u</w:t>
      </w:r>
      <w:r w:rsidRPr="00CB118B">
        <w:t>se</w:t>
      </w:r>
      <w:r>
        <w:t>d for</w:t>
      </w:r>
      <w:r w:rsidRPr="00CB118B">
        <w:t>:</w:t>
      </w:r>
      <w:r>
        <w:t xml:space="preserve"> disparities testing (Section 2b3), and</w:t>
      </w:r>
      <w:r w:rsidRPr="00CB118B">
        <w:t xml:space="preserve"> </w:t>
      </w:r>
      <w:r>
        <w:t>m</w:t>
      </w:r>
      <w:r w:rsidRPr="00CB118B">
        <w:t>easure development and testing</w:t>
      </w:r>
      <w:r>
        <w:t xml:space="preserve"> (Sections 2b3.3a, 2b3.6, 2b4.2)</w:t>
      </w:r>
    </w:p>
    <w:p w14:paraId="3A1B6D8D" w14:textId="77777777" w:rsidR="00A30C19" w:rsidRPr="00CB118B"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9468C0B" w14:textId="77777777" w:rsidR="00A30C19" w:rsidRPr="00CB118B"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CB118B">
        <w:rPr>
          <w:u w:val="single"/>
        </w:rPr>
        <w:t>2. Development and Validation Samples</w:t>
      </w:r>
    </w:p>
    <w:p w14:paraId="32776953" w14:textId="3A1F66E6" w:rsidR="00A30C19" w:rsidRPr="00CB118B"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B118B">
        <w:t xml:space="preserve">For development and testing of the patient-level model, we randomly split the </w:t>
      </w:r>
      <w:r w:rsidR="00603568" w:rsidRPr="00603568">
        <w:rPr>
          <w:rFonts w:cstheme="minorHAnsi"/>
        </w:rPr>
        <w:t>Q4 2017 – Q3 2018 Medicare HF Full Sample</w:t>
      </w:r>
      <w:r w:rsidRPr="00CB118B">
        <w:t xml:space="preserve"> into Development and Validation samples. The Development Sample included a random 50% sample, and the Validation Sample included the remaining </w:t>
      </w:r>
      <w:r w:rsidR="00B46466">
        <w:t>50</w:t>
      </w:r>
      <w:r w:rsidRPr="00CB118B">
        <w:t xml:space="preserve">% of </w:t>
      </w:r>
      <w:r w:rsidR="00B46466">
        <w:t>HF</w:t>
      </w:r>
      <w:r w:rsidRPr="00CB118B">
        <w:t xml:space="preserve"> patients not selected into the Development Sample.</w:t>
      </w:r>
    </w:p>
    <w:p w14:paraId="2A105B23" w14:textId="77777777"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50851A37" w14:textId="77777777"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
        </w:rPr>
      </w:pPr>
      <w:r w:rsidRPr="008E4020">
        <w:rPr>
          <w:i/>
        </w:rPr>
        <w:t>Development Sample</w:t>
      </w:r>
    </w:p>
    <w:p w14:paraId="67551590" w14:textId="77777777" w:rsidR="00603568"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 xml:space="preserve">-Dates: </w:t>
      </w:r>
      <w:r w:rsidR="00603568" w:rsidRPr="008E4020">
        <w:t>October 1, 2017 – September 30, 2018</w:t>
      </w:r>
    </w:p>
    <w:p w14:paraId="7890D0D3" w14:textId="45EE6DD8"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 xml:space="preserve">-Number of patients: </w:t>
      </w:r>
      <w:r w:rsidR="008E4020" w:rsidRPr="008E4020">
        <w:rPr>
          <w:rFonts w:eastAsia="Times New Roman" w:cs="Calibri"/>
          <w:bCs/>
        </w:rPr>
        <w:t>927,971</w:t>
      </w:r>
    </w:p>
    <w:p w14:paraId="66A82D47" w14:textId="5C7C8432"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-Patient demographic and clinical characteristics: The sample was 5</w:t>
      </w:r>
      <w:r w:rsidR="0030220A" w:rsidRPr="008E4020">
        <w:t>1.</w:t>
      </w:r>
      <w:r w:rsidR="00D81B26">
        <w:t>9</w:t>
      </w:r>
      <w:r w:rsidRPr="008E4020">
        <w:t xml:space="preserve">% female and had an average age of </w:t>
      </w:r>
      <w:r w:rsidR="0030220A" w:rsidRPr="008E4020">
        <w:t xml:space="preserve">80 </w:t>
      </w:r>
      <w:r w:rsidR="00603568" w:rsidRPr="008E4020">
        <w:t>(±</w:t>
      </w:r>
      <w:r w:rsidR="0030220A" w:rsidRPr="008E4020">
        <w:t xml:space="preserve">8 </w:t>
      </w:r>
      <w:r w:rsidRPr="008E4020">
        <w:t>years</w:t>
      </w:r>
      <w:r w:rsidR="00603568" w:rsidRPr="008E4020">
        <w:t>)</w:t>
      </w:r>
      <w:r w:rsidRPr="008E4020">
        <w:t xml:space="preserve">. </w:t>
      </w:r>
    </w:p>
    <w:p w14:paraId="5CDDFC18" w14:textId="77777777"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-Dataset used for: Selection of demographic and clinical variables and model performance testing</w:t>
      </w:r>
    </w:p>
    <w:p w14:paraId="4B1D15DC" w14:textId="77777777"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35DC7D67" w14:textId="77777777"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
        </w:rPr>
      </w:pPr>
      <w:r w:rsidRPr="008E4020">
        <w:rPr>
          <w:i/>
        </w:rPr>
        <w:t>Validation Sample</w:t>
      </w:r>
    </w:p>
    <w:p w14:paraId="66C3A225" w14:textId="318D2D74"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 xml:space="preserve">-Dates: </w:t>
      </w:r>
      <w:r w:rsidR="00603568" w:rsidRPr="008E4020">
        <w:t>October 1, 2017 – September 30, 2018</w:t>
      </w:r>
    </w:p>
    <w:p w14:paraId="7A305B73" w14:textId="41F0BA3D"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-Number of patients:</w:t>
      </w:r>
      <w:r w:rsidR="008E4020" w:rsidRPr="008E4020">
        <w:rPr>
          <w:rFonts w:eastAsia="Times New Roman" w:cs="Calibri"/>
          <w:bCs/>
        </w:rPr>
        <w:t xml:space="preserve"> 927,970</w:t>
      </w:r>
    </w:p>
    <w:p w14:paraId="2C314E34" w14:textId="2FE854FF" w:rsidR="00A30C19" w:rsidRPr="008E4020"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lastRenderedPageBreak/>
        <w:t>-Patient demographic and clinical characteristics: The sample was 5</w:t>
      </w:r>
      <w:r w:rsidR="0030220A" w:rsidRPr="008E4020">
        <w:t>1.</w:t>
      </w:r>
      <w:r w:rsidR="00D81B26">
        <w:t>9</w:t>
      </w:r>
      <w:r w:rsidRPr="008E4020">
        <w:t xml:space="preserve">% female and had an average age of </w:t>
      </w:r>
      <w:r w:rsidR="0030220A" w:rsidRPr="008E4020">
        <w:t xml:space="preserve">80 </w:t>
      </w:r>
      <w:r w:rsidR="00603568" w:rsidRPr="008E4020">
        <w:t>(±</w:t>
      </w:r>
      <w:r w:rsidR="0030220A" w:rsidRPr="008E4020">
        <w:t xml:space="preserve">8 </w:t>
      </w:r>
      <w:r w:rsidRPr="008E4020">
        <w:t xml:space="preserve">years). </w:t>
      </w:r>
    </w:p>
    <w:p w14:paraId="7A91EB71" w14:textId="77777777" w:rsidR="00A30C19" w:rsidRPr="000D6F33"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E4020">
        <w:t>-Dataset used for: Model performance testing</w:t>
      </w:r>
    </w:p>
    <w:p w14:paraId="0F24AE48" w14:textId="77777777" w:rsidR="00A30C19" w:rsidRDefault="00A30C19" w:rsidP="00A30C1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0CABCFCC" w14:textId="13168983"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w:t>
      </w:r>
      <w:proofErr w:type="gramStart"/>
      <w:r>
        <w:rPr>
          <w:rFonts w:cstheme="minorHAnsi"/>
          <w:bCs/>
        </w:rPr>
        <w:t>e.g.</w:t>
      </w:r>
      <w:proofErr w:type="gramEnd"/>
      <w:r>
        <w:rPr>
          <w:rFonts w:cstheme="minorHAnsi"/>
          <w:bCs/>
        </w:rPr>
        <w:t xml:space="preserve">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2A61545" w14:textId="188AD821" w:rsidR="009E292A" w:rsidRDefault="009E292A" w:rsidP="00E37E1B">
      <w:pPr>
        <w:autoSpaceDE w:val="0"/>
        <w:autoSpaceDN w:val="0"/>
        <w:adjustRightInd w:val="0"/>
        <w:spacing w:after="0" w:line="240" w:lineRule="auto"/>
        <w:rPr>
          <w:rFonts w:cstheme="minorHAnsi"/>
          <w:bCs/>
        </w:rPr>
      </w:pPr>
    </w:p>
    <w:p w14:paraId="2238107C" w14:textId="76B66A51"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bookmarkStart w:id="11" w:name="_Hlk1602681"/>
      <w:r>
        <w:rPr>
          <w:rFonts w:ascii="Calibri" w:eastAsia="Calibri" w:hAnsi="Calibri" w:cs="Calibri"/>
          <w:color w:val="000000"/>
        </w:rPr>
        <w:t>We developed and used the conceptual framework described in Section 2b3.3a below to select potential social risk factors. Based on our conceptual framew</w:t>
      </w:r>
      <w:r w:rsidR="002B1EA4">
        <w:rPr>
          <w:rFonts w:ascii="Calibri" w:eastAsia="Calibri" w:hAnsi="Calibri" w:cs="Calibri"/>
          <w:color w:val="000000"/>
        </w:rPr>
        <w:t>ork, we analyzed the following five</w:t>
      </w:r>
      <w:r>
        <w:rPr>
          <w:rFonts w:ascii="Calibri" w:eastAsia="Calibri" w:hAnsi="Calibri" w:cs="Calibri"/>
          <w:color w:val="000000"/>
        </w:rPr>
        <w:t xml:space="preserve"> social risk factors:</w:t>
      </w:r>
    </w:p>
    <w:p w14:paraId="5BDD1BBE"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4C7E38CA"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1. Medicare-Medicaid dual-eligibility status</w:t>
      </w:r>
    </w:p>
    <w:p w14:paraId="21558563"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Direct measures of Medicare beneficiaries’ socioeconomic status (SES) are not available. W</w:t>
      </w:r>
      <w:r w:rsidRPr="00AB772B">
        <w:rPr>
          <w:rFonts w:ascii="Calibri" w:eastAsia="Calibri" w:hAnsi="Calibri" w:cs="Calibri"/>
          <w:color w:val="000000"/>
        </w:rPr>
        <w:t>e included the readily available and widely used dual-eligibility status variable as it is a marker of low income and assets.</w:t>
      </w:r>
    </w:p>
    <w:p w14:paraId="68EADEEF"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15776AF7" w14:textId="340E3831"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2. </w:t>
      </w:r>
      <w:r w:rsidR="00FE7D94">
        <w:rPr>
          <w:rFonts w:ascii="Calibri" w:eastAsia="Calibri" w:hAnsi="Calibri" w:cs="Calibri"/>
          <w:color w:val="000000"/>
        </w:rPr>
        <w:t>Agency for Healthcare Research and Quality (</w:t>
      </w:r>
      <w:r>
        <w:rPr>
          <w:rFonts w:ascii="Calibri" w:eastAsia="Calibri" w:hAnsi="Calibri" w:cs="Calibri"/>
          <w:color w:val="000000"/>
        </w:rPr>
        <w:t>AHRQ</w:t>
      </w:r>
      <w:r w:rsidR="00FE7D94">
        <w:rPr>
          <w:rFonts w:ascii="Calibri" w:eastAsia="Calibri" w:hAnsi="Calibri" w:cs="Calibri"/>
          <w:color w:val="000000"/>
        </w:rPr>
        <w:t>)</w:t>
      </w:r>
      <w:r>
        <w:rPr>
          <w:rFonts w:ascii="Calibri" w:eastAsia="Calibri" w:hAnsi="Calibri" w:cs="Calibri"/>
          <w:color w:val="000000"/>
        </w:rPr>
        <w:t xml:space="preserve"> SES Index</w:t>
      </w:r>
    </w:p>
    <w:p w14:paraId="214F4E0A" w14:textId="55BAA9E1"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AB772B">
        <w:rPr>
          <w:rFonts w:ascii="Calibri" w:eastAsia="Calibri" w:hAnsi="Calibri" w:cs="Calibri"/>
          <w:color w:val="000000"/>
        </w:rPr>
        <w:t>The AHRQ SES Index is a widely used variable that summarizes area-level measures of employment, income, education, and housing. Each of the index components is available at the census block level, which we then used to link to patients</w:t>
      </w:r>
      <w:r w:rsidR="00A268FD">
        <w:rPr>
          <w:rFonts w:ascii="Calibri" w:eastAsia="Calibri" w:hAnsi="Calibri" w:cs="Calibri"/>
          <w:color w:val="000000"/>
        </w:rPr>
        <w:t>’</w:t>
      </w:r>
      <w:r w:rsidRPr="00AB772B">
        <w:rPr>
          <w:rFonts w:ascii="Calibri" w:eastAsia="Calibri" w:hAnsi="Calibri" w:cs="Calibri"/>
          <w:color w:val="000000"/>
        </w:rPr>
        <w:t xml:space="preserve"> residence using </w:t>
      </w:r>
      <w:r w:rsidR="002B1EA4">
        <w:rPr>
          <w:rFonts w:ascii="Calibri" w:eastAsia="Calibri" w:hAnsi="Calibri" w:cs="Calibri"/>
          <w:color w:val="000000"/>
        </w:rPr>
        <w:t xml:space="preserve">their </w:t>
      </w:r>
      <w:r w:rsidRPr="00AB772B">
        <w:rPr>
          <w:rFonts w:ascii="Calibri" w:eastAsia="Calibri" w:hAnsi="Calibri" w:cs="Calibri"/>
          <w:color w:val="000000"/>
        </w:rPr>
        <w:t>9-digit ZIP code.</w:t>
      </w:r>
      <w:r>
        <w:rPr>
          <w:rFonts w:ascii="Calibri" w:eastAsia="Calibri" w:hAnsi="Calibri" w:cs="Calibri"/>
          <w:color w:val="000000"/>
        </w:rPr>
        <w:t xml:space="preserve"> Census variables were found in the </w:t>
      </w:r>
      <w:r w:rsidR="00FE7D94">
        <w:rPr>
          <w:rFonts w:ascii="Calibri" w:eastAsia="Calibri" w:hAnsi="Calibri" w:cs="Calibri"/>
          <w:color w:val="000000"/>
        </w:rPr>
        <w:t>American Community Survey (</w:t>
      </w:r>
      <w:r w:rsidR="002B1EA4">
        <w:rPr>
          <w:rFonts w:ascii="Calibri" w:eastAsia="Calibri" w:hAnsi="Calibri" w:cs="Calibri"/>
          <w:color w:val="000000"/>
        </w:rPr>
        <w:t>ACS</w:t>
      </w:r>
      <w:r w:rsidR="00FE7D94">
        <w:rPr>
          <w:rFonts w:ascii="Calibri" w:eastAsia="Calibri" w:hAnsi="Calibri" w:cs="Calibri"/>
          <w:color w:val="000000"/>
        </w:rPr>
        <w:t>)</w:t>
      </w:r>
      <w:r>
        <w:rPr>
          <w:rFonts w:ascii="Calibri" w:eastAsia="Calibri" w:hAnsi="Calibri" w:cs="Calibri"/>
          <w:color w:val="000000"/>
        </w:rPr>
        <w:t>. The AHRQ SES index score summarizes the information from the following variables:</w:t>
      </w:r>
      <w:r>
        <w:t xml:space="preserve"> </w:t>
      </w:r>
    </w:p>
    <w:p w14:paraId="7A7193F8" w14:textId="77777777" w:rsidR="002705D8"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pPr>
      <w:r>
        <w:t xml:space="preserve">percentage of people in the labor force who are unemployed, </w:t>
      </w:r>
    </w:p>
    <w:p w14:paraId="72469617" w14:textId="77777777" w:rsidR="002705D8"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pPr>
      <w:r>
        <w:t xml:space="preserve">percentage of people living below poverty level, </w:t>
      </w:r>
    </w:p>
    <w:p w14:paraId="18F8DA15" w14:textId="77777777" w:rsidR="002705D8"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pPr>
      <w:r>
        <w:t xml:space="preserve">median household income, </w:t>
      </w:r>
    </w:p>
    <w:p w14:paraId="1DD3167F" w14:textId="77777777" w:rsidR="002705D8"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pPr>
      <w:r>
        <w:t xml:space="preserve">median value of owner-occupied dwellings, </w:t>
      </w:r>
    </w:p>
    <w:p w14:paraId="4612C8D3" w14:textId="77777777" w:rsidR="002705D8"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pPr>
      <w:r>
        <w:t>percentage of people ≥25 years of age with less than a 12</w:t>
      </w:r>
      <w:r w:rsidRPr="00A823CF">
        <w:rPr>
          <w:vertAlign w:val="superscript"/>
        </w:rPr>
        <w:t>th</w:t>
      </w:r>
      <w:r>
        <w:t xml:space="preserve"> grade education, </w:t>
      </w:r>
    </w:p>
    <w:p w14:paraId="59AF1374" w14:textId="77777777" w:rsidR="002705D8"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pPr>
      <w:r>
        <w:t xml:space="preserve">percentage of people ≥25 years of age completing ≥4 years of college, and </w:t>
      </w:r>
    </w:p>
    <w:p w14:paraId="2C8A29F3" w14:textId="40B66A7E" w:rsidR="002705D8" w:rsidRPr="000D6F33" w:rsidRDefault="002705D8" w:rsidP="002705D8">
      <w:pPr>
        <w:pStyle w:val="ListParagraph"/>
        <w:numPr>
          <w:ilvl w:val="0"/>
          <w:numId w:val="27"/>
        </w:numPr>
        <w:pBdr>
          <w:top w:val="single" w:sz="4" w:space="1" w:color="auto"/>
          <w:left w:val="single" w:sz="4" w:space="4" w:color="auto"/>
          <w:bottom w:val="single" w:sz="4" w:space="1" w:color="auto"/>
          <w:right w:val="single" w:sz="4" w:space="4" w:color="auto"/>
        </w:pBdr>
        <w:autoSpaceDE w:val="0"/>
        <w:autoSpaceDN w:val="0"/>
        <w:adjustRightInd w:val="0"/>
        <w:rPr>
          <w:rFonts w:ascii="Calibri" w:eastAsia="Calibri" w:hAnsi="Calibri" w:cs="Calibri"/>
          <w:color w:val="000000"/>
        </w:rPr>
      </w:pPr>
      <w:r>
        <w:t xml:space="preserve">percentage of households </w:t>
      </w:r>
      <w:r w:rsidR="002B1EA4">
        <w:t>that average ≥1 people per room</w:t>
      </w:r>
      <w:r>
        <w:t>.</w:t>
      </w:r>
    </w:p>
    <w:p w14:paraId="4B781CD4"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3. Place of residence (rurality)</w:t>
      </w:r>
    </w:p>
    <w:p w14:paraId="59F6CAC7"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W</w:t>
      </w:r>
      <w:r w:rsidRPr="00AB772B">
        <w:rPr>
          <w:rFonts w:ascii="Calibri" w:eastAsia="Calibri" w:hAnsi="Calibri" w:cs="Calibri"/>
          <w:color w:val="000000"/>
        </w:rPr>
        <w:t>e categorized beneficiaries’ place of residence in terms of rurality, given its implications for timely receipt of care and concerns that individuals in more rural areas may suffer delays due to longer travel distance and time and relative lack of providers.</w:t>
      </w:r>
    </w:p>
    <w:p w14:paraId="6BCE255B"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E7C17EE" w14:textId="77777777"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4-5. Provider density</w:t>
      </w:r>
    </w:p>
    <w:p w14:paraId="59AEF9AC" w14:textId="47576C4D" w:rsidR="002705D8" w:rsidRPr="00AB772B"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AB772B">
        <w:rPr>
          <w:rFonts w:ascii="Calibri" w:eastAsia="Calibri" w:hAnsi="Calibri" w:cs="Calibri"/>
          <w:color w:val="000000"/>
        </w:rPr>
        <w:t xml:space="preserve">To </w:t>
      </w:r>
      <w:proofErr w:type="gramStart"/>
      <w:r w:rsidRPr="00AB772B">
        <w:rPr>
          <w:rFonts w:ascii="Calibri" w:eastAsia="Calibri" w:hAnsi="Calibri" w:cs="Calibri"/>
          <w:color w:val="000000"/>
        </w:rPr>
        <w:t>more fully and directly characterize access</w:t>
      </w:r>
      <w:proofErr w:type="gramEnd"/>
      <w:r w:rsidRPr="00AB772B">
        <w:rPr>
          <w:rFonts w:ascii="Calibri" w:eastAsia="Calibri" w:hAnsi="Calibri" w:cs="Calibri"/>
          <w:color w:val="000000"/>
        </w:rPr>
        <w:t xml:space="preserve"> to care, we additionally included as candidate variables two measures of provider density: </w:t>
      </w:r>
      <w:r>
        <w:rPr>
          <w:rFonts w:ascii="Calibri" w:eastAsia="Calibri" w:hAnsi="Calibri" w:cs="Calibri"/>
          <w:color w:val="000000"/>
        </w:rPr>
        <w:t xml:space="preserve">1) </w:t>
      </w:r>
      <w:r w:rsidRPr="00AB772B">
        <w:rPr>
          <w:rFonts w:ascii="Calibri" w:eastAsia="Calibri" w:hAnsi="Calibri" w:cs="Calibri"/>
          <w:color w:val="000000"/>
        </w:rPr>
        <w:t>PCP density and</w:t>
      </w:r>
      <w:r>
        <w:rPr>
          <w:rFonts w:ascii="Calibri" w:eastAsia="Calibri" w:hAnsi="Calibri" w:cs="Calibri"/>
          <w:color w:val="000000"/>
        </w:rPr>
        <w:t xml:space="preserve"> 2) cardiologist</w:t>
      </w:r>
      <w:r w:rsidRPr="00AB772B">
        <w:rPr>
          <w:rFonts w:ascii="Calibri" w:eastAsia="Calibri" w:hAnsi="Calibri" w:cs="Calibri"/>
          <w:color w:val="000000"/>
        </w:rPr>
        <w:t xml:space="preserve"> density.</w:t>
      </w:r>
    </w:p>
    <w:bookmarkEnd w:id="11"/>
    <w:p w14:paraId="21921839" w14:textId="77777777" w:rsidR="009E292A" w:rsidRDefault="009E292A"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5092D61" w14:textId="32F03476" w:rsidR="002705D8" w:rsidRDefault="00092566"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3518DE98">
        <w:rPr>
          <w:b/>
          <w:bCs/>
        </w:rPr>
        <w:lastRenderedPageBreak/>
        <w:t>2a2.1</w:t>
      </w:r>
      <w:r w:rsidR="008C54A9" w:rsidRPr="3518DE98">
        <w:rPr>
          <w:b/>
          <w:bCs/>
        </w:rPr>
        <w:t xml:space="preserve">. </w:t>
      </w:r>
      <w:r w:rsidR="000968F8" w:rsidRPr="3518DE98">
        <w:rPr>
          <w:b/>
          <w:bCs/>
        </w:rPr>
        <w:t>What level of reliability testing was conducted</w:t>
      </w:r>
      <w:r w:rsidR="000574AB" w:rsidRPr="3518DE98">
        <w:t>?</w:t>
      </w:r>
      <w:r w:rsidR="00D50704" w:rsidRPr="3518DE98">
        <w:t xml:space="preserve"> (</w:t>
      </w:r>
      <w:r w:rsidR="00E310B9" w:rsidRPr="50637D09">
        <w:rPr>
          <w:i/>
          <w:iCs/>
        </w:rPr>
        <w:t xml:space="preserve">may </w:t>
      </w:r>
      <w:r w:rsidR="00D50704" w:rsidRPr="50637D09">
        <w:rPr>
          <w:i/>
          <w:iCs/>
        </w:rPr>
        <w:t>be one or both levels</w:t>
      </w:r>
      <w:r w:rsidR="00D50704" w:rsidRPr="3518DE98">
        <w:t>)</w:t>
      </w:r>
      <w:r w:rsidR="00B8015A" w:rsidRPr="00A25024">
        <w:rPr>
          <w:rFonts w:cstheme="minorHAnsi"/>
          <w:bCs/>
        </w:rPr>
        <w:br/>
      </w:r>
      <w:sdt>
        <w:sdtPr>
          <w:rPr>
            <w:color w:val="0000FF"/>
            <w:shd w:val="clear" w:color="auto" w:fill="E6E6E6"/>
          </w:rPr>
          <w:id w:val="423926269"/>
          <w14:checkbox>
            <w14:checked w14:val="0"/>
            <w14:checkedState w14:val="2612" w14:font="MS Gothic"/>
            <w14:uncheckedState w14:val="2610" w14:font="MS Gothic"/>
          </w14:checkbox>
        </w:sdtPr>
        <w:sdtContent>
          <w:r w:rsidR="00EE4D35" w:rsidRPr="3518DE98">
            <w:rPr>
              <w:rFonts w:ascii="MS Gothic" w:eastAsia="MS Gothic" w:hAnsi="MS Gothic"/>
              <w:color w:val="0000FF"/>
            </w:rPr>
            <w:t>☐</w:t>
          </w:r>
        </w:sdtContent>
      </w:sdt>
      <w:r w:rsidR="00A25024" w:rsidRPr="3518DE98">
        <w:rPr>
          <w:rFonts w:eastAsia="MS Mincho"/>
          <w:b/>
          <w:bCs/>
          <w:color w:val="0000FF"/>
        </w:rPr>
        <w:t xml:space="preserve"> </w:t>
      </w:r>
      <w:r w:rsidR="001F7A20" w:rsidRPr="3518DE98">
        <w:rPr>
          <w:b/>
          <w:bCs/>
        </w:rPr>
        <w:t>Critical data elements used in the measure</w:t>
      </w:r>
      <w:r w:rsidR="001F7A20" w:rsidRPr="3518DE98">
        <w:t xml:space="preserve"> (</w:t>
      </w:r>
      <w:r w:rsidR="001F7A20" w:rsidRPr="50637D09">
        <w:rPr>
          <w:i/>
          <w:iCs/>
        </w:rPr>
        <w:t>e.g., inter-abstractor reliability; data element reliability must address ALL critical data elements</w:t>
      </w:r>
      <w:r w:rsidR="001F7A20" w:rsidRPr="3518DE98">
        <w:t>)</w:t>
      </w:r>
      <w:r w:rsidR="001F7A20" w:rsidRPr="00A25024">
        <w:rPr>
          <w:rFonts w:cstheme="minorHAnsi"/>
          <w:bCs/>
        </w:rPr>
        <w:br/>
      </w:r>
      <w:sdt>
        <w:sdtPr>
          <w:rPr>
            <w:color w:val="0000FF"/>
            <w:shd w:val="clear" w:color="auto" w:fill="E6E6E6"/>
          </w:rPr>
          <w:id w:val="1807820231"/>
          <w14:checkbox>
            <w14:checked w14:val="1"/>
            <w14:checkedState w14:val="2612" w14:font="MS Gothic"/>
            <w14:uncheckedState w14:val="2610" w14:font="MS Gothic"/>
          </w14:checkbox>
        </w:sdtPr>
        <w:sdtContent>
          <w:r w:rsidR="002705D8" w:rsidRPr="3518DE98">
            <w:rPr>
              <w:rFonts w:ascii="MS Gothic" w:eastAsia="MS Gothic" w:hAnsi="MS Gothic"/>
              <w:color w:val="0000FF"/>
            </w:rPr>
            <w:t>☒</w:t>
          </w:r>
        </w:sdtContent>
      </w:sdt>
      <w:r w:rsidR="001F7A20" w:rsidRPr="3518DE98">
        <w:rPr>
          <w:rFonts w:eastAsia="MS Mincho"/>
          <w:b/>
          <w:bCs/>
          <w:color w:val="0000FF"/>
        </w:rPr>
        <w:t xml:space="preserve"> </w:t>
      </w:r>
      <w:r w:rsidR="001F7A20" w:rsidRPr="3518DE98">
        <w:rPr>
          <w:b/>
          <w:bCs/>
        </w:rPr>
        <w:t>Performance measure score</w:t>
      </w:r>
      <w:r w:rsidR="001F7A20" w:rsidRPr="3518DE98">
        <w:t xml:space="preserve"> (e.g., </w:t>
      </w:r>
      <w:r w:rsidR="001F7A20" w:rsidRPr="50637D09">
        <w:rPr>
          <w:i/>
          <w:iCs/>
        </w:rPr>
        <w:t>signal-to-noise analysis</w:t>
      </w:r>
      <w:r w:rsidR="001F7A20" w:rsidRPr="3518DE98">
        <w:t>)</w:t>
      </w:r>
      <w:r w:rsidR="001F7A20" w:rsidRPr="00A25024">
        <w:rPr>
          <w:rFonts w:cstheme="minorHAnsi"/>
          <w:bCs/>
        </w:rPr>
        <w:br/>
      </w:r>
      <w:r w:rsidR="001F7A20" w:rsidRPr="00A25024">
        <w:rPr>
          <w:rFonts w:cstheme="minorHAnsi"/>
          <w:bCs/>
          <w:u w:val="single"/>
        </w:rPr>
        <w:br/>
      </w:r>
      <w:r w:rsidR="001F7A20" w:rsidRPr="3518DE98">
        <w:rPr>
          <w:b/>
          <w:bCs/>
        </w:rPr>
        <w:t xml:space="preserve">2a2.2. </w:t>
      </w:r>
      <w:r w:rsidR="008C54A9" w:rsidRPr="3518DE98">
        <w:rPr>
          <w:b/>
          <w:bCs/>
        </w:rPr>
        <w:t xml:space="preserve">For each level checked above, describe the method of </w:t>
      </w:r>
      <w:r w:rsidR="000968F8" w:rsidRPr="3518DE98">
        <w:rPr>
          <w:b/>
          <w:bCs/>
        </w:rPr>
        <w:t xml:space="preserve">reliability </w:t>
      </w:r>
      <w:r w:rsidR="008C54A9" w:rsidRPr="3518DE98">
        <w:rPr>
          <w:b/>
          <w:bCs/>
        </w:rPr>
        <w:t>testing and what it tests</w:t>
      </w:r>
      <w:r w:rsidR="008C54A9" w:rsidRPr="3518DE98">
        <w:t xml:space="preserve"> (</w:t>
      </w:r>
      <w:r w:rsidR="008C54A9" w:rsidRPr="50637D09">
        <w:rPr>
          <w:i/>
          <w:iCs/>
        </w:rPr>
        <w:t xml:space="preserve">describe the steps―do not just name a method; what </w:t>
      </w:r>
      <w:r w:rsidR="002408E4" w:rsidRPr="50637D09">
        <w:rPr>
          <w:i/>
          <w:iCs/>
        </w:rPr>
        <w:t>type of erro</w:t>
      </w:r>
      <w:r w:rsidR="007D7019" w:rsidRPr="50637D09">
        <w:rPr>
          <w:i/>
          <w:iCs/>
        </w:rPr>
        <w:t>r</w:t>
      </w:r>
      <w:r w:rsidR="002408E4" w:rsidRPr="50637D09">
        <w:rPr>
          <w:i/>
          <w:iCs/>
        </w:rPr>
        <w:t xml:space="preserve"> </w:t>
      </w:r>
      <w:r w:rsidR="008C54A9" w:rsidRPr="50637D09">
        <w:rPr>
          <w:i/>
          <w:iCs/>
        </w:rPr>
        <w:t>does it test</w:t>
      </w:r>
      <w:r w:rsidR="0022691B" w:rsidRPr="50637D09">
        <w:rPr>
          <w:i/>
          <w:iCs/>
        </w:rPr>
        <w:t xml:space="preserve">; what statistical analysis was </w:t>
      </w:r>
      <w:proofErr w:type="gramStart"/>
      <w:r w:rsidR="0022691B" w:rsidRPr="50637D09">
        <w:rPr>
          <w:i/>
          <w:iCs/>
        </w:rPr>
        <w:t>used</w:t>
      </w:r>
      <w:r w:rsidR="007757CE" w:rsidRPr="3518DE98">
        <w:t>)</w:t>
      </w:r>
      <w:r w:rsidR="002705D8" w:rsidRPr="50637D09">
        <w:rPr>
          <w:rFonts w:ascii="Calibri" w:eastAsia="Calibri" w:hAnsi="Calibri" w:cs="Calibri"/>
          <w:color w:val="000000" w:themeColor="text1"/>
          <w:u w:val="single"/>
        </w:rPr>
        <w:t>Measure</w:t>
      </w:r>
      <w:proofErr w:type="gramEnd"/>
      <w:r w:rsidR="002705D8" w:rsidRPr="50637D09">
        <w:rPr>
          <w:rFonts w:ascii="Calibri" w:eastAsia="Calibri" w:hAnsi="Calibri" w:cs="Calibri"/>
          <w:color w:val="000000" w:themeColor="text1"/>
          <w:u w:val="single"/>
        </w:rPr>
        <w:t xml:space="preserve"> Score Reliability</w:t>
      </w:r>
    </w:p>
    <w:p w14:paraId="4C1EA872" w14:textId="24A19376" w:rsidR="002705D8" w:rsidRPr="00A51C4A"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A51C4A">
        <w:rPr>
          <w:rFonts w:ascii="Calibri" w:eastAsia="Calibri" w:hAnsi="Calibri" w:cs="Calibri"/>
          <w:color w:val="000000"/>
        </w:rPr>
        <w:t xml:space="preserve">We considered </w:t>
      </w:r>
      <w:bookmarkStart w:id="12" w:name="_Hlk854612"/>
      <w:r w:rsidRPr="00A51C4A">
        <w:rPr>
          <w:rFonts w:ascii="Calibri" w:eastAsia="Calibri" w:hAnsi="Calibri" w:cs="Calibri"/>
          <w:color w:val="000000"/>
        </w:rPr>
        <w:t>signal-to-noise</w:t>
      </w:r>
      <w:bookmarkEnd w:id="12"/>
      <w:r w:rsidRPr="00A51C4A">
        <w:rPr>
          <w:rFonts w:ascii="Calibri" w:eastAsia="Calibri" w:hAnsi="Calibri" w:cs="Calibri"/>
          <w:color w:val="000000"/>
        </w:rPr>
        <w:t xml:space="preserve"> analysis as a measure of reliabil</w:t>
      </w:r>
      <w:r w:rsidR="00B46466">
        <w:rPr>
          <w:rFonts w:ascii="Calibri" w:eastAsia="Calibri" w:hAnsi="Calibri" w:cs="Calibri"/>
          <w:color w:val="000000"/>
        </w:rPr>
        <w:t>ity when evaluating the MIPS HF</w:t>
      </w:r>
      <w:r w:rsidRPr="00A51C4A">
        <w:rPr>
          <w:rFonts w:ascii="Calibri" w:eastAsia="Calibri" w:hAnsi="Calibri" w:cs="Calibri"/>
          <w:color w:val="000000"/>
        </w:rPr>
        <w:t xml:space="preserve"> admission measure. The variation between entities (‘signal’) comprises the total variation (‘noise’ and </w:t>
      </w:r>
      <w:r>
        <w:rPr>
          <w:rFonts w:ascii="Calibri" w:eastAsia="Calibri" w:hAnsi="Calibri" w:cs="Calibri"/>
          <w:color w:val="000000"/>
        </w:rPr>
        <w:t>‘</w:t>
      </w:r>
      <w:r w:rsidRPr="00A51C4A">
        <w:rPr>
          <w:rFonts w:ascii="Calibri" w:eastAsia="Calibri" w:hAnsi="Calibri" w:cs="Calibri"/>
          <w:color w:val="000000"/>
        </w:rPr>
        <w:t>signal’) in the outcome. This is because the reliability of any one TIN’s measure score will vary depending on the number of patients</w:t>
      </w:r>
      <w:r w:rsidR="002A79D1">
        <w:rPr>
          <w:rFonts w:ascii="Calibri" w:eastAsia="Calibri" w:hAnsi="Calibri" w:cs="Calibri"/>
          <w:color w:val="000000"/>
        </w:rPr>
        <w:t xml:space="preserve"> in that TIN</w:t>
      </w:r>
      <w:r w:rsidRPr="00A51C4A">
        <w:rPr>
          <w:rFonts w:ascii="Calibri" w:eastAsia="Calibri" w:hAnsi="Calibri" w:cs="Calibri"/>
          <w:color w:val="000000"/>
        </w:rPr>
        <w:t>. Entities with higher volume will tend to have more reliable scores, while those with lower volume will tend to have less reliable scores. We used the formula for</w:t>
      </w:r>
      <w:r w:rsidRPr="00A51C4A">
        <w:rPr>
          <w:rFonts w:ascii="Calibri" w:eastAsia="Calibri" w:hAnsi="Calibri" w:cs="Calibri"/>
          <w:iCs/>
          <w:color w:val="000000"/>
        </w:rPr>
        <w:t xml:space="preserve"> signal-to-noise</w:t>
      </w:r>
      <w:r w:rsidRPr="00A51C4A">
        <w:rPr>
          <w:rFonts w:ascii="Calibri" w:eastAsia="Calibri" w:hAnsi="Calibri" w:cs="Calibri"/>
          <w:color w:val="000000"/>
        </w:rPr>
        <w:t xml:space="preserve"> reliability presented by Adams et al. and the formula for intraclass correlation coefficient (ICC) presented by Nakagawa et al. to calculate individual clinician-level a</w:t>
      </w:r>
      <w:r w:rsidR="002B1EA4">
        <w:rPr>
          <w:rFonts w:ascii="Calibri" w:eastAsia="Calibri" w:hAnsi="Calibri" w:cs="Calibri"/>
          <w:color w:val="000000"/>
        </w:rPr>
        <w:t>nd TIN-level reliability scores</w:t>
      </w:r>
      <w:r w:rsidR="002A79D1">
        <w:rPr>
          <w:rFonts w:ascii="Calibri" w:eastAsia="Calibri" w:hAnsi="Calibri" w:cs="Calibri"/>
          <w:color w:val="000000"/>
        </w:rPr>
        <w:t xml:space="preserve"> </w:t>
      </w:r>
      <w:r>
        <w:rPr>
          <w:rFonts w:ascii="Calibri" w:eastAsia="Calibri" w:hAnsi="Calibri" w:cs="Calibri"/>
          <w:color w:val="000000"/>
        </w:rPr>
        <w:t>[1,2]</w:t>
      </w:r>
      <w:r w:rsidR="002B1EA4">
        <w:rPr>
          <w:rFonts w:ascii="Calibri" w:eastAsia="Calibri" w:hAnsi="Calibri" w:cs="Calibri"/>
          <w:color w:val="000000"/>
        </w:rPr>
        <w:t>.</w:t>
      </w:r>
      <w:r>
        <w:rPr>
          <w:rFonts w:ascii="Calibri" w:eastAsia="Calibri" w:hAnsi="Calibri" w:cs="Calibri"/>
          <w:color w:val="000000"/>
        </w:rPr>
        <w:t xml:space="preserve"> </w:t>
      </w:r>
      <w:r w:rsidRPr="00A51C4A">
        <w:rPr>
          <w:rFonts w:ascii="Calibri" w:eastAsia="Calibri" w:hAnsi="Calibri" w:cs="Calibri"/>
          <w:color w:val="000000"/>
        </w:rPr>
        <w:t>To estimate the overall signal and noise, we first calculated the ICC for the provider entity (TIN) j</w:t>
      </w:r>
      <w:r w:rsidR="002B1EA4">
        <w:rPr>
          <w:rFonts w:ascii="Calibri" w:eastAsia="Calibri" w:hAnsi="Calibri" w:cs="Calibri"/>
          <w:color w:val="000000"/>
        </w:rPr>
        <w:t>,</w:t>
      </w:r>
      <w:r w:rsidRPr="00A51C4A" w:rsidDel="00620361">
        <w:rPr>
          <w:rFonts w:ascii="Calibri" w:eastAsia="Calibri" w:hAnsi="Calibri" w:cs="Calibri"/>
          <w:color w:val="000000"/>
        </w:rPr>
        <w:t xml:space="preserve"> </w:t>
      </w:r>
      <w:r w:rsidRPr="00A51C4A">
        <w:rPr>
          <w:rFonts w:ascii="Calibri" w:eastAsia="Calibri" w:hAnsi="Calibri" w:cs="Calibri"/>
          <w:color w:val="000000"/>
        </w:rPr>
        <w:t xml:space="preserve">using the estimates of between-entity variance </w:t>
      </w:r>
      <w:bookmarkStart w:id="13" w:name="_Hlk536110650"/>
      <w:r>
        <w:rPr>
          <w:rFonts w:ascii="Symbol" w:hAnsi="Symbol"/>
        </w:rPr>
        <w:t></w:t>
      </w:r>
      <w:r w:rsidRPr="00A51C4A">
        <w:rPr>
          <w:rFonts w:ascii="Calibri" w:eastAsia="Calibri" w:hAnsi="Calibri" w:cs="Calibri"/>
          <w:color w:val="000000"/>
          <w:vertAlign w:val="superscript"/>
        </w:rPr>
        <w:t>2</w:t>
      </w:r>
      <w:bookmarkEnd w:id="13"/>
      <w:r w:rsidRPr="00A51C4A">
        <w:rPr>
          <w:rFonts w:ascii="Calibri" w:eastAsia="Calibri" w:hAnsi="Calibri" w:cs="Calibri"/>
          <w:color w:val="000000"/>
        </w:rPr>
        <w:t xml:space="preserve">, dispersion parameter </w:t>
      </w:r>
      <w:r>
        <w:rPr>
          <w:rFonts w:ascii="Symbol" w:hAnsi="Symbol"/>
        </w:rPr>
        <w:t></w:t>
      </w:r>
      <w:r w:rsidRPr="00A51C4A">
        <w:rPr>
          <w:rFonts w:ascii="Calibri" w:eastAsia="Calibri" w:hAnsi="Calibri" w:cs="Calibri"/>
          <w:color w:val="000000"/>
        </w:rPr>
        <w:t xml:space="preserve">, and mean of outcome </w:t>
      </w:r>
      <w:r>
        <w:rPr>
          <w:rFonts w:ascii="Symbol" w:hAnsi="Symbol" w:cstheme="minorHAnsi"/>
        </w:rPr>
        <w:t></w:t>
      </w:r>
      <w:r w:rsidRPr="00A51C4A">
        <w:rPr>
          <w:rFonts w:ascii="Calibri" w:eastAsia="Calibri" w:hAnsi="Calibri" w:cs="Calibri"/>
          <w:color w:val="000000"/>
        </w:rPr>
        <w:t xml:space="preserve">, from a hierarchical generalized linear model (HGLM). The formula appropriate for the NB-1 model is </w:t>
      </w:r>
      <w:proofErr w:type="spellStart"/>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 </w:t>
      </w:r>
      <w:bookmarkStart w:id="14" w:name="OLE_LINK1"/>
      <w:bookmarkStart w:id="15" w:name="OLE_LINK2"/>
      <w:r>
        <w:rPr>
          <w:rFonts w:ascii="Symbol" w:hAnsi="Symbol"/>
        </w:rPr>
        <w:t></w:t>
      </w:r>
      <w:r w:rsidRPr="00A51C4A">
        <w:rPr>
          <w:rFonts w:ascii="Calibri" w:eastAsia="Calibri" w:hAnsi="Calibri" w:cs="Calibri"/>
          <w:color w:val="000000"/>
          <w:vertAlign w:val="superscript"/>
        </w:rPr>
        <w:t>2</w:t>
      </w:r>
      <w:bookmarkEnd w:id="14"/>
      <w:bookmarkEnd w:id="15"/>
      <w:proofErr w:type="gramStart"/>
      <w:r w:rsidRPr="00A51C4A">
        <w:rPr>
          <w:rFonts w:ascii="Calibri" w:eastAsia="Calibri" w:hAnsi="Calibri" w:cs="Calibri"/>
          <w:color w:val="000000"/>
        </w:rPr>
        <w:t>/(</w:t>
      </w:r>
      <w:proofErr w:type="gramEnd"/>
      <w:r>
        <w:rPr>
          <w:rFonts w:ascii="Symbol" w:hAnsi="Symbol"/>
        </w:rPr>
        <w:t></w:t>
      </w:r>
      <w:r w:rsidRPr="00A51C4A">
        <w:rPr>
          <w:rFonts w:ascii="Calibri" w:eastAsia="Calibri" w:hAnsi="Calibri" w:cs="Calibri"/>
          <w:color w:val="000000"/>
          <w:vertAlign w:val="superscript"/>
        </w:rPr>
        <w:t>2</w:t>
      </w:r>
      <w:r w:rsidRPr="00A51C4A">
        <w:rPr>
          <w:rFonts w:ascii="Calibri" w:eastAsia="Calibri" w:hAnsi="Calibri" w:cs="Calibri"/>
          <w:color w:val="000000"/>
        </w:rPr>
        <w:t xml:space="preserve"> + ln(1+</w:t>
      </w:r>
      <w:r>
        <w:rPr>
          <w:rFonts w:ascii="Symbol" w:hAnsi="Symbol"/>
        </w:rPr>
        <w:t></w:t>
      </w:r>
      <w:r w:rsidRPr="00A51C4A">
        <w:rPr>
          <w:rFonts w:ascii="Calibri" w:eastAsia="Calibri" w:hAnsi="Calibri" w:cs="Calibri"/>
          <w:color w:val="000000"/>
        </w:rPr>
        <w:t>/</w:t>
      </w:r>
      <w:r>
        <w:rPr>
          <w:rFonts w:ascii="Symbol" w:hAnsi="Symbol" w:cstheme="minorHAnsi"/>
        </w:rPr>
        <w:t></w:t>
      </w:r>
      <w:r w:rsidRPr="00A51C4A">
        <w:rPr>
          <w:rFonts w:ascii="Calibri" w:eastAsia="Calibri" w:hAnsi="Calibri" w:cs="Calibri"/>
          <w:color w:val="000000"/>
        </w:rPr>
        <w:t>). We then used the equation:</w:t>
      </w:r>
    </w:p>
    <w:p w14:paraId="4F30FED2" w14:textId="77777777" w:rsidR="002705D8" w:rsidRPr="00A51C4A"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A51C4A">
        <w:rPr>
          <w:rFonts w:ascii="Calibri" w:eastAsia="Calibri" w:hAnsi="Calibri" w:cs="Calibri"/>
          <w:color w:val="000000"/>
        </w:rPr>
        <w:tab/>
      </w:r>
      <w:bookmarkStart w:id="16" w:name="_Hlk1391437"/>
      <w:proofErr w:type="spellStart"/>
      <w:r w:rsidRPr="00A51C4A">
        <w:rPr>
          <w:rFonts w:ascii="Calibri" w:eastAsia="Calibri" w:hAnsi="Calibri" w:cs="Calibri"/>
          <w:color w:val="000000"/>
        </w:rPr>
        <w:t>R</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 </w:t>
      </w:r>
      <w:bookmarkStart w:id="17" w:name="OLE_LINK3"/>
      <w:bookmarkStart w:id="18" w:name="OLE_LINK4"/>
      <w:proofErr w:type="spellStart"/>
      <w:r w:rsidRPr="00A51C4A">
        <w:rPr>
          <w:rFonts w:ascii="Calibri" w:eastAsia="Calibri" w:hAnsi="Calibri" w:cs="Calibri"/>
          <w:color w:val="000000"/>
        </w:rPr>
        <w:t>n</w:t>
      </w:r>
      <w:r w:rsidRPr="00A51C4A">
        <w:rPr>
          <w:rFonts w:ascii="Calibri" w:eastAsia="Calibri" w:hAnsi="Calibri" w:cs="Calibri"/>
          <w:color w:val="000000"/>
          <w:vertAlign w:val="subscript"/>
        </w:rPr>
        <w:t>j</w:t>
      </w:r>
      <w:bookmarkEnd w:id="17"/>
      <w:bookmarkEnd w:id="18"/>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/(1+(n</w:t>
      </w:r>
      <w:r w:rsidRPr="00A51C4A">
        <w:rPr>
          <w:rFonts w:ascii="Calibri" w:eastAsia="Calibri" w:hAnsi="Calibri" w:cs="Calibri"/>
          <w:color w:val="000000"/>
          <w:vertAlign w:val="subscript"/>
        </w:rPr>
        <w:t>j</w:t>
      </w:r>
      <w:r w:rsidRPr="00A51C4A">
        <w:rPr>
          <w:rFonts w:ascii="Calibri" w:eastAsia="Calibri" w:hAnsi="Calibri" w:cs="Calibri"/>
          <w:color w:val="000000"/>
        </w:rPr>
        <w:t>-</w:t>
      </w:r>
      <w:proofErr w:type="gramStart"/>
      <w:r w:rsidRPr="00A51C4A">
        <w:rPr>
          <w:rFonts w:ascii="Calibri" w:eastAsia="Calibri" w:hAnsi="Calibri" w:cs="Calibri"/>
          <w:color w:val="000000"/>
        </w:rPr>
        <w:t>1)</w:t>
      </w:r>
      <w:proofErr w:type="spellStart"/>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proofErr w:type="gramEnd"/>
      <w:r w:rsidRPr="00A51C4A">
        <w:rPr>
          <w:rFonts w:ascii="Calibri" w:eastAsia="Calibri" w:hAnsi="Calibri" w:cs="Calibri"/>
          <w:color w:val="000000"/>
        </w:rPr>
        <w:t>)</w:t>
      </w:r>
      <w:bookmarkEnd w:id="16"/>
    </w:p>
    <w:p w14:paraId="25AC9D3A" w14:textId="77777777" w:rsidR="002705D8" w:rsidRPr="00A51C4A"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A51C4A">
        <w:rPr>
          <w:rFonts w:ascii="Calibri" w:eastAsia="Calibri" w:hAnsi="Calibri" w:cs="Calibri"/>
          <w:color w:val="000000"/>
        </w:rPr>
        <w:t xml:space="preserve">where </w:t>
      </w:r>
      <w:proofErr w:type="spellStart"/>
      <w:r w:rsidRPr="00A51C4A">
        <w:rPr>
          <w:rFonts w:ascii="Calibri" w:eastAsia="Calibri" w:hAnsi="Calibri" w:cs="Calibri"/>
          <w:color w:val="000000"/>
        </w:rPr>
        <w:t>n</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vertAlign w:val="subscript"/>
        </w:rPr>
        <w:t xml:space="preserve"> </w:t>
      </w:r>
      <w:r w:rsidRPr="00A51C4A">
        <w:rPr>
          <w:rFonts w:ascii="Calibri" w:eastAsia="Calibri" w:hAnsi="Calibri" w:cs="Calibri"/>
          <w:color w:val="000000"/>
        </w:rPr>
        <w:t>is the number of observations for each entity, to calculate the reliability of each entity measurement</w:t>
      </w:r>
      <w:bookmarkStart w:id="19" w:name="_Hlk854622"/>
      <w:r w:rsidRPr="00A51C4A">
        <w:rPr>
          <w:rFonts w:ascii="Calibri" w:eastAsia="Calibri" w:hAnsi="Calibri" w:cs="Calibri"/>
          <w:color w:val="000000"/>
        </w:rPr>
        <w:t xml:space="preserve">. </w:t>
      </w:r>
      <w:proofErr w:type="spellStart"/>
      <w:r w:rsidRPr="00A51C4A">
        <w:rPr>
          <w:rFonts w:ascii="Calibri" w:eastAsia="Calibri" w:hAnsi="Calibri" w:cs="Calibri"/>
          <w:color w:val="000000"/>
        </w:rPr>
        <w:t>R</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can range from 0 (less than chance agreement) to 1.0 (perfect agreement).</w:t>
      </w:r>
    </w:p>
    <w:p w14:paraId="6A1872DD" w14:textId="1DB7A9B8" w:rsidR="002705D8" w:rsidRPr="00A51C4A"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 xml:space="preserve">In addition, we determined the minimum number of patients required to achieve reliability values of 0.4 </w:t>
      </w:r>
      <w:r w:rsidR="0CA067D9" w:rsidRPr="50637D09">
        <w:rPr>
          <w:rFonts w:ascii="Calibri" w:eastAsia="Calibri" w:hAnsi="Calibri" w:cs="Calibri"/>
          <w:color w:val="000000" w:themeColor="text1"/>
        </w:rPr>
        <w:t xml:space="preserve">and </w:t>
      </w:r>
      <w:r w:rsidRPr="50637D09">
        <w:rPr>
          <w:rFonts w:ascii="Calibri" w:eastAsia="Calibri" w:hAnsi="Calibri" w:cs="Calibri"/>
          <w:color w:val="000000" w:themeColor="text1"/>
        </w:rPr>
        <w:t>0.5 using the equation:</w:t>
      </w:r>
    </w:p>
    <w:p w14:paraId="46FB7C59" w14:textId="77777777" w:rsidR="002705D8" w:rsidRPr="00A51C4A"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proofErr w:type="spellStart"/>
      <w:r w:rsidRPr="00A51C4A">
        <w:rPr>
          <w:rFonts w:ascii="Calibri" w:eastAsia="Calibri" w:hAnsi="Calibri" w:cs="Calibri"/>
          <w:color w:val="000000"/>
        </w:rPr>
        <w:t>n</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 </w:t>
      </w:r>
      <w:proofErr w:type="spellStart"/>
      <w:r w:rsidRPr="00A51C4A">
        <w:rPr>
          <w:rFonts w:ascii="Calibri" w:eastAsia="Calibri" w:hAnsi="Calibri" w:cs="Calibri"/>
          <w:color w:val="000000"/>
        </w:rPr>
        <w:t>R</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*(1-ICC</w:t>
      </w:r>
      <w:r w:rsidRPr="00A51C4A">
        <w:rPr>
          <w:rFonts w:ascii="Calibri" w:eastAsia="Calibri" w:hAnsi="Calibri" w:cs="Calibri"/>
          <w:color w:val="000000"/>
          <w:vertAlign w:val="subscript"/>
        </w:rPr>
        <w:t>j</w:t>
      </w:r>
      <w:r w:rsidRPr="00A51C4A">
        <w:rPr>
          <w:rFonts w:ascii="Calibri" w:eastAsia="Calibri" w:hAnsi="Calibri" w:cs="Calibri"/>
          <w:color w:val="000000"/>
        </w:rPr>
        <w:t>)/(</w:t>
      </w:r>
      <w:proofErr w:type="spellStart"/>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*(1-R</w:t>
      </w:r>
      <w:r w:rsidRPr="00A51C4A">
        <w:rPr>
          <w:rFonts w:ascii="Calibri" w:eastAsia="Calibri" w:hAnsi="Calibri" w:cs="Calibri"/>
          <w:color w:val="000000"/>
          <w:vertAlign w:val="subscript"/>
        </w:rPr>
        <w:t>j</w:t>
      </w:r>
      <w:r w:rsidRPr="00A51C4A">
        <w:rPr>
          <w:rFonts w:ascii="Calibri" w:eastAsia="Calibri" w:hAnsi="Calibri" w:cs="Calibri"/>
          <w:color w:val="000000"/>
        </w:rPr>
        <w:t>))</w:t>
      </w:r>
    </w:p>
    <w:p w14:paraId="38DE4A09" w14:textId="2E80638C"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 xml:space="preserve">where </w:t>
      </w:r>
      <w:proofErr w:type="spellStart"/>
      <w:r w:rsidRPr="50637D09">
        <w:rPr>
          <w:rFonts w:ascii="Calibri" w:eastAsia="Calibri" w:hAnsi="Calibri" w:cs="Calibri"/>
          <w:color w:val="000000" w:themeColor="text1"/>
        </w:rPr>
        <w:t>R</w:t>
      </w:r>
      <w:r w:rsidRPr="50637D09">
        <w:rPr>
          <w:rFonts w:ascii="Calibri" w:eastAsia="Calibri" w:hAnsi="Calibri" w:cs="Calibri"/>
          <w:color w:val="000000" w:themeColor="text1"/>
          <w:vertAlign w:val="subscript"/>
        </w:rPr>
        <w:t>j</w:t>
      </w:r>
      <w:proofErr w:type="spellEnd"/>
      <w:r w:rsidRPr="50637D09">
        <w:rPr>
          <w:rFonts w:ascii="Calibri" w:eastAsia="Calibri" w:hAnsi="Calibri" w:cs="Calibri"/>
          <w:color w:val="000000" w:themeColor="text1"/>
        </w:rPr>
        <w:t xml:space="preserve"> = 0.4</w:t>
      </w:r>
      <w:r w:rsidR="25A125CF" w:rsidRPr="50637D09">
        <w:rPr>
          <w:rFonts w:ascii="Calibri" w:eastAsia="Calibri" w:hAnsi="Calibri" w:cs="Calibri"/>
          <w:color w:val="000000" w:themeColor="text1"/>
        </w:rPr>
        <w:t xml:space="preserve"> or </w:t>
      </w:r>
      <w:r w:rsidRPr="50637D09">
        <w:rPr>
          <w:rFonts w:ascii="Calibri" w:eastAsia="Calibri" w:hAnsi="Calibri" w:cs="Calibri"/>
          <w:color w:val="000000" w:themeColor="text1"/>
        </w:rPr>
        <w:t xml:space="preserve">0.5. We reported the distribution of </w:t>
      </w:r>
      <w:proofErr w:type="spellStart"/>
      <w:r w:rsidRPr="50637D09">
        <w:rPr>
          <w:rFonts w:ascii="Calibri" w:eastAsia="Calibri" w:hAnsi="Calibri" w:cs="Calibri"/>
          <w:color w:val="000000" w:themeColor="text1"/>
        </w:rPr>
        <w:t>R</w:t>
      </w:r>
      <w:r w:rsidRPr="50637D09">
        <w:rPr>
          <w:rFonts w:ascii="Calibri" w:eastAsia="Calibri" w:hAnsi="Calibri" w:cs="Calibri"/>
          <w:color w:val="000000" w:themeColor="text1"/>
          <w:vertAlign w:val="subscript"/>
        </w:rPr>
        <w:t>j</w:t>
      </w:r>
      <w:proofErr w:type="spellEnd"/>
      <w:r w:rsidRPr="50637D09">
        <w:rPr>
          <w:rFonts w:ascii="Calibri" w:eastAsia="Calibri" w:hAnsi="Calibri" w:cs="Calibri"/>
          <w:color w:val="000000" w:themeColor="text1"/>
        </w:rPr>
        <w:t xml:space="preserve"> over all entities and for those meeting the different volume requirement </w:t>
      </w:r>
      <w:proofErr w:type="spellStart"/>
      <w:r w:rsidRPr="50637D09">
        <w:rPr>
          <w:rFonts w:ascii="Calibri" w:eastAsia="Calibri" w:hAnsi="Calibri" w:cs="Calibri"/>
          <w:color w:val="000000" w:themeColor="text1"/>
        </w:rPr>
        <w:t>n</w:t>
      </w:r>
      <w:r w:rsidRPr="50637D09">
        <w:rPr>
          <w:rFonts w:ascii="Calibri" w:eastAsia="Calibri" w:hAnsi="Calibri" w:cs="Calibri"/>
          <w:color w:val="000000" w:themeColor="text1"/>
          <w:vertAlign w:val="subscript"/>
        </w:rPr>
        <w:t>j</w:t>
      </w:r>
      <w:proofErr w:type="spellEnd"/>
      <w:r w:rsidRPr="50637D09">
        <w:rPr>
          <w:rFonts w:ascii="Calibri" w:eastAsia="Calibri" w:hAnsi="Calibri" w:cs="Calibri"/>
          <w:color w:val="000000" w:themeColor="text1"/>
        </w:rPr>
        <w:t>.</w:t>
      </w:r>
      <w:bookmarkEnd w:id="19"/>
    </w:p>
    <w:p w14:paraId="42CAFDBB" w14:textId="57980234" w:rsid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u w:val="single"/>
        </w:rPr>
      </w:pPr>
      <w:r w:rsidRPr="00A732F2">
        <w:rPr>
          <w:rFonts w:ascii="Calibri" w:eastAsia="Calibri" w:hAnsi="Calibri" w:cs="Calibri"/>
          <w:color w:val="000000"/>
          <w:u w:val="single"/>
        </w:rPr>
        <w:t>References</w:t>
      </w:r>
    </w:p>
    <w:p w14:paraId="3C6CD389" w14:textId="77777777" w:rsidR="002705D8" w:rsidRPr="00B56B76"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 xml:space="preserve">1. </w:t>
      </w:r>
      <w:r w:rsidRPr="00B56B76">
        <w:rPr>
          <w:rFonts w:ascii="Calibri" w:eastAsia="Calibri" w:hAnsi="Calibri" w:cs="Calibri"/>
          <w:color w:val="000000"/>
        </w:rPr>
        <w:t xml:space="preserve">Adams JL, Mehrotra A, Thomas JW, McGlynn EA. Physician Cost Profiling — Reliability and Risk of Misclassification. </w:t>
      </w:r>
      <w:r w:rsidRPr="00B56B76">
        <w:rPr>
          <w:rFonts w:ascii="Calibri" w:eastAsia="Calibri" w:hAnsi="Calibri" w:cs="Calibri"/>
          <w:i/>
          <w:color w:val="000000"/>
        </w:rPr>
        <w:t xml:space="preserve">New England Journal of Medicine. </w:t>
      </w:r>
      <w:r w:rsidRPr="00B56B76">
        <w:rPr>
          <w:rFonts w:ascii="Calibri" w:eastAsia="Calibri" w:hAnsi="Calibri" w:cs="Calibri"/>
          <w:color w:val="000000"/>
        </w:rPr>
        <w:t>2010;362(11):1014-1021.</w:t>
      </w:r>
    </w:p>
    <w:p w14:paraId="35FBF80D" w14:textId="77777777" w:rsidR="002705D8" w:rsidRPr="00B56B76"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bookmarkStart w:id="20" w:name="_ENREF_46"/>
      <w:r>
        <w:rPr>
          <w:rFonts w:ascii="Calibri" w:eastAsia="Calibri" w:hAnsi="Calibri" w:cs="Calibri"/>
          <w:color w:val="000000"/>
        </w:rPr>
        <w:t xml:space="preserve">2. </w:t>
      </w:r>
      <w:r w:rsidRPr="00B56B76">
        <w:rPr>
          <w:rFonts w:ascii="Calibri" w:eastAsia="Calibri" w:hAnsi="Calibri" w:cs="Calibri"/>
          <w:color w:val="000000"/>
        </w:rPr>
        <w:t xml:space="preserve">Nakagawa S, Johnson PCD, </w:t>
      </w:r>
      <w:proofErr w:type="spellStart"/>
      <w:r w:rsidRPr="00B56B76">
        <w:rPr>
          <w:rFonts w:ascii="Calibri" w:eastAsia="Calibri" w:hAnsi="Calibri" w:cs="Calibri"/>
          <w:color w:val="000000"/>
        </w:rPr>
        <w:t>Schielzeth</w:t>
      </w:r>
      <w:proofErr w:type="spellEnd"/>
      <w:r w:rsidRPr="00B56B76">
        <w:rPr>
          <w:rFonts w:ascii="Calibri" w:eastAsia="Calibri" w:hAnsi="Calibri" w:cs="Calibri"/>
          <w:color w:val="000000"/>
        </w:rPr>
        <w:t xml:space="preserve"> H. The coefficient of determination </w:t>
      </w:r>
      <w:proofErr w:type="gramStart"/>
      <w:r w:rsidRPr="00B56B76">
        <w:rPr>
          <w:rFonts w:ascii="Calibri" w:eastAsia="Calibri" w:hAnsi="Calibri" w:cs="Calibri"/>
          <w:color w:val="000000"/>
        </w:rPr>
        <w:t>R(</w:t>
      </w:r>
      <w:proofErr w:type="gramEnd"/>
      <w:r w:rsidRPr="00B56B76">
        <w:rPr>
          <w:rFonts w:ascii="Calibri" w:eastAsia="Calibri" w:hAnsi="Calibri" w:cs="Calibri"/>
          <w:color w:val="000000"/>
        </w:rPr>
        <w:t xml:space="preserve">2) and intra-class correlation coefficient from generalized linear mixed-effects models revisited and expanded. </w:t>
      </w:r>
      <w:r w:rsidRPr="00B56B76">
        <w:rPr>
          <w:rFonts w:ascii="Calibri" w:eastAsia="Calibri" w:hAnsi="Calibri" w:cs="Calibri"/>
          <w:i/>
          <w:color w:val="000000"/>
        </w:rPr>
        <w:t xml:space="preserve">J R Soc Interface. </w:t>
      </w:r>
      <w:r w:rsidRPr="00B56B76">
        <w:rPr>
          <w:rFonts w:ascii="Calibri" w:eastAsia="Calibri" w:hAnsi="Calibri" w:cs="Calibri"/>
          <w:color w:val="000000"/>
        </w:rPr>
        <w:t>2017;14(134).</w:t>
      </w:r>
      <w:bookmarkEnd w:id="20"/>
    </w:p>
    <w:p w14:paraId="7D9970B6" w14:textId="61D3F79F" w:rsidR="002705D8" w:rsidRPr="002705D8"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bookmarkStart w:id="21" w:name="_ENREF_47"/>
      <w:r>
        <w:rPr>
          <w:rFonts w:ascii="Calibri" w:eastAsia="Calibri" w:hAnsi="Calibri" w:cs="Calibri"/>
          <w:color w:val="000000"/>
        </w:rPr>
        <w:t>3.</w:t>
      </w:r>
      <w:r w:rsidR="00A268FD" w:rsidRPr="00A268FD">
        <w:rPr>
          <w:rFonts w:eastAsia="Times New Roman"/>
          <w:color w:val="222222"/>
          <w:shd w:val="clear" w:color="auto" w:fill="FFFFFF"/>
        </w:rPr>
        <w:t xml:space="preserve"> </w:t>
      </w:r>
      <w:r w:rsidR="00A268FD">
        <w:rPr>
          <w:rFonts w:eastAsia="Times New Roman"/>
          <w:color w:val="222222"/>
          <w:shd w:val="clear" w:color="auto" w:fill="FFFFFF"/>
        </w:rPr>
        <w:t xml:space="preserve">Adams, John L., </w:t>
      </w:r>
      <w:proofErr w:type="spellStart"/>
      <w:r w:rsidR="00A268FD">
        <w:rPr>
          <w:rFonts w:eastAsia="Times New Roman"/>
          <w:color w:val="222222"/>
          <w:shd w:val="clear" w:color="auto" w:fill="FFFFFF"/>
        </w:rPr>
        <w:t>Ateev</w:t>
      </w:r>
      <w:proofErr w:type="spellEnd"/>
      <w:r w:rsidR="00A268FD">
        <w:rPr>
          <w:rFonts w:eastAsia="Times New Roman"/>
          <w:color w:val="222222"/>
          <w:shd w:val="clear" w:color="auto" w:fill="FFFFFF"/>
        </w:rPr>
        <w:t xml:space="preserve"> Mehrotra, and Elizabeth A. McGlynn, Estimating Reliability and Misclassification in Physician Profiling. Santa Monica, CA: RAND Corporation, 2010. </w:t>
      </w:r>
      <w:hyperlink r:id="rId12" w:history="1">
        <w:r w:rsidR="00A268FD">
          <w:rPr>
            <w:rStyle w:val="Hyperlink"/>
            <w:rFonts w:eastAsia="Times New Roman"/>
            <w:shd w:val="clear" w:color="auto" w:fill="FFFFFF"/>
          </w:rPr>
          <w:t>https://www.rand.org/pubs/technical_reports/TR863.html</w:t>
        </w:r>
      </w:hyperlink>
      <w:r>
        <w:rPr>
          <w:rFonts w:ascii="Calibri" w:eastAsia="Calibri" w:hAnsi="Calibri" w:cs="Calibri"/>
          <w:color w:val="000000"/>
        </w:rPr>
        <w:t xml:space="preserve"> </w:t>
      </w:r>
      <w:bookmarkEnd w:id="21"/>
    </w:p>
    <w:p w14:paraId="0CABCFD2" w14:textId="77777777" w:rsidR="008C54A9" w:rsidRPr="00A25024" w:rsidRDefault="008C54A9" w:rsidP="008C54A9">
      <w:pPr>
        <w:autoSpaceDE w:val="0"/>
        <w:autoSpaceDN w:val="0"/>
        <w:adjustRightInd w:val="0"/>
        <w:spacing w:after="0" w:line="240" w:lineRule="auto"/>
        <w:rPr>
          <w:rFonts w:cstheme="minorHAnsi"/>
          <w:bCs/>
        </w:rPr>
      </w:pPr>
    </w:p>
    <w:p w14:paraId="7493FBE8" w14:textId="44196FEE" w:rsidR="002705D8" w:rsidRDefault="00092566"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u w:val="single"/>
        </w:rPr>
      </w:pPr>
      <w:r w:rsidRPr="50637D09">
        <w:rPr>
          <w:b/>
          <w:bCs/>
        </w:rPr>
        <w:lastRenderedPageBreak/>
        <w:t>2a2.</w:t>
      </w:r>
      <w:r w:rsidR="008C54A9" w:rsidRPr="50637D09">
        <w:rPr>
          <w:b/>
          <w:bCs/>
        </w:rPr>
        <w:t xml:space="preserve">3. For each level </w:t>
      </w:r>
      <w:r w:rsidR="008F7E67" w:rsidRPr="50637D09">
        <w:rPr>
          <w:b/>
          <w:bCs/>
        </w:rPr>
        <w:t xml:space="preserve">of testing </w:t>
      </w:r>
      <w:r w:rsidR="008C54A9" w:rsidRPr="50637D09">
        <w:rPr>
          <w:b/>
          <w:bCs/>
        </w:rPr>
        <w:t>checked above, w</w:t>
      </w:r>
      <w:r w:rsidR="00900DBF" w:rsidRPr="50637D09">
        <w:rPr>
          <w:b/>
          <w:bCs/>
        </w:rPr>
        <w:t>hat were the statistical results</w:t>
      </w:r>
      <w:r w:rsidR="007422FD" w:rsidRPr="50637D09">
        <w:rPr>
          <w:b/>
          <w:bCs/>
        </w:rPr>
        <w:t xml:space="preserve"> from reliability testing</w:t>
      </w:r>
      <w:r w:rsidR="00900DBF" w:rsidRPr="50637D09">
        <w:t>?</w:t>
      </w:r>
      <w:r w:rsidR="00B037BA" w:rsidRPr="50637D09">
        <w:t xml:space="preserve"> </w:t>
      </w:r>
      <w:r w:rsidR="00AA5213" w:rsidRPr="50637D09">
        <w:t xml:space="preserve"> (e</w:t>
      </w:r>
      <w:r w:rsidR="00AA5213" w:rsidRPr="50637D09">
        <w:rPr>
          <w:i/>
          <w:iCs/>
        </w:rPr>
        <w:t>.g., percent agreement and kappa for the critical data elements; distribution of reliability statistics from a signal-to-noise analysis</w:t>
      </w:r>
      <w:r w:rsidR="00AA5213" w:rsidRPr="50637D09">
        <w:t>)</w:t>
      </w:r>
    </w:p>
    <w:p w14:paraId="6C33E1CC" w14:textId="77777777" w:rsidR="002705D8" w:rsidRPr="000D6F33"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1D6A4C51" w14:textId="77777777" w:rsidR="002705D8" w:rsidRPr="00CB118B" w:rsidRDefault="002705D8"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u w:val="single"/>
        </w:rPr>
        <w:t>Measure Score Reliability</w:t>
      </w:r>
    </w:p>
    <w:p w14:paraId="4F8A1647" w14:textId="1A2A5807" w:rsidR="00655551" w:rsidRDefault="00655551"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7239A6C9" w14:textId="77777777" w:rsidR="00655551" w:rsidRDefault="00655551"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F4AC20E" w14:textId="1CD7E005" w:rsidR="00F1463D" w:rsidRDefault="00394753"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719BAE2D">
        <w:rPr>
          <w:rFonts w:ascii="Calibri" w:eastAsia="Calibri" w:hAnsi="Calibri" w:cs="Calibri"/>
          <w:color w:val="000000" w:themeColor="text1"/>
        </w:rPr>
        <w:t xml:space="preserve">The median signal-to-noise reliability for all clinician groups was 0.183 (IQR: 0.060 – 0.377) indicating that there are many small volume TINs for which the measure would not be reliably reported. </w:t>
      </w:r>
      <w:r w:rsidR="000E6750" w:rsidRPr="719BAE2D">
        <w:rPr>
          <w:rFonts w:ascii="Calibri" w:eastAsia="Calibri" w:hAnsi="Calibri" w:cs="Calibri"/>
          <w:color w:val="000000" w:themeColor="text1"/>
        </w:rPr>
        <w:t xml:space="preserve">We determined the minimum HF patient sample size for TINs needed to achieve </w:t>
      </w:r>
      <w:r w:rsidR="00F35A6B" w:rsidRPr="719BAE2D">
        <w:rPr>
          <w:rFonts w:ascii="Calibri" w:eastAsia="Calibri" w:hAnsi="Calibri" w:cs="Calibri"/>
          <w:b/>
          <w:bCs/>
          <w:color w:val="000000" w:themeColor="text1"/>
        </w:rPr>
        <w:t>minimum</w:t>
      </w:r>
      <w:r w:rsidR="00F35A6B" w:rsidRPr="719BAE2D">
        <w:rPr>
          <w:rFonts w:ascii="Calibri" w:eastAsia="Calibri" w:hAnsi="Calibri" w:cs="Calibri"/>
          <w:color w:val="000000" w:themeColor="text1"/>
        </w:rPr>
        <w:t xml:space="preserve"> </w:t>
      </w:r>
      <w:r w:rsidR="000E6750" w:rsidRPr="719BAE2D">
        <w:rPr>
          <w:rFonts w:ascii="Calibri" w:eastAsia="Calibri" w:hAnsi="Calibri" w:cs="Calibri"/>
          <w:color w:val="000000" w:themeColor="text1"/>
        </w:rPr>
        <w:t>reliability scores of 0.4</w:t>
      </w:r>
      <w:r w:rsidR="006B6A2A" w:rsidRPr="719BAE2D">
        <w:rPr>
          <w:rFonts w:ascii="Calibri" w:eastAsia="Calibri" w:hAnsi="Calibri" w:cs="Calibri"/>
          <w:color w:val="000000" w:themeColor="text1"/>
        </w:rPr>
        <w:t xml:space="preserve"> and 0.5</w:t>
      </w:r>
      <w:r w:rsidR="000E6750" w:rsidRPr="719BAE2D">
        <w:rPr>
          <w:rFonts w:ascii="Calibri" w:eastAsia="Calibri" w:hAnsi="Calibri" w:cs="Calibri"/>
          <w:color w:val="000000" w:themeColor="text1"/>
        </w:rPr>
        <w:t xml:space="preserve"> (</w:t>
      </w:r>
      <w:r w:rsidR="00F35A6B" w:rsidRPr="719BAE2D">
        <w:rPr>
          <w:rFonts w:ascii="Calibri" w:eastAsia="Calibri" w:hAnsi="Calibri" w:cs="Calibri"/>
          <w:color w:val="000000" w:themeColor="text1"/>
        </w:rPr>
        <w:t>within the range of adequate reliability</w:t>
      </w:r>
      <w:r w:rsidR="000E6750" w:rsidRPr="719BAE2D">
        <w:rPr>
          <w:rFonts w:ascii="Calibri" w:eastAsia="Calibri" w:hAnsi="Calibri" w:cs="Calibri"/>
          <w:color w:val="000000" w:themeColor="text1"/>
        </w:rPr>
        <w:t xml:space="preserve">), to be between </w:t>
      </w:r>
      <w:r w:rsidR="00F36394" w:rsidRPr="719BAE2D">
        <w:rPr>
          <w:rFonts w:ascii="Calibri" w:eastAsia="Calibri" w:hAnsi="Calibri" w:cs="Calibri"/>
          <w:color w:val="000000" w:themeColor="text1"/>
        </w:rPr>
        <w:t>21</w:t>
      </w:r>
      <w:r w:rsidR="000E6750" w:rsidRPr="719BAE2D">
        <w:rPr>
          <w:rFonts w:ascii="Calibri" w:eastAsia="Calibri" w:hAnsi="Calibri" w:cs="Calibri"/>
          <w:color w:val="000000" w:themeColor="text1"/>
        </w:rPr>
        <w:t xml:space="preserve"> and </w:t>
      </w:r>
      <w:r w:rsidR="7D0792A1" w:rsidRPr="719BAE2D">
        <w:rPr>
          <w:rFonts w:ascii="Calibri" w:eastAsia="Calibri" w:hAnsi="Calibri" w:cs="Calibri"/>
          <w:color w:val="000000" w:themeColor="text1"/>
        </w:rPr>
        <w:t>32</w:t>
      </w:r>
      <w:r w:rsidR="000E6750" w:rsidRPr="719BAE2D">
        <w:rPr>
          <w:rFonts w:ascii="Calibri" w:eastAsia="Calibri" w:hAnsi="Calibri" w:cs="Calibri"/>
          <w:color w:val="000000" w:themeColor="text1"/>
        </w:rPr>
        <w:t xml:space="preserve">. </w:t>
      </w:r>
    </w:p>
    <w:p w14:paraId="6D3C3ACE" w14:textId="77777777" w:rsidR="00F1463D" w:rsidRDefault="00F1463D"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487F18B" w14:textId="2281665A" w:rsidR="00F36394" w:rsidRDefault="000E6750" w:rsidP="002705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331BDD94">
        <w:rPr>
          <w:rFonts w:ascii="Calibri" w:eastAsia="Calibri" w:hAnsi="Calibri" w:cs="Calibri"/>
          <w:color w:val="000000" w:themeColor="text1"/>
        </w:rPr>
        <w:t xml:space="preserve">A minimum reliability of </w:t>
      </w:r>
      <w:r w:rsidR="00C272E7" w:rsidRPr="331BDD94">
        <w:rPr>
          <w:rFonts w:ascii="Calibri" w:eastAsia="Calibri" w:hAnsi="Calibri" w:cs="Calibri"/>
          <w:color w:val="000000" w:themeColor="text1"/>
        </w:rPr>
        <w:t xml:space="preserve">0.4 </w:t>
      </w:r>
      <w:r w:rsidRPr="331BDD94">
        <w:rPr>
          <w:rFonts w:ascii="Calibri" w:eastAsia="Calibri" w:hAnsi="Calibri" w:cs="Calibri"/>
          <w:color w:val="000000" w:themeColor="text1"/>
        </w:rPr>
        <w:t>was achieved for TINs with at least</w:t>
      </w:r>
      <w:r w:rsidR="00C272E7" w:rsidRPr="331BDD94">
        <w:rPr>
          <w:rFonts w:ascii="Calibri" w:eastAsia="Calibri" w:hAnsi="Calibri" w:cs="Calibri"/>
          <w:color w:val="000000" w:themeColor="text1"/>
        </w:rPr>
        <w:t xml:space="preserve"> </w:t>
      </w:r>
      <w:r w:rsidR="4F117D06" w:rsidRPr="331BDD94">
        <w:rPr>
          <w:rFonts w:ascii="Calibri" w:eastAsia="Calibri" w:hAnsi="Calibri" w:cs="Calibri"/>
          <w:color w:val="000000" w:themeColor="text1"/>
        </w:rPr>
        <w:t>21</w:t>
      </w:r>
      <w:r w:rsidRPr="331BDD94">
        <w:rPr>
          <w:rFonts w:ascii="Calibri" w:eastAsia="Calibri" w:hAnsi="Calibri" w:cs="Calibri"/>
          <w:color w:val="000000" w:themeColor="text1"/>
        </w:rPr>
        <w:t xml:space="preserve"> HF patients. At th</w:t>
      </w:r>
      <w:r w:rsidR="75A16EAF" w:rsidRPr="331BDD94">
        <w:rPr>
          <w:rFonts w:ascii="Calibri" w:eastAsia="Calibri" w:hAnsi="Calibri" w:cs="Calibri"/>
          <w:color w:val="000000" w:themeColor="text1"/>
        </w:rPr>
        <w:t>is</w:t>
      </w:r>
      <w:r w:rsidRPr="331BDD94">
        <w:rPr>
          <w:rFonts w:ascii="Calibri" w:eastAsia="Calibri" w:hAnsi="Calibri" w:cs="Calibri"/>
          <w:color w:val="000000" w:themeColor="text1"/>
        </w:rPr>
        <w:t xml:space="preserve"> threshold, reliability scores </w:t>
      </w:r>
      <w:r w:rsidR="00655551" w:rsidRPr="331BDD94">
        <w:rPr>
          <w:rFonts w:ascii="Calibri" w:eastAsia="Calibri" w:hAnsi="Calibri" w:cs="Calibri"/>
          <w:color w:val="000000" w:themeColor="text1"/>
        </w:rPr>
        <w:t xml:space="preserve">for TINs </w:t>
      </w:r>
      <w:r w:rsidRPr="331BDD94">
        <w:rPr>
          <w:rFonts w:ascii="Calibri" w:eastAsia="Calibri" w:hAnsi="Calibri" w:cs="Calibri"/>
          <w:color w:val="000000" w:themeColor="text1"/>
        </w:rPr>
        <w:t>ranged from 0.</w:t>
      </w:r>
      <w:r w:rsidR="00C272E7" w:rsidRPr="331BDD94">
        <w:rPr>
          <w:rFonts w:ascii="Calibri" w:eastAsia="Calibri" w:hAnsi="Calibri" w:cs="Calibri"/>
          <w:color w:val="000000" w:themeColor="text1"/>
        </w:rPr>
        <w:t>4</w:t>
      </w:r>
      <w:r w:rsidRPr="331BDD94">
        <w:rPr>
          <w:rFonts w:ascii="Calibri" w:eastAsia="Calibri" w:hAnsi="Calibri" w:cs="Calibri"/>
          <w:color w:val="000000" w:themeColor="text1"/>
        </w:rPr>
        <w:t>0 to nearly 1.0, with</w:t>
      </w:r>
      <w:r w:rsidR="2E63EF9F" w:rsidRPr="331BDD94">
        <w:rPr>
          <w:rFonts w:ascii="Calibri" w:eastAsia="Calibri" w:hAnsi="Calibri" w:cs="Calibri"/>
          <w:color w:val="000000" w:themeColor="text1"/>
        </w:rPr>
        <w:t xml:space="preserve"> a</w:t>
      </w:r>
      <w:r w:rsidRPr="331BDD94">
        <w:rPr>
          <w:rFonts w:ascii="Calibri" w:eastAsia="Calibri" w:hAnsi="Calibri" w:cs="Calibri"/>
          <w:color w:val="000000" w:themeColor="text1"/>
        </w:rPr>
        <w:t xml:space="preserve"> median value of </w:t>
      </w:r>
      <w:r w:rsidR="00C272E7" w:rsidRPr="331BDD94">
        <w:rPr>
          <w:rFonts w:ascii="Calibri" w:eastAsia="Calibri" w:hAnsi="Calibri" w:cs="Calibri"/>
          <w:color w:val="000000" w:themeColor="text1"/>
        </w:rPr>
        <w:t xml:space="preserve">0.600 </w:t>
      </w:r>
      <w:r w:rsidR="00595582" w:rsidRPr="331BDD94">
        <w:rPr>
          <w:rFonts w:ascii="Calibri" w:eastAsia="Calibri" w:hAnsi="Calibri" w:cs="Calibri"/>
          <w:color w:val="000000" w:themeColor="text1"/>
        </w:rPr>
        <w:t>(IQR 0.481-0.778)</w:t>
      </w:r>
      <w:r w:rsidR="00F36394" w:rsidRPr="331BDD94">
        <w:rPr>
          <w:rFonts w:ascii="Calibri" w:eastAsia="Calibri" w:hAnsi="Calibri" w:cs="Calibri"/>
          <w:color w:val="000000" w:themeColor="text1"/>
        </w:rPr>
        <w:t>. With th</w:t>
      </w:r>
      <w:r w:rsidR="00595582" w:rsidRPr="331BDD94">
        <w:rPr>
          <w:rFonts w:ascii="Calibri" w:eastAsia="Calibri" w:hAnsi="Calibri" w:cs="Calibri"/>
          <w:color w:val="000000" w:themeColor="text1"/>
        </w:rPr>
        <w:t>e</w:t>
      </w:r>
      <w:r w:rsidR="00F36394" w:rsidRPr="331BDD94">
        <w:rPr>
          <w:rFonts w:ascii="Calibri" w:eastAsia="Calibri" w:hAnsi="Calibri" w:cs="Calibri"/>
          <w:color w:val="000000" w:themeColor="text1"/>
        </w:rPr>
        <w:t xml:space="preserve"> </w:t>
      </w:r>
      <w:r w:rsidR="666FFEB3" w:rsidRPr="331BDD94">
        <w:rPr>
          <w:rFonts w:ascii="Calibri" w:eastAsia="Calibri" w:hAnsi="Calibri" w:cs="Calibri"/>
          <w:color w:val="000000" w:themeColor="text1"/>
        </w:rPr>
        <w:t>21</w:t>
      </w:r>
      <w:r w:rsidRPr="331BDD94">
        <w:rPr>
          <w:rFonts w:ascii="Calibri" w:eastAsia="Calibri" w:hAnsi="Calibri" w:cs="Calibri"/>
          <w:color w:val="000000" w:themeColor="text1"/>
        </w:rPr>
        <w:t xml:space="preserve">-patient volume minimum, the measure included </w:t>
      </w:r>
      <w:r w:rsidR="00595582" w:rsidRPr="331BDD94">
        <w:rPr>
          <w:rFonts w:ascii="Calibri" w:eastAsia="Calibri" w:hAnsi="Calibri" w:cs="Calibri"/>
          <w:color w:val="000000" w:themeColor="text1"/>
        </w:rPr>
        <w:t xml:space="preserve">23.9% </w:t>
      </w:r>
      <w:r w:rsidRPr="331BDD94">
        <w:rPr>
          <w:rFonts w:ascii="Calibri" w:eastAsia="Calibri" w:hAnsi="Calibri" w:cs="Calibri"/>
          <w:color w:val="000000" w:themeColor="text1"/>
        </w:rPr>
        <w:t xml:space="preserve">of clinician groups; however, </w:t>
      </w:r>
      <w:r w:rsidR="00595582" w:rsidRPr="331BDD94">
        <w:rPr>
          <w:rFonts w:ascii="Calibri" w:eastAsia="Calibri" w:hAnsi="Calibri" w:cs="Calibri"/>
          <w:color w:val="000000" w:themeColor="text1"/>
        </w:rPr>
        <w:t xml:space="preserve">88.9% </w:t>
      </w:r>
      <w:r w:rsidRPr="331BDD94">
        <w:rPr>
          <w:rFonts w:ascii="Calibri" w:eastAsia="Calibri" w:hAnsi="Calibri" w:cs="Calibri"/>
          <w:color w:val="000000" w:themeColor="text1"/>
        </w:rPr>
        <w:t xml:space="preserve">of the patients, </w:t>
      </w:r>
      <w:r w:rsidR="00595582" w:rsidRPr="331BDD94">
        <w:rPr>
          <w:rFonts w:ascii="Calibri" w:eastAsia="Calibri" w:hAnsi="Calibri" w:cs="Calibri"/>
          <w:color w:val="000000" w:themeColor="text1"/>
        </w:rPr>
        <w:t xml:space="preserve">91.3% </w:t>
      </w:r>
      <w:r w:rsidRPr="331BDD94">
        <w:rPr>
          <w:rFonts w:ascii="Calibri" w:eastAsia="Calibri" w:hAnsi="Calibri" w:cs="Calibri"/>
          <w:color w:val="000000" w:themeColor="text1"/>
        </w:rPr>
        <w:t xml:space="preserve">of the admissions, and </w:t>
      </w:r>
      <w:r w:rsidR="00595582" w:rsidRPr="331BDD94">
        <w:rPr>
          <w:rFonts w:ascii="Calibri" w:eastAsia="Calibri" w:hAnsi="Calibri" w:cs="Calibri"/>
          <w:color w:val="000000" w:themeColor="text1"/>
        </w:rPr>
        <w:t xml:space="preserve">69.8% </w:t>
      </w:r>
      <w:r w:rsidRPr="331BDD94">
        <w:rPr>
          <w:rFonts w:ascii="Calibri" w:eastAsia="Calibri" w:hAnsi="Calibri" w:cs="Calibri"/>
          <w:color w:val="000000" w:themeColor="text1"/>
        </w:rPr>
        <w:t xml:space="preserve">of clinicians, who reported under these TINs. </w:t>
      </w:r>
    </w:p>
    <w:p w14:paraId="3B7FB40C" w14:textId="44F360CF" w:rsidR="00F36394" w:rsidRDefault="00F36394" w:rsidP="331BDD94">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color w:val="000000"/>
        </w:rPr>
      </w:pPr>
    </w:p>
    <w:tbl>
      <w:tblPr>
        <w:tblW w:w="9369" w:type="dxa"/>
        <w:tblLook w:val="04A0" w:firstRow="1" w:lastRow="0" w:firstColumn="1" w:lastColumn="0" w:noHBand="0" w:noVBand="1"/>
      </w:tblPr>
      <w:tblGrid>
        <w:gridCol w:w="2580"/>
        <w:gridCol w:w="1960"/>
        <w:gridCol w:w="2444"/>
        <w:gridCol w:w="2385"/>
      </w:tblGrid>
      <w:tr w:rsidR="00C272E7" w:rsidRPr="00C272E7" w14:paraId="1D5D1A89" w14:textId="77777777" w:rsidTr="3E03A949">
        <w:trPr>
          <w:cantSplit/>
          <w:trHeight w:val="20"/>
          <w:tblHeader/>
        </w:trPr>
        <w:tc>
          <w:tcPr>
            <w:tcW w:w="258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4522C31"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themeColor="text1"/>
              </w:rPr>
              <w:t>Statistic</w:t>
            </w:r>
          </w:p>
        </w:tc>
        <w:tc>
          <w:tcPr>
            <w:tcW w:w="19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F761404"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b/>
                <w:bCs/>
                <w:color w:val="000000"/>
              </w:rPr>
            </w:pPr>
            <w:r w:rsidRPr="00B32E69">
              <w:rPr>
                <w:rFonts w:ascii="Calibri" w:eastAsia="Calibri" w:hAnsi="Calibri" w:cs="Calibri"/>
                <w:b/>
                <w:bCs/>
                <w:color w:val="000000"/>
              </w:rPr>
              <w:t>All TINs</w:t>
            </w:r>
          </w:p>
        </w:tc>
        <w:tc>
          <w:tcPr>
            <w:tcW w:w="244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FEAAA7A" w14:textId="1145ECDF"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b/>
                <w:bCs/>
                <w:color w:val="000000"/>
              </w:rPr>
            </w:pPr>
            <w:r w:rsidRPr="00B32E69">
              <w:rPr>
                <w:rFonts w:ascii="Calibri" w:eastAsia="Calibri" w:hAnsi="Calibri" w:cs="Calibri"/>
                <w:b/>
                <w:bCs/>
                <w:color w:val="000000"/>
              </w:rPr>
              <w:t>TINs with volume &gt;=21 (R=0.4)</w:t>
            </w:r>
          </w:p>
        </w:tc>
        <w:tc>
          <w:tcPr>
            <w:tcW w:w="238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89B0008" w14:textId="429CDD56"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b/>
                <w:bCs/>
                <w:color w:val="000000"/>
              </w:rPr>
            </w:pPr>
            <w:r w:rsidRPr="00B32E69">
              <w:rPr>
                <w:rFonts w:ascii="Calibri" w:eastAsia="Calibri" w:hAnsi="Calibri" w:cs="Calibri"/>
                <w:b/>
                <w:bCs/>
                <w:color w:val="000000"/>
              </w:rPr>
              <w:t>TINs with volume &gt;=32 (R=0.5)</w:t>
            </w:r>
          </w:p>
        </w:tc>
      </w:tr>
      <w:tr w:rsidR="00C272E7" w:rsidRPr="00C272E7" w14:paraId="142F1CB1"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vAlign w:val="center"/>
            <w:hideMark/>
          </w:tcPr>
          <w:p w14:paraId="17CFB544"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Number (%) of TINs</w:t>
            </w:r>
          </w:p>
        </w:tc>
        <w:tc>
          <w:tcPr>
            <w:tcW w:w="1960" w:type="dxa"/>
            <w:tcBorders>
              <w:top w:val="nil"/>
              <w:left w:val="nil"/>
              <w:bottom w:val="single" w:sz="4" w:space="0" w:color="auto"/>
              <w:right w:val="single" w:sz="4" w:space="0" w:color="auto"/>
            </w:tcBorders>
            <w:shd w:val="clear" w:color="auto" w:fill="auto"/>
            <w:noWrap/>
            <w:vAlign w:val="center"/>
          </w:tcPr>
          <w:p w14:paraId="1669ADB9" w14:textId="1696C724"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45,093</w:t>
            </w:r>
          </w:p>
        </w:tc>
        <w:tc>
          <w:tcPr>
            <w:tcW w:w="2444" w:type="dxa"/>
            <w:tcBorders>
              <w:top w:val="nil"/>
              <w:left w:val="nil"/>
              <w:bottom w:val="single" w:sz="4" w:space="0" w:color="auto"/>
              <w:right w:val="single" w:sz="4" w:space="0" w:color="auto"/>
            </w:tcBorders>
            <w:shd w:val="clear" w:color="auto" w:fill="auto"/>
            <w:noWrap/>
            <w:vAlign w:val="center"/>
          </w:tcPr>
          <w:p w14:paraId="6F3A58A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10,760 (23.9%)</w:t>
            </w:r>
          </w:p>
        </w:tc>
        <w:tc>
          <w:tcPr>
            <w:tcW w:w="2385" w:type="dxa"/>
            <w:tcBorders>
              <w:top w:val="nil"/>
              <w:left w:val="nil"/>
              <w:bottom w:val="single" w:sz="4" w:space="0" w:color="auto"/>
              <w:right w:val="single" w:sz="4" w:space="0" w:color="auto"/>
            </w:tcBorders>
            <w:shd w:val="clear" w:color="auto" w:fill="auto"/>
            <w:noWrap/>
            <w:vAlign w:val="center"/>
          </w:tcPr>
          <w:p w14:paraId="2C675B87"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7,565 (16.8%)</w:t>
            </w:r>
          </w:p>
        </w:tc>
      </w:tr>
      <w:tr w:rsidR="00C272E7" w:rsidRPr="00C272E7" w14:paraId="38E3781B"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6E6C7330"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Number (%) of patients</w:t>
            </w:r>
          </w:p>
        </w:tc>
        <w:tc>
          <w:tcPr>
            <w:tcW w:w="1960" w:type="dxa"/>
            <w:tcBorders>
              <w:top w:val="nil"/>
              <w:left w:val="nil"/>
              <w:bottom w:val="single" w:sz="4" w:space="0" w:color="auto"/>
              <w:right w:val="single" w:sz="4" w:space="0" w:color="auto"/>
            </w:tcBorders>
            <w:shd w:val="clear" w:color="auto" w:fill="auto"/>
            <w:noWrap/>
            <w:vAlign w:val="center"/>
          </w:tcPr>
          <w:p w14:paraId="518BDDD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1,846,193</w:t>
            </w:r>
          </w:p>
        </w:tc>
        <w:tc>
          <w:tcPr>
            <w:tcW w:w="2444" w:type="dxa"/>
            <w:tcBorders>
              <w:top w:val="nil"/>
              <w:left w:val="nil"/>
              <w:bottom w:val="single" w:sz="4" w:space="0" w:color="auto"/>
              <w:right w:val="single" w:sz="4" w:space="0" w:color="auto"/>
            </w:tcBorders>
            <w:shd w:val="clear" w:color="auto" w:fill="auto"/>
            <w:noWrap/>
            <w:vAlign w:val="center"/>
          </w:tcPr>
          <w:p w14:paraId="7DC96B9F"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1,642,116 (88.9%)</w:t>
            </w:r>
          </w:p>
        </w:tc>
        <w:tc>
          <w:tcPr>
            <w:tcW w:w="2385" w:type="dxa"/>
            <w:tcBorders>
              <w:top w:val="nil"/>
              <w:left w:val="nil"/>
              <w:bottom w:val="single" w:sz="4" w:space="0" w:color="auto"/>
              <w:right w:val="single" w:sz="4" w:space="0" w:color="auto"/>
            </w:tcBorders>
            <w:shd w:val="clear" w:color="auto" w:fill="auto"/>
            <w:noWrap/>
            <w:vAlign w:val="center"/>
          </w:tcPr>
          <w:p w14:paraId="3332A4A7"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1,560,905 (84.5%)</w:t>
            </w:r>
          </w:p>
        </w:tc>
      </w:tr>
      <w:tr w:rsidR="00C272E7" w:rsidRPr="00C272E7" w14:paraId="5706D4DD"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09836AB2"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Number (%) of admissions</w:t>
            </w:r>
          </w:p>
        </w:tc>
        <w:tc>
          <w:tcPr>
            <w:tcW w:w="1960" w:type="dxa"/>
            <w:tcBorders>
              <w:top w:val="nil"/>
              <w:left w:val="nil"/>
              <w:bottom w:val="single" w:sz="4" w:space="0" w:color="auto"/>
              <w:right w:val="single" w:sz="4" w:space="0" w:color="auto"/>
            </w:tcBorders>
            <w:shd w:val="clear" w:color="auto" w:fill="auto"/>
            <w:noWrap/>
            <w:vAlign w:val="center"/>
          </w:tcPr>
          <w:p w14:paraId="11A0DBB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394,216</w:t>
            </w:r>
          </w:p>
        </w:tc>
        <w:tc>
          <w:tcPr>
            <w:tcW w:w="2444" w:type="dxa"/>
            <w:tcBorders>
              <w:top w:val="nil"/>
              <w:left w:val="nil"/>
              <w:bottom w:val="single" w:sz="4" w:space="0" w:color="auto"/>
              <w:right w:val="single" w:sz="4" w:space="0" w:color="auto"/>
            </w:tcBorders>
            <w:shd w:val="clear" w:color="auto" w:fill="auto"/>
            <w:noWrap/>
            <w:vAlign w:val="center"/>
          </w:tcPr>
          <w:p w14:paraId="63191BDF"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359,936 (91.3%)</w:t>
            </w:r>
          </w:p>
        </w:tc>
        <w:tc>
          <w:tcPr>
            <w:tcW w:w="2385" w:type="dxa"/>
            <w:tcBorders>
              <w:top w:val="nil"/>
              <w:left w:val="nil"/>
              <w:bottom w:val="single" w:sz="4" w:space="0" w:color="auto"/>
              <w:right w:val="single" w:sz="4" w:space="0" w:color="auto"/>
            </w:tcBorders>
            <w:shd w:val="clear" w:color="auto" w:fill="auto"/>
            <w:noWrap/>
            <w:vAlign w:val="center"/>
          </w:tcPr>
          <w:p w14:paraId="554F1C8B"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345,167 (87.6%)</w:t>
            </w:r>
          </w:p>
        </w:tc>
      </w:tr>
      <w:tr w:rsidR="00C272E7" w:rsidRPr="00C272E7" w14:paraId="0E562A9B"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tcPr>
          <w:p w14:paraId="3C21105B"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Number (%) of individual clinicians reporting under the same TIN</w:t>
            </w:r>
          </w:p>
        </w:tc>
        <w:tc>
          <w:tcPr>
            <w:tcW w:w="1960" w:type="dxa"/>
            <w:tcBorders>
              <w:top w:val="nil"/>
              <w:left w:val="nil"/>
              <w:bottom w:val="single" w:sz="4" w:space="0" w:color="auto"/>
              <w:right w:val="single" w:sz="4" w:space="0" w:color="auto"/>
            </w:tcBorders>
            <w:shd w:val="clear" w:color="auto" w:fill="auto"/>
            <w:noWrap/>
            <w:vAlign w:val="center"/>
          </w:tcPr>
          <w:p w14:paraId="5B7D466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157,564</w:t>
            </w:r>
          </w:p>
        </w:tc>
        <w:tc>
          <w:tcPr>
            <w:tcW w:w="2444" w:type="dxa"/>
            <w:tcBorders>
              <w:top w:val="nil"/>
              <w:left w:val="nil"/>
              <w:bottom w:val="single" w:sz="4" w:space="0" w:color="auto"/>
              <w:right w:val="single" w:sz="4" w:space="0" w:color="auto"/>
            </w:tcBorders>
            <w:shd w:val="clear" w:color="auto" w:fill="auto"/>
            <w:noWrap/>
            <w:vAlign w:val="center"/>
          </w:tcPr>
          <w:p w14:paraId="7001D07A"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110,053 (69.8%)</w:t>
            </w:r>
          </w:p>
        </w:tc>
        <w:tc>
          <w:tcPr>
            <w:tcW w:w="2385" w:type="dxa"/>
            <w:tcBorders>
              <w:top w:val="nil"/>
              <w:left w:val="nil"/>
              <w:bottom w:val="single" w:sz="4" w:space="0" w:color="auto"/>
              <w:right w:val="single" w:sz="4" w:space="0" w:color="auto"/>
            </w:tcBorders>
            <w:shd w:val="clear" w:color="auto" w:fill="auto"/>
            <w:noWrap/>
            <w:vAlign w:val="center"/>
          </w:tcPr>
          <w:p w14:paraId="10A7BEFA"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102,178 (64.8%)</w:t>
            </w:r>
          </w:p>
        </w:tc>
      </w:tr>
      <w:tr w:rsidR="00C272E7" w:rsidRPr="00C272E7" w14:paraId="00F524DC" w14:textId="77777777" w:rsidTr="3E03A949">
        <w:trPr>
          <w:cantSplit/>
          <w:trHeight w:val="20"/>
          <w:tblHeader/>
        </w:trPr>
        <w:tc>
          <w:tcPr>
            <w:tcW w:w="9369" w:type="dxa"/>
            <w:gridSpan w:val="4"/>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AAD2F1D"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b/>
                <w:color w:val="000000"/>
              </w:rPr>
            </w:pPr>
            <w:r w:rsidRPr="00B32E69">
              <w:rPr>
                <w:rFonts w:ascii="Calibri" w:eastAsia="Calibri" w:hAnsi="Calibri" w:cs="Calibri"/>
                <w:b/>
                <w:color w:val="000000"/>
              </w:rPr>
              <w:t>Distribution of reliability scores</w:t>
            </w:r>
          </w:p>
        </w:tc>
      </w:tr>
      <w:tr w:rsidR="00C272E7" w:rsidRPr="00C272E7" w14:paraId="11578AC2"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5793BDAC"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Maximum</w:t>
            </w:r>
          </w:p>
        </w:tc>
        <w:tc>
          <w:tcPr>
            <w:tcW w:w="1960" w:type="dxa"/>
            <w:tcBorders>
              <w:top w:val="nil"/>
              <w:left w:val="nil"/>
              <w:bottom w:val="single" w:sz="4" w:space="0" w:color="auto"/>
              <w:right w:val="single" w:sz="4" w:space="0" w:color="auto"/>
            </w:tcBorders>
            <w:shd w:val="clear" w:color="auto" w:fill="auto"/>
            <w:noWrap/>
          </w:tcPr>
          <w:p w14:paraId="59E060B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0.995</w:t>
            </w:r>
          </w:p>
        </w:tc>
        <w:tc>
          <w:tcPr>
            <w:tcW w:w="2444" w:type="dxa"/>
            <w:tcBorders>
              <w:top w:val="nil"/>
              <w:left w:val="nil"/>
              <w:bottom w:val="single" w:sz="4" w:space="0" w:color="auto"/>
              <w:right w:val="single" w:sz="4" w:space="0" w:color="auto"/>
            </w:tcBorders>
            <w:shd w:val="clear" w:color="auto" w:fill="auto"/>
            <w:noWrap/>
          </w:tcPr>
          <w:p w14:paraId="0FEAA9F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0.995</w:t>
            </w:r>
          </w:p>
        </w:tc>
        <w:tc>
          <w:tcPr>
            <w:tcW w:w="2385" w:type="dxa"/>
            <w:tcBorders>
              <w:top w:val="nil"/>
              <w:left w:val="nil"/>
              <w:bottom w:val="single" w:sz="4" w:space="0" w:color="auto"/>
              <w:right w:val="single" w:sz="4" w:space="0" w:color="auto"/>
            </w:tcBorders>
            <w:shd w:val="clear" w:color="auto" w:fill="auto"/>
            <w:noWrap/>
          </w:tcPr>
          <w:p w14:paraId="38864025"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0.995</w:t>
            </w:r>
          </w:p>
        </w:tc>
      </w:tr>
      <w:tr w:rsidR="00C272E7" w:rsidRPr="00C272E7" w14:paraId="4A6853C8"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6672FA9C"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99</w:t>
            </w:r>
            <w:r w:rsidRPr="00B32E69">
              <w:rPr>
                <w:rFonts w:ascii="Calibri" w:eastAsia="Calibri" w:hAnsi="Calibri" w:cs="Calibri"/>
                <w:b/>
                <w:bCs/>
                <w:color w:val="000000"/>
                <w:vertAlign w:val="superscript"/>
              </w:rPr>
              <w:t>th</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64050D1C"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0.960</w:t>
            </w:r>
          </w:p>
        </w:tc>
        <w:tc>
          <w:tcPr>
            <w:tcW w:w="2444" w:type="dxa"/>
            <w:tcBorders>
              <w:top w:val="nil"/>
              <w:left w:val="nil"/>
              <w:bottom w:val="single" w:sz="4" w:space="0" w:color="auto"/>
              <w:right w:val="single" w:sz="4" w:space="0" w:color="auto"/>
            </w:tcBorders>
            <w:shd w:val="clear" w:color="auto" w:fill="auto"/>
            <w:noWrap/>
          </w:tcPr>
          <w:p w14:paraId="30D4CE3A"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0.982</w:t>
            </w:r>
          </w:p>
        </w:tc>
        <w:tc>
          <w:tcPr>
            <w:tcW w:w="2385" w:type="dxa"/>
            <w:tcBorders>
              <w:top w:val="nil"/>
              <w:left w:val="nil"/>
              <w:bottom w:val="single" w:sz="4" w:space="0" w:color="auto"/>
              <w:right w:val="single" w:sz="4" w:space="0" w:color="auto"/>
            </w:tcBorders>
            <w:shd w:val="clear" w:color="auto" w:fill="auto"/>
            <w:noWrap/>
          </w:tcPr>
          <w:p w14:paraId="6EF865DA"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0.985</w:t>
            </w:r>
          </w:p>
        </w:tc>
      </w:tr>
      <w:tr w:rsidR="00C272E7" w:rsidRPr="00C272E7" w14:paraId="11385932"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1F62F59A"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95</w:t>
            </w:r>
            <w:r w:rsidRPr="00B32E69">
              <w:rPr>
                <w:rFonts w:ascii="Calibri" w:eastAsia="Calibri" w:hAnsi="Calibri" w:cs="Calibri"/>
                <w:b/>
                <w:bCs/>
                <w:color w:val="000000"/>
                <w:vertAlign w:val="superscript"/>
              </w:rPr>
              <w:t>th</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3274D589"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0.813</w:t>
            </w:r>
          </w:p>
        </w:tc>
        <w:tc>
          <w:tcPr>
            <w:tcW w:w="2444" w:type="dxa"/>
            <w:tcBorders>
              <w:top w:val="nil"/>
              <w:left w:val="nil"/>
              <w:bottom w:val="single" w:sz="4" w:space="0" w:color="auto"/>
              <w:right w:val="single" w:sz="4" w:space="0" w:color="auto"/>
            </w:tcBorders>
            <w:shd w:val="clear" w:color="auto" w:fill="auto"/>
            <w:noWrap/>
          </w:tcPr>
          <w:p w14:paraId="4730B246"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0.953</w:t>
            </w:r>
          </w:p>
        </w:tc>
        <w:tc>
          <w:tcPr>
            <w:tcW w:w="2385" w:type="dxa"/>
            <w:tcBorders>
              <w:top w:val="nil"/>
              <w:left w:val="nil"/>
              <w:bottom w:val="single" w:sz="4" w:space="0" w:color="auto"/>
              <w:right w:val="single" w:sz="4" w:space="0" w:color="auto"/>
            </w:tcBorders>
            <w:shd w:val="clear" w:color="auto" w:fill="auto"/>
            <w:noWrap/>
          </w:tcPr>
          <w:p w14:paraId="3234088A"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0.964</w:t>
            </w:r>
          </w:p>
        </w:tc>
      </w:tr>
      <w:tr w:rsidR="00C272E7" w:rsidRPr="00C272E7" w14:paraId="1BA506F8"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39C29C72"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90</w:t>
            </w:r>
            <w:r w:rsidRPr="00B32E69">
              <w:rPr>
                <w:rFonts w:ascii="Calibri" w:eastAsia="Calibri" w:hAnsi="Calibri" w:cs="Calibri"/>
                <w:b/>
                <w:bCs/>
                <w:color w:val="000000"/>
                <w:vertAlign w:val="superscript"/>
              </w:rPr>
              <w:t>th</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79F88D9D"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0.649</w:t>
            </w:r>
          </w:p>
        </w:tc>
        <w:tc>
          <w:tcPr>
            <w:tcW w:w="2444" w:type="dxa"/>
            <w:tcBorders>
              <w:top w:val="nil"/>
              <w:left w:val="nil"/>
              <w:bottom w:val="single" w:sz="4" w:space="0" w:color="auto"/>
              <w:right w:val="single" w:sz="4" w:space="0" w:color="auto"/>
            </w:tcBorders>
            <w:shd w:val="clear" w:color="auto" w:fill="auto"/>
            <w:noWrap/>
          </w:tcPr>
          <w:p w14:paraId="4F5DB5D2"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0.912</w:t>
            </w:r>
          </w:p>
        </w:tc>
        <w:tc>
          <w:tcPr>
            <w:tcW w:w="2385" w:type="dxa"/>
            <w:tcBorders>
              <w:top w:val="nil"/>
              <w:left w:val="nil"/>
              <w:bottom w:val="single" w:sz="4" w:space="0" w:color="auto"/>
              <w:right w:val="single" w:sz="4" w:space="0" w:color="auto"/>
            </w:tcBorders>
            <w:shd w:val="clear" w:color="auto" w:fill="auto"/>
            <w:noWrap/>
          </w:tcPr>
          <w:p w14:paraId="591527CF"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0.937</w:t>
            </w:r>
          </w:p>
        </w:tc>
      </w:tr>
      <w:tr w:rsidR="00C272E7" w:rsidRPr="00C272E7" w14:paraId="6CF0E119"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2509189C"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75</w:t>
            </w:r>
            <w:r w:rsidRPr="00B32E69">
              <w:rPr>
                <w:rFonts w:ascii="Calibri" w:eastAsia="Calibri" w:hAnsi="Calibri" w:cs="Calibri"/>
                <w:b/>
                <w:bCs/>
                <w:color w:val="000000"/>
                <w:vertAlign w:val="superscript"/>
              </w:rPr>
              <w:t>th</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6901DB35"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0.377</w:t>
            </w:r>
          </w:p>
        </w:tc>
        <w:tc>
          <w:tcPr>
            <w:tcW w:w="2444" w:type="dxa"/>
            <w:tcBorders>
              <w:top w:val="nil"/>
              <w:left w:val="nil"/>
              <w:bottom w:val="single" w:sz="4" w:space="0" w:color="auto"/>
              <w:right w:val="single" w:sz="4" w:space="0" w:color="auto"/>
            </w:tcBorders>
            <w:shd w:val="clear" w:color="auto" w:fill="auto"/>
            <w:noWrap/>
          </w:tcPr>
          <w:p w14:paraId="0743657C"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0.778</w:t>
            </w:r>
          </w:p>
        </w:tc>
        <w:tc>
          <w:tcPr>
            <w:tcW w:w="2385" w:type="dxa"/>
            <w:tcBorders>
              <w:top w:val="nil"/>
              <w:left w:val="nil"/>
              <w:bottom w:val="single" w:sz="4" w:space="0" w:color="auto"/>
              <w:right w:val="single" w:sz="4" w:space="0" w:color="auto"/>
            </w:tcBorders>
            <w:shd w:val="clear" w:color="auto" w:fill="auto"/>
            <w:noWrap/>
          </w:tcPr>
          <w:p w14:paraId="3F9908BC"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0.843</w:t>
            </w:r>
          </w:p>
        </w:tc>
      </w:tr>
      <w:tr w:rsidR="00C272E7" w:rsidRPr="00C272E7" w14:paraId="1ED90F94"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6FF85CE3"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Median</w:t>
            </w:r>
          </w:p>
        </w:tc>
        <w:tc>
          <w:tcPr>
            <w:tcW w:w="1960" w:type="dxa"/>
            <w:tcBorders>
              <w:top w:val="nil"/>
              <w:left w:val="nil"/>
              <w:bottom w:val="single" w:sz="4" w:space="0" w:color="auto"/>
              <w:right w:val="single" w:sz="4" w:space="0" w:color="auto"/>
            </w:tcBorders>
            <w:shd w:val="clear" w:color="auto" w:fill="auto"/>
            <w:noWrap/>
          </w:tcPr>
          <w:p w14:paraId="2610646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0.183</w:t>
            </w:r>
          </w:p>
        </w:tc>
        <w:tc>
          <w:tcPr>
            <w:tcW w:w="2444" w:type="dxa"/>
            <w:tcBorders>
              <w:top w:val="nil"/>
              <w:left w:val="nil"/>
              <w:bottom w:val="single" w:sz="4" w:space="0" w:color="auto"/>
              <w:right w:val="single" w:sz="4" w:space="0" w:color="auto"/>
            </w:tcBorders>
            <w:shd w:val="clear" w:color="auto" w:fill="auto"/>
            <w:noWrap/>
          </w:tcPr>
          <w:p w14:paraId="5DE7B71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0.600</w:t>
            </w:r>
          </w:p>
        </w:tc>
        <w:tc>
          <w:tcPr>
            <w:tcW w:w="2385" w:type="dxa"/>
            <w:tcBorders>
              <w:top w:val="nil"/>
              <w:left w:val="nil"/>
              <w:bottom w:val="single" w:sz="4" w:space="0" w:color="auto"/>
              <w:right w:val="single" w:sz="4" w:space="0" w:color="auto"/>
            </w:tcBorders>
            <w:shd w:val="clear" w:color="auto" w:fill="auto"/>
            <w:noWrap/>
          </w:tcPr>
          <w:p w14:paraId="1D674BF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0.700</w:t>
            </w:r>
          </w:p>
        </w:tc>
      </w:tr>
      <w:tr w:rsidR="00C272E7" w:rsidRPr="00C272E7" w14:paraId="4D715E1F"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08376EFF"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25</w:t>
            </w:r>
            <w:r w:rsidRPr="00B32E69">
              <w:rPr>
                <w:rFonts w:ascii="Calibri" w:eastAsia="Calibri" w:hAnsi="Calibri" w:cs="Calibri"/>
                <w:b/>
                <w:bCs/>
                <w:color w:val="000000"/>
                <w:vertAlign w:val="superscript"/>
              </w:rPr>
              <w:t>th</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51A9D206"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0.060</w:t>
            </w:r>
          </w:p>
        </w:tc>
        <w:tc>
          <w:tcPr>
            <w:tcW w:w="2444" w:type="dxa"/>
            <w:tcBorders>
              <w:top w:val="nil"/>
              <w:left w:val="nil"/>
              <w:bottom w:val="single" w:sz="4" w:space="0" w:color="auto"/>
              <w:right w:val="single" w:sz="4" w:space="0" w:color="auto"/>
            </w:tcBorders>
            <w:shd w:val="clear" w:color="auto" w:fill="auto"/>
            <w:noWrap/>
          </w:tcPr>
          <w:p w14:paraId="7AEB2284"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0.481</w:t>
            </w:r>
          </w:p>
        </w:tc>
        <w:tc>
          <w:tcPr>
            <w:tcW w:w="2385" w:type="dxa"/>
            <w:tcBorders>
              <w:top w:val="nil"/>
              <w:left w:val="nil"/>
              <w:bottom w:val="single" w:sz="4" w:space="0" w:color="auto"/>
              <w:right w:val="single" w:sz="4" w:space="0" w:color="auto"/>
            </w:tcBorders>
            <w:shd w:val="clear" w:color="auto" w:fill="auto"/>
            <w:noWrap/>
          </w:tcPr>
          <w:p w14:paraId="2998293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0.584</w:t>
            </w:r>
          </w:p>
        </w:tc>
      </w:tr>
      <w:tr w:rsidR="00C272E7" w:rsidRPr="00C272E7" w14:paraId="703BAF93"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1134A7E0"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10</w:t>
            </w:r>
            <w:r w:rsidRPr="00B32E69">
              <w:rPr>
                <w:rFonts w:ascii="Calibri" w:eastAsia="Calibri" w:hAnsi="Calibri" w:cs="Calibri"/>
                <w:b/>
                <w:bCs/>
                <w:color w:val="000000"/>
                <w:vertAlign w:val="superscript"/>
              </w:rPr>
              <w:t>th</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2C190355"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0.031</w:t>
            </w:r>
          </w:p>
        </w:tc>
        <w:tc>
          <w:tcPr>
            <w:tcW w:w="2444" w:type="dxa"/>
            <w:tcBorders>
              <w:top w:val="nil"/>
              <w:left w:val="nil"/>
              <w:bottom w:val="single" w:sz="4" w:space="0" w:color="auto"/>
              <w:right w:val="single" w:sz="4" w:space="0" w:color="auto"/>
            </w:tcBorders>
            <w:shd w:val="clear" w:color="auto" w:fill="auto"/>
            <w:noWrap/>
          </w:tcPr>
          <w:p w14:paraId="56A1AE3E"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0.423</w:t>
            </w:r>
          </w:p>
        </w:tc>
        <w:tc>
          <w:tcPr>
            <w:tcW w:w="2385" w:type="dxa"/>
            <w:tcBorders>
              <w:top w:val="nil"/>
              <w:left w:val="nil"/>
              <w:bottom w:val="single" w:sz="4" w:space="0" w:color="auto"/>
              <w:right w:val="single" w:sz="4" w:space="0" w:color="auto"/>
            </w:tcBorders>
            <w:shd w:val="clear" w:color="auto" w:fill="auto"/>
            <w:noWrap/>
          </w:tcPr>
          <w:p w14:paraId="13A65C9D"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0.535</w:t>
            </w:r>
          </w:p>
        </w:tc>
      </w:tr>
      <w:tr w:rsidR="00C272E7" w:rsidRPr="00C272E7" w14:paraId="3E89402A"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3CCB919D"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5t h percentile</w:t>
            </w:r>
          </w:p>
        </w:tc>
        <w:tc>
          <w:tcPr>
            <w:tcW w:w="1960" w:type="dxa"/>
            <w:tcBorders>
              <w:top w:val="nil"/>
              <w:left w:val="nil"/>
              <w:bottom w:val="single" w:sz="4" w:space="0" w:color="auto"/>
              <w:right w:val="single" w:sz="4" w:space="0" w:color="auto"/>
            </w:tcBorders>
            <w:shd w:val="clear" w:color="auto" w:fill="auto"/>
            <w:noWrap/>
          </w:tcPr>
          <w:p w14:paraId="689E0D9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0.031</w:t>
            </w:r>
          </w:p>
        </w:tc>
        <w:tc>
          <w:tcPr>
            <w:tcW w:w="2444" w:type="dxa"/>
            <w:tcBorders>
              <w:top w:val="nil"/>
              <w:left w:val="nil"/>
              <w:bottom w:val="single" w:sz="4" w:space="0" w:color="auto"/>
              <w:right w:val="single" w:sz="4" w:space="0" w:color="auto"/>
            </w:tcBorders>
            <w:shd w:val="clear" w:color="auto" w:fill="auto"/>
            <w:noWrap/>
          </w:tcPr>
          <w:p w14:paraId="127B9C9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0.412</w:t>
            </w:r>
          </w:p>
        </w:tc>
        <w:tc>
          <w:tcPr>
            <w:tcW w:w="2385" w:type="dxa"/>
            <w:tcBorders>
              <w:top w:val="nil"/>
              <w:left w:val="nil"/>
              <w:bottom w:val="single" w:sz="4" w:space="0" w:color="auto"/>
              <w:right w:val="single" w:sz="4" w:space="0" w:color="auto"/>
            </w:tcBorders>
            <w:shd w:val="clear" w:color="auto" w:fill="auto"/>
            <w:noWrap/>
          </w:tcPr>
          <w:p w14:paraId="2B322A30"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0.513</w:t>
            </w:r>
          </w:p>
        </w:tc>
      </w:tr>
      <w:tr w:rsidR="00C272E7" w:rsidRPr="00C272E7" w14:paraId="2695C6FB"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326F6519"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1</w:t>
            </w:r>
            <w:r w:rsidRPr="00B32E69">
              <w:rPr>
                <w:rFonts w:ascii="Calibri" w:eastAsia="Calibri" w:hAnsi="Calibri" w:cs="Calibri"/>
                <w:b/>
                <w:bCs/>
                <w:color w:val="000000"/>
                <w:vertAlign w:val="superscript"/>
              </w:rPr>
              <w:t>st</w:t>
            </w:r>
            <w:r w:rsidRPr="00B32E69">
              <w:rPr>
                <w:rFonts w:ascii="Calibri" w:eastAsia="Calibri" w:hAnsi="Calibri" w:cs="Calibri"/>
                <w:b/>
                <w:bCs/>
                <w:color w:val="000000"/>
              </w:rPr>
              <w:t xml:space="preserve"> percentile</w:t>
            </w:r>
          </w:p>
        </w:tc>
        <w:tc>
          <w:tcPr>
            <w:tcW w:w="1960" w:type="dxa"/>
            <w:tcBorders>
              <w:top w:val="nil"/>
              <w:left w:val="nil"/>
              <w:bottom w:val="single" w:sz="4" w:space="0" w:color="auto"/>
              <w:right w:val="single" w:sz="4" w:space="0" w:color="auto"/>
            </w:tcBorders>
            <w:shd w:val="clear" w:color="auto" w:fill="auto"/>
            <w:noWrap/>
          </w:tcPr>
          <w:p w14:paraId="768641C0"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0.031</w:t>
            </w:r>
          </w:p>
        </w:tc>
        <w:tc>
          <w:tcPr>
            <w:tcW w:w="2444" w:type="dxa"/>
            <w:tcBorders>
              <w:top w:val="nil"/>
              <w:left w:val="nil"/>
              <w:bottom w:val="single" w:sz="4" w:space="0" w:color="auto"/>
              <w:right w:val="single" w:sz="4" w:space="0" w:color="auto"/>
            </w:tcBorders>
            <w:shd w:val="clear" w:color="auto" w:fill="auto"/>
            <w:noWrap/>
          </w:tcPr>
          <w:p w14:paraId="17956281"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0.401</w:t>
            </w:r>
          </w:p>
        </w:tc>
        <w:tc>
          <w:tcPr>
            <w:tcW w:w="2385" w:type="dxa"/>
            <w:tcBorders>
              <w:top w:val="nil"/>
              <w:left w:val="nil"/>
              <w:bottom w:val="single" w:sz="4" w:space="0" w:color="auto"/>
              <w:right w:val="single" w:sz="4" w:space="0" w:color="auto"/>
            </w:tcBorders>
            <w:shd w:val="clear" w:color="auto" w:fill="auto"/>
            <w:noWrap/>
          </w:tcPr>
          <w:p w14:paraId="58F0BD2A"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0.505</w:t>
            </w:r>
          </w:p>
        </w:tc>
      </w:tr>
      <w:tr w:rsidR="00C272E7" w:rsidRPr="00C272E7" w14:paraId="29714A0A" w14:textId="77777777" w:rsidTr="3E03A949">
        <w:trPr>
          <w:cantSplit/>
          <w:trHeight w:val="20"/>
          <w:tblHead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14:paraId="5AFF530A" w14:textId="77777777" w:rsidR="00C272E7" w:rsidRPr="00B32E69" w:rsidRDefault="00C272E7" w:rsidP="00C272E7">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rPr>
                <w:rFonts w:ascii="Calibri" w:eastAsia="Calibri" w:hAnsi="Calibri" w:cs="Calibri"/>
                <w:b/>
                <w:bCs/>
                <w:color w:val="000000"/>
              </w:rPr>
            </w:pPr>
            <w:r w:rsidRPr="00B32E69">
              <w:rPr>
                <w:rFonts w:ascii="Calibri" w:eastAsia="Calibri" w:hAnsi="Calibri" w:cs="Calibri"/>
                <w:b/>
                <w:bCs/>
                <w:color w:val="000000"/>
              </w:rPr>
              <w:t>Minimum</w:t>
            </w:r>
          </w:p>
        </w:tc>
        <w:tc>
          <w:tcPr>
            <w:tcW w:w="1960" w:type="dxa"/>
            <w:tcBorders>
              <w:top w:val="nil"/>
              <w:left w:val="nil"/>
              <w:bottom w:val="single" w:sz="4" w:space="0" w:color="auto"/>
              <w:right w:val="single" w:sz="4" w:space="0" w:color="auto"/>
            </w:tcBorders>
            <w:shd w:val="clear" w:color="auto" w:fill="auto"/>
            <w:noWrap/>
          </w:tcPr>
          <w:p w14:paraId="102187E5"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0.031</w:t>
            </w:r>
          </w:p>
        </w:tc>
        <w:tc>
          <w:tcPr>
            <w:tcW w:w="2444" w:type="dxa"/>
            <w:tcBorders>
              <w:top w:val="nil"/>
              <w:left w:val="nil"/>
              <w:bottom w:val="single" w:sz="4" w:space="0" w:color="auto"/>
              <w:right w:val="single" w:sz="4" w:space="0" w:color="auto"/>
            </w:tcBorders>
            <w:shd w:val="clear" w:color="auto" w:fill="auto"/>
            <w:noWrap/>
          </w:tcPr>
          <w:p w14:paraId="716706D3"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0.401</w:t>
            </w:r>
          </w:p>
        </w:tc>
        <w:tc>
          <w:tcPr>
            <w:tcW w:w="2385" w:type="dxa"/>
            <w:tcBorders>
              <w:top w:val="nil"/>
              <w:left w:val="nil"/>
              <w:bottom w:val="single" w:sz="4" w:space="0" w:color="auto"/>
              <w:right w:val="single" w:sz="4" w:space="0" w:color="auto"/>
            </w:tcBorders>
            <w:shd w:val="clear" w:color="auto" w:fill="auto"/>
            <w:noWrap/>
          </w:tcPr>
          <w:p w14:paraId="187DB40E" w14:textId="77777777" w:rsidR="00C272E7" w:rsidRPr="00B32E69" w:rsidRDefault="00C272E7" w:rsidP="00B32E69">
            <w:pPr>
              <w:pBdr>
                <w:top w:val="single" w:sz="4" w:space="1" w:color="auto"/>
                <w:left w:val="single" w:sz="4" w:space="4" w:color="auto"/>
                <w:bottom w:val="single" w:sz="4" w:space="1" w:color="auto"/>
                <w:right w:val="single" w:sz="4" w:space="4" w:color="auto"/>
              </w:pBdr>
              <w:tabs>
                <w:tab w:val="left" w:pos="1080"/>
              </w:tabs>
              <w:autoSpaceDE w:val="0"/>
              <w:autoSpaceDN w:val="0"/>
              <w:adjustRightInd w:val="0"/>
              <w:spacing w:after="0" w:line="240" w:lineRule="auto"/>
              <w:jc w:val="center"/>
              <w:rPr>
                <w:rFonts w:ascii="Calibri" w:eastAsia="Calibri" w:hAnsi="Calibri" w:cs="Calibri"/>
                <w:color w:val="000000"/>
              </w:rPr>
            </w:pPr>
            <w:r w:rsidRPr="00B32E69">
              <w:rPr>
                <w:rFonts w:ascii="Calibri" w:eastAsia="Calibri" w:hAnsi="Calibri" w:cs="Calibri"/>
                <w:color w:val="000000"/>
              </w:rPr>
              <w:t>0.505</w:t>
            </w:r>
          </w:p>
        </w:tc>
      </w:tr>
    </w:tbl>
    <w:p w14:paraId="207E58CE" w14:textId="3547E684" w:rsidR="331BDD94" w:rsidRDefault="331BDD94" w:rsidP="331BDD94">
      <w:pPr>
        <w:spacing w:after="0" w:line="240" w:lineRule="auto"/>
        <w:rPr>
          <w:b/>
          <w:bCs/>
        </w:rPr>
      </w:pPr>
    </w:p>
    <w:p w14:paraId="33837BD0" w14:textId="12708C03" w:rsidR="00595582" w:rsidRPr="009C57F8" w:rsidRDefault="00092566" w:rsidP="331BDD94">
      <w:pPr>
        <w:pBdr>
          <w:top w:val="single" w:sz="4" w:space="1" w:color="auto"/>
          <w:left w:val="single" w:sz="4" w:space="4" w:color="auto"/>
          <w:bottom w:val="single" w:sz="4" w:space="1" w:color="auto"/>
          <w:right w:val="single" w:sz="4" w:space="4" w:color="auto"/>
        </w:pBdr>
        <w:autoSpaceDE w:val="0"/>
        <w:autoSpaceDN w:val="0"/>
        <w:adjustRightInd w:val="0"/>
        <w:spacing w:before="240" w:after="0" w:line="240" w:lineRule="auto"/>
      </w:pPr>
      <w:r w:rsidRPr="331BDD94">
        <w:rPr>
          <w:b/>
          <w:bCs/>
        </w:rPr>
        <w:t xml:space="preserve">2a2.4 </w:t>
      </w:r>
      <w:r w:rsidR="007422FD" w:rsidRPr="331BDD94">
        <w:rPr>
          <w:b/>
          <w:bCs/>
        </w:rPr>
        <w:t xml:space="preserve">What </w:t>
      </w:r>
      <w:r w:rsidR="000B2DF7" w:rsidRPr="331BDD94">
        <w:rPr>
          <w:b/>
          <w:bCs/>
        </w:rPr>
        <w:t>is your interpretation of the results in terms of</w:t>
      </w:r>
      <w:r w:rsidR="007422FD" w:rsidRPr="331BDD94">
        <w:rPr>
          <w:b/>
          <w:bCs/>
        </w:rPr>
        <w:t xml:space="preserve"> demonstrating reliability</w:t>
      </w:r>
      <w:r w:rsidR="007422FD" w:rsidRPr="331BDD94">
        <w:t xml:space="preserve">? </w:t>
      </w:r>
      <w:r w:rsidR="000B2DF7" w:rsidRPr="331BDD94">
        <w:t>(i</w:t>
      </w:r>
      <w:r w:rsidR="000B2DF7" w:rsidRPr="331BDD94">
        <w:rPr>
          <w:i/>
          <w:iCs/>
        </w:rPr>
        <w:t>.e., what do the results mean and what are the norms for the test conducted</w:t>
      </w:r>
      <w:r w:rsidR="007757CE" w:rsidRPr="331BDD94">
        <w:rPr>
          <w:i/>
          <w:iCs/>
        </w:rPr>
        <w:t>?</w:t>
      </w:r>
      <w:r w:rsidR="000B2DF7" w:rsidRPr="331BDD94">
        <w:t>)</w:t>
      </w:r>
      <w:r w:rsidR="001A15A5">
        <w:br/>
      </w:r>
    </w:p>
    <w:p w14:paraId="3A716371" w14:textId="15EDC18D" w:rsidR="00595582" w:rsidRPr="009C57F8" w:rsidRDefault="001A15A5" w:rsidP="331BDD94">
      <w:pPr>
        <w:pBdr>
          <w:top w:val="single" w:sz="4" w:space="1" w:color="auto"/>
          <w:left w:val="single" w:sz="4" w:space="4" w:color="auto"/>
          <w:bottom w:val="single" w:sz="4" w:space="1" w:color="auto"/>
          <w:right w:val="single" w:sz="4" w:space="4" w:color="auto"/>
        </w:pBdr>
        <w:autoSpaceDE w:val="0"/>
        <w:autoSpaceDN w:val="0"/>
        <w:adjustRightInd w:val="0"/>
        <w:spacing w:before="240" w:after="0" w:line="240" w:lineRule="auto"/>
      </w:pPr>
      <w:r>
        <w:lastRenderedPageBreak/>
        <w:t xml:space="preserve">Calculated </w:t>
      </w:r>
      <w:r w:rsidR="00266280">
        <w:t xml:space="preserve">using one </w:t>
      </w:r>
      <w:r>
        <w:t xml:space="preserve">year of data, the median measure score reliability was </w:t>
      </w:r>
      <w:r w:rsidR="006431A9">
        <w:t>0</w:t>
      </w:r>
      <w:r w:rsidR="00F36394">
        <w:t>.</w:t>
      </w:r>
      <w:r w:rsidR="19FF5CDE">
        <w:t>6</w:t>
      </w:r>
      <w:r w:rsidR="00F36394">
        <w:t xml:space="preserve">00 </w:t>
      </w:r>
      <w:r>
        <w:t xml:space="preserve">for TINs with at least </w:t>
      </w:r>
      <w:r w:rsidR="7E88775B">
        <w:t>21</w:t>
      </w:r>
      <w:r>
        <w:t xml:space="preserve"> patients</w:t>
      </w:r>
      <w:r w:rsidR="009563AE">
        <w:t>,</w:t>
      </w:r>
      <w:r w:rsidR="00595582">
        <w:t xml:space="preserve"> which is considered </w:t>
      </w:r>
      <w:r w:rsidR="476514F7">
        <w:t>adequate</w:t>
      </w:r>
      <w:r w:rsidR="00595582">
        <w:t xml:space="preserve"> [1, 2]. </w:t>
      </w:r>
    </w:p>
    <w:p w14:paraId="2B00BED8" w14:textId="73CAFB53" w:rsidR="00595582" w:rsidRPr="009C57F8" w:rsidRDefault="00595582" w:rsidP="00595582">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bCs/>
          <w:u w:val="single"/>
        </w:rPr>
      </w:pPr>
      <w:r w:rsidRPr="009C57F8">
        <w:rPr>
          <w:rFonts w:cstheme="minorHAnsi"/>
          <w:bCs/>
          <w:u w:val="single"/>
        </w:rPr>
        <w:t xml:space="preserve">References </w:t>
      </w:r>
    </w:p>
    <w:p w14:paraId="56A6214F" w14:textId="77777777" w:rsidR="00595582" w:rsidRPr="009C57F8" w:rsidRDefault="00595582" w:rsidP="00595582">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bCs/>
        </w:rPr>
      </w:pPr>
      <w:r w:rsidRPr="009C57F8">
        <w:rPr>
          <w:rFonts w:cstheme="minorHAnsi"/>
          <w:bCs/>
        </w:rPr>
        <w:t>1. Yu H, Mehrotra A, Adams J. Reliability of utilization measures for primary care physician profiling. </w:t>
      </w:r>
      <w:proofErr w:type="spellStart"/>
      <w:r w:rsidRPr="009C57F8">
        <w:rPr>
          <w:rFonts w:cstheme="minorHAnsi"/>
          <w:bCs/>
        </w:rPr>
        <w:t>Healthc</w:t>
      </w:r>
      <w:proofErr w:type="spellEnd"/>
      <w:r w:rsidRPr="009C57F8">
        <w:rPr>
          <w:rFonts w:cstheme="minorHAnsi"/>
          <w:bCs/>
        </w:rPr>
        <w:t xml:space="preserve"> (</w:t>
      </w:r>
      <w:proofErr w:type="spellStart"/>
      <w:r w:rsidRPr="009C57F8">
        <w:rPr>
          <w:rFonts w:cstheme="minorHAnsi"/>
          <w:bCs/>
        </w:rPr>
        <w:t>Amst</w:t>
      </w:r>
      <w:proofErr w:type="spellEnd"/>
      <w:r w:rsidRPr="009C57F8">
        <w:rPr>
          <w:rFonts w:cstheme="minorHAnsi"/>
          <w:bCs/>
        </w:rPr>
        <w:t xml:space="preserve">). 2013;1(1-2):22-29. </w:t>
      </w:r>
      <w:proofErr w:type="gramStart"/>
      <w:r w:rsidRPr="009C57F8">
        <w:rPr>
          <w:rFonts w:cstheme="minorHAnsi"/>
          <w:bCs/>
        </w:rPr>
        <w:t>doi:10.1016/j.hjdsi</w:t>
      </w:r>
      <w:proofErr w:type="gramEnd"/>
      <w:r w:rsidRPr="009C57F8">
        <w:rPr>
          <w:rFonts w:cstheme="minorHAnsi"/>
          <w:bCs/>
        </w:rPr>
        <w:t>.2013.04.002.</w:t>
      </w:r>
    </w:p>
    <w:p w14:paraId="590C79F3" w14:textId="6D8097FA" w:rsidR="001A15A5" w:rsidRPr="00A25024" w:rsidRDefault="00595582" w:rsidP="00595582">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bCs/>
        </w:rPr>
      </w:pPr>
      <w:r w:rsidRPr="009C57F8">
        <w:rPr>
          <w:rFonts w:cstheme="minorHAnsi"/>
          <w:bCs/>
        </w:rPr>
        <w:t>2. Adams JL, Mehrotra A, Thomas JW, McGlynn EA. Physician Cost Profiling — Reliability and Risk of Misclassification. New England Journal of Medicine. 2010;362(11):1014-1021.</w:t>
      </w:r>
    </w:p>
    <w:p w14:paraId="0CABCFD5" w14:textId="3DD5C952" w:rsidR="00021170" w:rsidRPr="00A25024" w:rsidRDefault="001A15A5" w:rsidP="00DB3627">
      <w:pPr>
        <w:autoSpaceDE w:val="0"/>
        <w:autoSpaceDN w:val="0"/>
        <w:adjustRightInd w:val="0"/>
        <w:spacing w:after="0" w:line="240" w:lineRule="auto"/>
        <w:rPr>
          <w:rFonts w:cstheme="minorHAnsi"/>
          <w:noProof/>
        </w:rPr>
      </w:pPr>
      <w:r>
        <w:rPr>
          <w:rFonts w:cstheme="minorHAnsi"/>
          <w:noProof/>
        </w:rPr>
        <w:t>_</w:t>
      </w:r>
      <w:r w:rsidR="00483E94">
        <w:rPr>
          <w:rFonts w:cstheme="minorHAnsi"/>
          <w:noProof/>
        </w:rPr>
        <w:t>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shd w:val="clear" w:color="auto" w:fill="E6E6E6"/>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12D09AF" w:rsidR="00696262" w:rsidRPr="00A25024" w:rsidRDefault="006A5297" w:rsidP="00696262">
      <w:pPr>
        <w:autoSpaceDE w:val="0"/>
        <w:autoSpaceDN w:val="0"/>
        <w:adjustRightInd w:val="0"/>
        <w:spacing w:after="0" w:line="240" w:lineRule="auto"/>
        <w:rPr>
          <w:rFonts w:cstheme="minorHAnsi"/>
          <w:b/>
          <w:bCs/>
        </w:rPr>
      </w:pPr>
      <w:sdt>
        <w:sdtPr>
          <w:rPr>
            <w:rFonts w:cstheme="minorHAnsi"/>
            <w:bCs/>
            <w:color w:val="0000FF"/>
            <w:shd w:val="clear" w:color="auto" w:fill="E6E6E6"/>
          </w:rPr>
          <w:id w:val="-1767844731"/>
          <w14:checkbox>
            <w14:checked w14:val="1"/>
            <w14:checkedState w14:val="2612" w14:font="MS Gothic"/>
            <w14:uncheckedState w14:val="2610" w14:font="MS Gothic"/>
          </w14:checkbox>
        </w:sdtPr>
        <w:sdtContent>
          <w:r w:rsidR="001A15A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6E37C06" w:rsidR="000574AB" w:rsidRPr="00A25024" w:rsidRDefault="006A5297" w:rsidP="00696262">
      <w:pPr>
        <w:autoSpaceDE w:val="0"/>
        <w:autoSpaceDN w:val="0"/>
        <w:adjustRightInd w:val="0"/>
        <w:spacing w:after="0" w:line="240" w:lineRule="auto"/>
        <w:ind w:left="255"/>
        <w:rPr>
          <w:rFonts w:cstheme="minorHAnsi"/>
          <w:bCs/>
        </w:rPr>
      </w:pPr>
      <w:sdt>
        <w:sdtPr>
          <w:rPr>
            <w:rFonts w:cstheme="minorHAnsi"/>
            <w:bCs/>
            <w:color w:val="0000FF"/>
            <w:shd w:val="clear" w:color="auto" w:fill="E6E6E6"/>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 xml:space="preserve">mpirical </w:t>
      </w:r>
      <w:r w:rsidR="001A15A5" w:rsidRPr="001D6DD4">
        <w:rPr>
          <w:rFonts w:eastAsia="MS Mincho" w:cstheme="minorHAnsi"/>
          <w:b/>
          <w:bCs/>
        </w:rPr>
        <w:t>validity testing</w:t>
      </w:r>
      <w:r w:rsidR="004B6CEE" w:rsidRPr="00A25024">
        <w:rPr>
          <w:rFonts w:cstheme="minorHAnsi"/>
          <w:b/>
          <w:bCs/>
        </w:rPr>
        <w:br/>
      </w:r>
      <w:sdt>
        <w:sdtPr>
          <w:rPr>
            <w:rFonts w:cstheme="minorHAnsi"/>
            <w:bCs/>
            <w:color w:val="0000FF"/>
            <w:shd w:val="clear" w:color="auto" w:fill="E6E6E6"/>
          </w:rPr>
          <w:id w:val="-1042279617"/>
          <w14:checkbox>
            <w14:checked w14:val="1"/>
            <w14:checkedState w14:val="2612" w14:font="MS Gothic"/>
            <w14:uncheckedState w14:val="2610" w14:font="MS Gothic"/>
          </w14:checkbox>
        </w:sdtPr>
        <w:sdtContent>
          <w:r w:rsidR="001A15A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664FFF9B"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75BE8F74" w14:textId="4FF7DB5A"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Measure validity is demonstrated through assessment of measure face validity by a technical expert panel (TEP) and use of established measure development guidelines</w:t>
      </w:r>
      <w:r w:rsidR="00B32E69">
        <w:rPr>
          <w:rFonts w:ascii="Calibri" w:eastAsia="Calibri" w:hAnsi="Calibri" w:cs="Calibri"/>
          <w:color w:val="000000"/>
        </w:rPr>
        <w:t xml:space="preserve"> </w:t>
      </w:r>
      <w:r>
        <w:rPr>
          <w:rFonts w:ascii="Calibri" w:eastAsia="Calibri" w:hAnsi="Calibri" w:cs="Calibri"/>
          <w:color w:val="000000"/>
        </w:rPr>
        <w:t>[1-6]</w:t>
      </w:r>
      <w:r w:rsidR="005C1CA2">
        <w:rPr>
          <w:rFonts w:ascii="Calibri" w:eastAsia="Calibri" w:hAnsi="Calibri" w:cs="Calibri"/>
          <w:color w:val="000000"/>
        </w:rPr>
        <w:t>.</w:t>
      </w:r>
    </w:p>
    <w:p w14:paraId="2A9241DD" w14:textId="2866F5E2"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u w:val="single"/>
        </w:rPr>
      </w:pPr>
      <w:r>
        <w:rPr>
          <w:rFonts w:ascii="Calibri" w:eastAsia="Calibri" w:hAnsi="Calibri" w:cs="Calibri"/>
          <w:color w:val="000000"/>
          <w:u w:val="single"/>
        </w:rPr>
        <w:t>Validity as Assessed by External Groups</w:t>
      </w:r>
      <w:r w:rsidR="006E3835">
        <w:rPr>
          <w:rFonts w:ascii="Calibri" w:eastAsia="Calibri" w:hAnsi="Calibri" w:cs="Calibri"/>
          <w:color w:val="000000"/>
          <w:u w:val="single"/>
        </w:rPr>
        <w:t>,</w:t>
      </w:r>
      <w:r w:rsidR="00266280">
        <w:rPr>
          <w:rFonts w:ascii="Calibri" w:eastAsia="Calibri" w:hAnsi="Calibri" w:cs="Calibri"/>
          <w:color w:val="000000"/>
          <w:u w:val="single"/>
        </w:rPr>
        <w:t xml:space="preserve"> </w:t>
      </w:r>
      <w:r>
        <w:rPr>
          <w:rFonts w:ascii="Calibri" w:eastAsia="Calibri" w:hAnsi="Calibri" w:cs="Calibri"/>
          <w:color w:val="000000"/>
          <w:u w:val="single"/>
        </w:rPr>
        <w:t>TEP</w:t>
      </w:r>
      <w:r w:rsidR="006E3835">
        <w:rPr>
          <w:rFonts w:ascii="Calibri" w:eastAsia="Calibri" w:hAnsi="Calibri" w:cs="Calibri"/>
          <w:color w:val="000000"/>
          <w:u w:val="single"/>
        </w:rPr>
        <w:t>, and Clinician Committee</w:t>
      </w:r>
    </w:p>
    <w:p w14:paraId="47F58457" w14:textId="3A7F27BF" w:rsidR="00F041E2" w:rsidRDefault="006E3835"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In addition to CORE clinicians meeting regularly to discuss all aspects of measure development, including the cohort, outcome definition, risk adjustment, and attribution rules</w:t>
      </w:r>
      <w:r w:rsidR="000E6750">
        <w:rPr>
          <w:rFonts w:ascii="Calibri" w:eastAsia="Calibri" w:hAnsi="Calibri" w:cs="Calibri"/>
          <w:color w:val="000000"/>
        </w:rPr>
        <w:t>,</w:t>
      </w:r>
      <w:r>
        <w:rPr>
          <w:rFonts w:ascii="Calibri" w:eastAsia="Calibri" w:hAnsi="Calibri" w:cs="Calibri"/>
          <w:color w:val="000000"/>
        </w:rPr>
        <w:t xml:space="preserve"> </w:t>
      </w:r>
      <w:r w:rsidR="00F041E2">
        <w:rPr>
          <w:rFonts w:ascii="Calibri" w:eastAsia="Calibri" w:hAnsi="Calibri" w:cs="Calibri"/>
          <w:color w:val="000000"/>
        </w:rPr>
        <w:t xml:space="preserve">we </w:t>
      </w:r>
      <w:r w:rsidR="000E6750">
        <w:rPr>
          <w:rFonts w:ascii="Calibri" w:eastAsia="Calibri" w:hAnsi="Calibri" w:cs="Calibri"/>
          <w:color w:val="000000"/>
        </w:rPr>
        <w:t xml:space="preserve">also </w:t>
      </w:r>
      <w:r w:rsidR="00F041E2">
        <w:rPr>
          <w:rFonts w:ascii="Calibri" w:eastAsia="Calibri" w:hAnsi="Calibri" w:cs="Calibri"/>
          <w:color w:val="000000"/>
        </w:rPr>
        <w:t>obtained expert and stakeholder input through consulting our natio</w:t>
      </w:r>
      <w:r w:rsidR="00205AC5">
        <w:rPr>
          <w:rFonts w:ascii="Calibri" w:eastAsia="Calibri" w:hAnsi="Calibri" w:cs="Calibri"/>
          <w:color w:val="000000"/>
        </w:rPr>
        <w:t xml:space="preserve">nal </w:t>
      </w:r>
      <w:r w:rsidR="00266280">
        <w:rPr>
          <w:rFonts w:ascii="Calibri" w:eastAsia="Calibri" w:hAnsi="Calibri" w:cs="Calibri"/>
          <w:color w:val="000000"/>
        </w:rPr>
        <w:t>TEP</w:t>
      </w:r>
      <w:r w:rsidR="00205AC5">
        <w:rPr>
          <w:rFonts w:ascii="Calibri" w:eastAsia="Calibri" w:hAnsi="Calibri" w:cs="Calibri"/>
          <w:color w:val="000000"/>
        </w:rPr>
        <w:t xml:space="preserve"> and national Clinician Committee</w:t>
      </w:r>
      <w:r w:rsidR="000E6750">
        <w:rPr>
          <w:rFonts w:ascii="Calibri" w:eastAsia="Calibri" w:hAnsi="Calibri" w:cs="Calibri"/>
          <w:color w:val="000000"/>
        </w:rPr>
        <w:t xml:space="preserve"> throughout the measure development process</w:t>
      </w:r>
      <w:r w:rsidR="00F041E2">
        <w:rPr>
          <w:rFonts w:ascii="Calibri" w:eastAsia="Calibri" w:hAnsi="Calibri" w:cs="Calibri"/>
          <w:color w:val="000000"/>
        </w:rPr>
        <w:t>.</w:t>
      </w:r>
    </w:p>
    <w:p w14:paraId="749BE887" w14:textId="34B5529E" w:rsidR="00205AC5" w:rsidRPr="00205AC5" w:rsidRDefault="00205AC5"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i/>
          <w:color w:val="000000"/>
        </w:rPr>
      </w:pPr>
      <w:r w:rsidRPr="00205AC5">
        <w:rPr>
          <w:rFonts w:ascii="Calibri" w:eastAsia="Calibri" w:hAnsi="Calibri" w:cs="Calibri"/>
          <w:i/>
          <w:color w:val="000000"/>
        </w:rPr>
        <w:t>TEP</w:t>
      </w:r>
    </w:p>
    <w:p w14:paraId="50DE4896" w14:textId="03DDBEF8" w:rsidR="00205AC5"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 xml:space="preserve">In addition to the clinical consultations and in alignment with CMS </w:t>
      </w:r>
      <w:r w:rsidR="00266280">
        <w:rPr>
          <w:rFonts w:ascii="Calibri" w:eastAsia="Calibri" w:hAnsi="Calibri" w:cs="Calibri"/>
          <w:color w:val="000000"/>
        </w:rPr>
        <w:t>Measure Management System (</w:t>
      </w:r>
      <w:r>
        <w:rPr>
          <w:rFonts w:ascii="Calibri" w:eastAsia="Calibri" w:hAnsi="Calibri" w:cs="Calibri"/>
          <w:color w:val="000000"/>
        </w:rPr>
        <w:t>MMS</w:t>
      </w:r>
      <w:r w:rsidR="00266280">
        <w:rPr>
          <w:rFonts w:ascii="Calibri" w:eastAsia="Calibri" w:hAnsi="Calibri" w:cs="Calibri"/>
          <w:color w:val="000000"/>
        </w:rPr>
        <w:t>)</w:t>
      </w:r>
      <w:r>
        <w:rPr>
          <w:rFonts w:ascii="Calibri" w:eastAsia="Calibri" w:hAnsi="Calibri" w:cs="Calibri"/>
          <w:color w:val="000000"/>
        </w:rPr>
        <w:t xml:space="preserve"> guidance, we convened a TEP</w:t>
      </w:r>
      <w:r w:rsidR="00205AC5">
        <w:rPr>
          <w:rFonts w:ascii="Calibri" w:eastAsia="Calibri" w:hAnsi="Calibri" w:cs="Calibri"/>
          <w:color w:val="000000"/>
        </w:rPr>
        <w:t xml:space="preserve"> </w:t>
      </w:r>
      <w:r>
        <w:rPr>
          <w:rFonts w:ascii="Calibri" w:eastAsia="Calibri" w:hAnsi="Calibri" w:cs="Calibri"/>
          <w:color w:val="000000"/>
        </w:rPr>
        <w:t>to provide input and feedback during measure development from a group of recognized experts in relevant fields. To convene the TEP</w:t>
      </w:r>
      <w:r w:rsidR="00205AC5">
        <w:rPr>
          <w:rFonts w:ascii="Calibri" w:eastAsia="Calibri" w:hAnsi="Calibri" w:cs="Calibri"/>
          <w:color w:val="000000"/>
        </w:rPr>
        <w:t>, we released</w:t>
      </w:r>
      <w:r>
        <w:rPr>
          <w:rFonts w:ascii="Calibri" w:eastAsia="Calibri" w:hAnsi="Calibri" w:cs="Calibri"/>
          <w:color w:val="000000"/>
        </w:rPr>
        <w:t xml:space="preserve"> </w:t>
      </w:r>
      <w:r w:rsidR="00205AC5">
        <w:rPr>
          <w:rFonts w:ascii="Calibri" w:eastAsia="Calibri" w:hAnsi="Calibri" w:cs="Calibri"/>
          <w:color w:val="000000"/>
        </w:rPr>
        <w:t xml:space="preserve">a </w:t>
      </w:r>
      <w:r>
        <w:rPr>
          <w:rFonts w:ascii="Calibri" w:eastAsia="Calibri" w:hAnsi="Calibri" w:cs="Calibri"/>
          <w:color w:val="000000"/>
        </w:rPr>
        <w:t>public call</w:t>
      </w:r>
      <w:r w:rsidR="00205AC5">
        <w:rPr>
          <w:rFonts w:ascii="Calibri" w:eastAsia="Calibri" w:hAnsi="Calibri" w:cs="Calibri"/>
          <w:color w:val="000000"/>
        </w:rPr>
        <w:t xml:space="preserve"> </w:t>
      </w:r>
      <w:r>
        <w:rPr>
          <w:rFonts w:ascii="Calibri" w:eastAsia="Calibri" w:hAnsi="Calibri" w:cs="Calibri"/>
          <w:color w:val="000000"/>
        </w:rPr>
        <w:t>for nominations and selected individuals to represent a range of perspectives, including clinicians, patients, and individuals with expertise in quality improvement and perfo</w:t>
      </w:r>
      <w:r w:rsidR="00205AC5">
        <w:rPr>
          <w:rFonts w:ascii="Calibri" w:eastAsia="Calibri" w:hAnsi="Calibri" w:cs="Calibri"/>
          <w:color w:val="000000"/>
        </w:rPr>
        <w:t>rmance measurement. We held three</w:t>
      </w:r>
      <w:r>
        <w:rPr>
          <w:rFonts w:ascii="Calibri" w:eastAsia="Calibri" w:hAnsi="Calibri" w:cs="Calibri"/>
          <w:color w:val="000000"/>
        </w:rPr>
        <w:t xml:space="preserve"> structured TEP conference calls consisting of a presentation of key issues, our proposed approach, and relevant data, followed by open discussion among TEP members.</w:t>
      </w:r>
      <w:r w:rsidR="00205AC5">
        <w:rPr>
          <w:rFonts w:ascii="Calibri" w:eastAsia="Calibri" w:hAnsi="Calibri" w:cs="Calibri"/>
          <w:color w:val="000000"/>
        </w:rPr>
        <w:t xml:space="preserve"> We made modifications to the measure features based on TEP feedback following each meeting.</w:t>
      </w:r>
    </w:p>
    <w:p w14:paraId="3F5AE677" w14:textId="3D0A3416" w:rsidR="00205AC5" w:rsidRPr="00205AC5" w:rsidRDefault="00205AC5"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i/>
          <w:color w:val="000000"/>
        </w:rPr>
      </w:pPr>
      <w:r w:rsidRPr="00205AC5">
        <w:rPr>
          <w:rFonts w:ascii="Calibri" w:eastAsia="Calibri" w:hAnsi="Calibri" w:cs="Calibri"/>
          <w:i/>
          <w:color w:val="000000"/>
        </w:rPr>
        <w:t>Clinician Committee</w:t>
      </w:r>
    </w:p>
    <w:p w14:paraId="0A029B7E" w14:textId="7F8597E7" w:rsidR="00F041E2" w:rsidRDefault="006E3835"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lastRenderedPageBreak/>
        <w:t>W</w:t>
      </w:r>
      <w:r w:rsidR="00205AC5">
        <w:rPr>
          <w:rFonts w:ascii="Calibri" w:eastAsia="Calibri" w:hAnsi="Calibri" w:cs="Calibri"/>
          <w:color w:val="000000"/>
        </w:rPr>
        <w:t xml:space="preserve">e also convened a Clinician Committee to provide input and feedback during measure development from a group of recognized experts in relevant fields. To convene the Clinician Committee, we released a public call for nominations and selected individuals to represent a range of perspectives, including </w:t>
      </w:r>
      <w:r w:rsidR="004E01ED" w:rsidRPr="000A2211">
        <w:t>front-line clinicians from rural and/or underserved communities, professional/sp</w:t>
      </w:r>
      <w:r w:rsidR="004E01ED">
        <w:t>ecialty society representatives, and</w:t>
      </w:r>
      <w:r w:rsidR="004E01ED" w:rsidRPr="000A2211">
        <w:t xml:space="preserve"> other clinicians </w:t>
      </w:r>
      <w:r w:rsidR="004E01ED">
        <w:t xml:space="preserve">who care for patients </w:t>
      </w:r>
      <w:r w:rsidR="004E01ED" w:rsidRPr="000A2211">
        <w:t xml:space="preserve">with </w:t>
      </w:r>
      <w:r w:rsidR="00266280">
        <w:t>HF</w:t>
      </w:r>
      <w:r w:rsidR="004E01ED">
        <w:t xml:space="preserve">. </w:t>
      </w:r>
      <w:r w:rsidR="004E01ED">
        <w:rPr>
          <w:rFonts w:ascii="Calibri" w:eastAsia="Calibri" w:hAnsi="Calibri" w:cs="Calibri"/>
          <w:color w:val="000000"/>
        </w:rPr>
        <w:t>We held two</w:t>
      </w:r>
      <w:r w:rsidR="00205AC5">
        <w:rPr>
          <w:rFonts w:ascii="Calibri" w:eastAsia="Calibri" w:hAnsi="Calibri" w:cs="Calibri"/>
          <w:color w:val="000000"/>
        </w:rPr>
        <w:t xml:space="preserve"> structured Clinician Committee </w:t>
      </w:r>
      <w:r w:rsidR="004E01ED">
        <w:rPr>
          <w:rFonts w:ascii="Calibri" w:eastAsia="Calibri" w:hAnsi="Calibri" w:cs="Calibri"/>
          <w:color w:val="000000"/>
        </w:rPr>
        <w:t xml:space="preserve">webinars and one structured </w:t>
      </w:r>
      <w:r w:rsidR="00205AC5">
        <w:rPr>
          <w:rFonts w:ascii="Calibri" w:eastAsia="Calibri" w:hAnsi="Calibri" w:cs="Calibri"/>
          <w:color w:val="000000"/>
        </w:rPr>
        <w:t>in</w:t>
      </w:r>
      <w:r w:rsidR="004E01ED">
        <w:rPr>
          <w:rFonts w:ascii="Calibri" w:eastAsia="Calibri" w:hAnsi="Calibri" w:cs="Calibri"/>
          <w:color w:val="000000"/>
        </w:rPr>
        <w:t>-person meeting</w:t>
      </w:r>
      <w:r w:rsidR="00205AC5">
        <w:rPr>
          <w:rFonts w:ascii="Calibri" w:eastAsia="Calibri" w:hAnsi="Calibri" w:cs="Calibri"/>
          <w:color w:val="000000"/>
        </w:rPr>
        <w:t xml:space="preserve"> consisting of a presentation of key issues, our proposed approach, and relevant data, followed by open discussion among Committee members.</w:t>
      </w:r>
      <w:r w:rsidR="00F041E2">
        <w:rPr>
          <w:rFonts w:ascii="Calibri" w:eastAsia="Calibri" w:hAnsi="Calibri" w:cs="Calibri"/>
          <w:color w:val="000000"/>
        </w:rPr>
        <w:t xml:space="preserve"> We made modifications to the measure features based </w:t>
      </w:r>
      <w:r w:rsidR="00205AC5">
        <w:rPr>
          <w:rFonts w:ascii="Calibri" w:eastAsia="Calibri" w:hAnsi="Calibri" w:cs="Calibri"/>
          <w:color w:val="000000"/>
        </w:rPr>
        <w:t>Clinician Committee</w:t>
      </w:r>
      <w:r w:rsidR="00F041E2">
        <w:rPr>
          <w:rFonts w:ascii="Calibri" w:eastAsia="Calibri" w:hAnsi="Calibri" w:cs="Calibri"/>
          <w:color w:val="000000"/>
        </w:rPr>
        <w:t xml:space="preserve"> feedback following each meeting.</w:t>
      </w:r>
    </w:p>
    <w:p w14:paraId="40C47FE4" w14:textId="77777777" w:rsidR="00DF70B4" w:rsidRDefault="004E01ED" w:rsidP="00F041E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TEP and Clinician Committee members were </w:t>
      </w:r>
      <w:r w:rsidR="00F041E2">
        <w:rPr>
          <w:rFonts w:ascii="Calibri" w:eastAsia="Calibri" w:hAnsi="Calibri" w:cs="Calibri"/>
          <w:color w:val="000000"/>
        </w:rPr>
        <w:t>asked to assess the face validity of the final measure specification by confidenti</w:t>
      </w:r>
      <w:r w:rsidR="00DF70B4">
        <w:rPr>
          <w:rFonts w:ascii="Calibri" w:eastAsia="Calibri" w:hAnsi="Calibri" w:cs="Calibri"/>
          <w:color w:val="000000"/>
        </w:rPr>
        <w:t>ally responding to two statements</w:t>
      </w:r>
      <w:r w:rsidR="00F041E2">
        <w:rPr>
          <w:rFonts w:ascii="Calibri" w:eastAsia="Calibri" w:hAnsi="Calibri" w:cs="Calibri"/>
          <w:color w:val="000000"/>
        </w:rPr>
        <w:t xml:space="preserve">. </w:t>
      </w:r>
    </w:p>
    <w:p w14:paraId="16167B2C" w14:textId="65318BEE" w:rsidR="00F041E2" w:rsidRDefault="00DF70B4" w:rsidP="00F041E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1) </w:t>
      </w:r>
      <w:r w:rsidR="00F041E2">
        <w:rPr>
          <w:rFonts w:ascii="Calibri" w:eastAsia="Calibri" w:hAnsi="Calibri" w:cs="Calibri"/>
          <w:color w:val="000000"/>
        </w:rPr>
        <w:t xml:space="preserve">The risk-standardized </w:t>
      </w:r>
      <w:r w:rsidR="004E01ED">
        <w:rPr>
          <w:rFonts w:ascii="Calibri" w:eastAsia="Calibri" w:hAnsi="Calibri" w:cs="Calibri"/>
          <w:color w:val="000000"/>
        </w:rPr>
        <w:t>acute cardiovascular-related</w:t>
      </w:r>
      <w:r w:rsidR="00F041E2">
        <w:rPr>
          <w:rFonts w:ascii="Calibri" w:eastAsia="Calibri" w:hAnsi="Calibri" w:cs="Calibri"/>
          <w:color w:val="000000"/>
        </w:rPr>
        <w:t xml:space="preserve"> admission rates obtained from the MIPS </w:t>
      </w:r>
      <w:r w:rsidR="00251F70">
        <w:rPr>
          <w:rFonts w:ascii="Calibri" w:eastAsia="Calibri" w:hAnsi="Calibri" w:cs="Calibri"/>
          <w:color w:val="000000"/>
        </w:rPr>
        <w:t>HF</w:t>
      </w:r>
      <w:r>
        <w:rPr>
          <w:rFonts w:ascii="Calibri" w:eastAsia="Calibri" w:hAnsi="Calibri" w:cs="Calibri"/>
          <w:color w:val="000000"/>
        </w:rPr>
        <w:t xml:space="preserve"> measure as specified c</w:t>
      </w:r>
      <w:r w:rsidR="00F041E2">
        <w:rPr>
          <w:rFonts w:ascii="Calibri" w:eastAsia="Calibri" w:hAnsi="Calibri" w:cs="Calibri"/>
          <w:color w:val="000000"/>
        </w:rPr>
        <w:t xml:space="preserve">an be used to distinguish good from poor quality of care provided to </w:t>
      </w:r>
      <w:r w:rsidR="00251F70">
        <w:rPr>
          <w:rFonts w:ascii="Calibri" w:eastAsia="Calibri" w:hAnsi="Calibri" w:cs="Calibri"/>
          <w:color w:val="000000"/>
        </w:rPr>
        <w:t>HF</w:t>
      </w:r>
      <w:r w:rsidR="00F041E2">
        <w:rPr>
          <w:rFonts w:ascii="Calibri" w:eastAsia="Calibri" w:hAnsi="Calibri" w:cs="Calibri"/>
          <w:color w:val="000000"/>
        </w:rPr>
        <w:t xml:space="preserve"> patien</w:t>
      </w:r>
      <w:r>
        <w:rPr>
          <w:rFonts w:ascii="Calibri" w:eastAsia="Calibri" w:hAnsi="Calibri" w:cs="Calibri"/>
          <w:color w:val="000000"/>
        </w:rPr>
        <w:t xml:space="preserve">ts by </w:t>
      </w:r>
      <w:proofErr w:type="gramStart"/>
      <w:r>
        <w:rPr>
          <w:rFonts w:ascii="Calibri" w:eastAsia="Calibri" w:hAnsi="Calibri" w:cs="Calibri"/>
          <w:color w:val="000000"/>
        </w:rPr>
        <w:t>TINs</w:t>
      </w:r>
      <w:proofErr w:type="gramEnd"/>
      <w:r>
        <w:rPr>
          <w:rFonts w:ascii="Calibri" w:eastAsia="Calibri" w:hAnsi="Calibri" w:cs="Calibri"/>
          <w:color w:val="000000"/>
        </w:rPr>
        <w:t xml:space="preserve"> reporting under MIPS.</w:t>
      </w:r>
    </w:p>
    <w:p w14:paraId="0AB1FD2C" w14:textId="63E31C0C" w:rsidR="004E01ED" w:rsidRDefault="00F041E2" w:rsidP="00DF70B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2) </w:t>
      </w:r>
      <w:r w:rsidR="00DF70B4">
        <w:rPr>
          <w:rFonts w:ascii="Calibri" w:eastAsia="Calibri" w:hAnsi="Calibri" w:cs="Calibri"/>
          <w:color w:val="000000"/>
        </w:rPr>
        <w:t>The risk-standardized acute cardiovascular-related admission rates obtained from the MIPS HF measure as specified w</w:t>
      </w:r>
      <w:r>
        <w:rPr>
          <w:rFonts w:ascii="Calibri" w:eastAsia="Calibri" w:hAnsi="Calibri" w:cs="Calibri"/>
          <w:color w:val="000000"/>
        </w:rPr>
        <w:t xml:space="preserve">ill provide </w:t>
      </w:r>
      <w:proofErr w:type="gramStart"/>
      <w:r>
        <w:rPr>
          <w:rFonts w:ascii="Calibri" w:eastAsia="Calibri" w:hAnsi="Calibri" w:cs="Calibri"/>
          <w:color w:val="000000"/>
        </w:rPr>
        <w:t>TINs</w:t>
      </w:r>
      <w:proofErr w:type="gramEnd"/>
      <w:r>
        <w:rPr>
          <w:rFonts w:ascii="Calibri" w:eastAsia="Calibri" w:hAnsi="Calibri" w:cs="Calibri"/>
          <w:color w:val="000000"/>
        </w:rPr>
        <w:t xml:space="preserve"> reporting under MIPS with information that can be used to improve their quality of care for </w:t>
      </w:r>
      <w:r w:rsidR="00251F70">
        <w:rPr>
          <w:rFonts w:ascii="Calibri" w:eastAsia="Calibri" w:hAnsi="Calibri" w:cs="Calibri"/>
          <w:color w:val="000000"/>
        </w:rPr>
        <w:t>HF</w:t>
      </w:r>
      <w:r w:rsidR="00DF70B4">
        <w:rPr>
          <w:rFonts w:ascii="Calibri" w:eastAsia="Calibri" w:hAnsi="Calibri" w:cs="Calibri"/>
          <w:color w:val="000000"/>
        </w:rPr>
        <w:t xml:space="preserve"> patients.</w:t>
      </w:r>
    </w:p>
    <w:p w14:paraId="1AB7F39E" w14:textId="77777777" w:rsidR="00DF70B4" w:rsidRDefault="00DF70B4" w:rsidP="00DF70B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37075C7" w14:textId="75CC6FB3"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 xml:space="preserve">TEP </w:t>
      </w:r>
      <w:r w:rsidR="006E3835">
        <w:rPr>
          <w:rFonts w:ascii="Calibri" w:eastAsia="Calibri" w:hAnsi="Calibri" w:cs="Calibri"/>
          <w:color w:val="000000"/>
        </w:rPr>
        <w:t xml:space="preserve">and Clinician Committee </w:t>
      </w:r>
      <w:r>
        <w:rPr>
          <w:rFonts w:ascii="Calibri" w:eastAsia="Calibri" w:hAnsi="Calibri" w:cs="Calibri"/>
          <w:color w:val="000000"/>
        </w:rPr>
        <w:t xml:space="preserve">members </w:t>
      </w:r>
      <w:r w:rsidR="004E01ED">
        <w:rPr>
          <w:rFonts w:ascii="Calibri" w:eastAsia="Calibri" w:hAnsi="Calibri" w:cs="Calibri"/>
          <w:color w:val="000000"/>
        </w:rPr>
        <w:t>were</w:t>
      </w:r>
      <w:r>
        <w:rPr>
          <w:rFonts w:ascii="Calibri" w:eastAsia="Calibri" w:hAnsi="Calibri" w:cs="Calibri"/>
          <w:color w:val="000000"/>
        </w:rPr>
        <w:t xml:space="preserve"> asked to report their agreement with each statement on a 6-point scale, rang</w:t>
      </w:r>
      <w:r w:rsidR="006E3835">
        <w:rPr>
          <w:rFonts w:ascii="Calibri" w:eastAsia="Calibri" w:hAnsi="Calibri" w:cs="Calibri"/>
          <w:color w:val="000000"/>
        </w:rPr>
        <w:t>ing</w:t>
      </w:r>
      <w:r>
        <w:rPr>
          <w:rFonts w:ascii="Calibri" w:eastAsia="Calibri" w:hAnsi="Calibri" w:cs="Calibri"/>
          <w:color w:val="000000"/>
        </w:rPr>
        <w:t xml:space="preserve"> from “strongly disagree” to “strongly agree.”</w:t>
      </w:r>
    </w:p>
    <w:p w14:paraId="54BFEBF6" w14:textId="0B2AF0D2" w:rsidR="007938E9" w:rsidRDefault="007938E9"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D73989">
        <w:rPr>
          <w:rFonts w:ascii="Calibri" w:eastAsia="Calibri" w:hAnsi="Calibri" w:cs="Calibri"/>
          <w:color w:val="000000"/>
        </w:rPr>
        <w:t xml:space="preserve">Finally, following completion of the preliminary measure, we solicited public comment on the measure through the CMS site: </w:t>
      </w:r>
      <w:hyperlink r:id="rId13" w:history="1">
        <w:r w:rsidRPr="00D73989">
          <w:rPr>
            <w:rStyle w:val="Hyperlink"/>
            <w:rFonts w:ascii="Calibri" w:eastAsia="Calibri" w:hAnsi="Calibri" w:cs="Calibri"/>
          </w:rPr>
          <w:t>https://www.cms.gov/Medicare/Quality-Initiatives-Patient-Assessment-Instruments/MMS/CallforPublicComment.html</w:t>
        </w:r>
      </w:hyperlink>
      <w:r w:rsidRPr="00D73989">
        <w:rPr>
          <w:rFonts w:ascii="Calibri" w:eastAsia="Calibri" w:hAnsi="Calibri" w:cs="Calibri"/>
          <w:color w:val="000000"/>
        </w:rPr>
        <w:t>.]</w:t>
      </w:r>
      <w:r>
        <w:rPr>
          <w:rFonts w:ascii="Calibri" w:eastAsia="Calibri" w:hAnsi="Calibri" w:cs="Calibri"/>
          <w:color w:val="000000"/>
        </w:rPr>
        <w:t xml:space="preserve"> </w:t>
      </w:r>
    </w:p>
    <w:p w14:paraId="0FE6A4B4"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u w:val="single"/>
        </w:rPr>
      </w:pPr>
      <w:r>
        <w:rPr>
          <w:rFonts w:ascii="Calibri" w:eastAsia="Calibri" w:hAnsi="Calibri" w:cs="Calibri"/>
          <w:color w:val="000000"/>
          <w:u w:val="single"/>
        </w:rPr>
        <w:t>Validity Indicated by Established Measure Development Guidelines</w:t>
      </w:r>
    </w:p>
    <w:p w14:paraId="1E4943CA" w14:textId="6C30DBE2"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 xml:space="preserve">We developed this measure in consultation with national guidelines for publicly reported outcome measures, with input from outside experts and the public. The measure is consistent with the technical approach to outcomes measurement set forth in NQF guidance for outcome measures [7], CMS </w:t>
      </w:r>
      <w:r w:rsidR="00266280">
        <w:rPr>
          <w:rFonts w:ascii="Calibri" w:eastAsia="Calibri" w:hAnsi="Calibri" w:cs="Calibri"/>
          <w:color w:val="000000"/>
        </w:rPr>
        <w:t>MMS</w:t>
      </w:r>
      <w:r>
        <w:rPr>
          <w:rFonts w:ascii="Calibri" w:eastAsia="Calibri" w:hAnsi="Calibri" w:cs="Calibri"/>
          <w:color w:val="000000"/>
        </w:rPr>
        <w:t xml:space="preserve"> guidance, and guidance articulated in the American Heart Association scientific statement entitled, “Standards for Statistical Models Used for Public Reporting of Health </w:t>
      </w:r>
      <w:proofErr w:type="gramStart"/>
      <w:r>
        <w:rPr>
          <w:rFonts w:ascii="Calibri" w:eastAsia="Calibri" w:hAnsi="Calibri" w:cs="Calibri"/>
          <w:color w:val="000000"/>
        </w:rPr>
        <w:t>Outcomes”[</w:t>
      </w:r>
      <w:proofErr w:type="gramEnd"/>
      <w:r>
        <w:rPr>
          <w:rFonts w:ascii="Calibri" w:eastAsia="Calibri" w:hAnsi="Calibri" w:cs="Calibri"/>
          <w:color w:val="000000"/>
        </w:rPr>
        <w:t>8]</w:t>
      </w:r>
      <w:r w:rsidR="00A70C79">
        <w:rPr>
          <w:rFonts w:ascii="Calibri" w:eastAsia="Calibri" w:hAnsi="Calibri" w:cs="Calibri"/>
          <w:color w:val="000000"/>
        </w:rPr>
        <w:t>.</w:t>
      </w:r>
    </w:p>
    <w:p w14:paraId="7BBA7146"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u w:val="single"/>
        </w:rPr>
      </w:pPr>
      <w:r>
        <w:rPr>
          <w:rFonts w:ascii="Calibri" w:eastAsia="Calibri" w:hAnsi="Calibri" w:cs="Calibri"/>
          <w:color w:val="000000"/>
          <w:u w:val="single"/>
        </w:rPr>
        <w:t>References</w:t>
      </w:r>
    </w:p>
    <w:p w14:paraId="3A9882EA"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1. Krumholz HM, Wang Y, Mattera JA, et al. An administrative claims model suitable for profiling hospital performance based on 30-day mortality rates among patients with an acute myocardial infarction. Circulation. 2006 Apr 4; 113(13):1683-92.</w:t>
      </w:r>
    </w:p>
    <w:p w14:paraId="07E327D9"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2. Krumholz HM, Lin Z, Drye EE, et al. An administrative claims measure suitable for profiling hospital performance based on 30-day all-cause readmission rates among patients with acute myocardial infarction. Circulation: Cardiovascular Quality and Outcomes. 2011 Mar 1; 4(2):243-52.</w:t>
      </w:r>
    </w:p>
    <w:p w14:paraId="307C6555"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3. Krumholz HM, Wang Y, Mattera JA, et al. An administrative claims model suitable for profiling hospital performance based on 30-day mortality rates among patients with heart failure. Circulation. 2006 Apr 4; 113(13):1693-701.</w:t>
      </w:r>
    </w:p>
    <w:p w14:paraId="2F483BE1"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 xml:space="preserve">4. Keenan PS, Normand SL, Lin Z, et al. An administrative claims measure suitable for profiling hospital performance </w:t>
      </w:r>
      <w:proofErr w:type="gramStart"/>
      <w:r>
        <w:rPr>
          <w:rFonts w:ascii="Calibri" w:eastAsia="Calibri" w:hAnsi="Calibri" w:cs="Calibri"/>
          <w:color w:val="000000"/>
        </w:rPr>
        <w:t>on the basis of</w:t>
      </w:r>
      <w:proofErr w:type="gramEnd"/>
      <w:r>
        <w:rPr>
          <w:rFonts w:ascii="Calibri" w:eastAsia="Calibri" w:hAnsi="Calibri" w:cs="Calibri"/>
          <w:color w:val="000000"/>
        </w:rPr>
        <w:t xml:space="preserve"> 30-day all-cause readmission rates among patients with heart failure. Circulation: Cardiovascular Quality and Outcomes. 2008 Sep; 1(1):29-37.</w:t>
      </w:r>
    </w:p>
    <w:p w14:paraId="012E03F4"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lastRenderedPageBreak/>
        <w:t>5. Bratzler DW, Normand SL, Wang Y, et al. An administrative claims model for profiling hospital 30-day mortality rates for pneumonia patients. Public Library of Science (</w:t>
      </w:r>
      <w:proofErr w:type="spellStart"/>
      <w:r>
        <w:rPr>
          <w:rFonts w:ascii="Calibri" w:eastAsia="Calibri" w:hAnsi="Calibri" w:cs="Calibri"/>
          <w:color w:val="000000"/>
        </w:rPr>
        <w:t>PLoS</w:t>
      </w:r>
      <w:proofErr w:type="spellEnd"/>
      <w:r>
        <w:rPr>
          <w:rFonts w:ascii="Calibri" w:eastAsia="Calibri" w:hAnsi="Calibri" w:cs="Calibri"/>
          <w:color w:val="000000"/>
        </w:rPr>
        <w:t>) ONE. 2011 Apr 12; 6(4</w:t>
      </w:r>
      <w:proofErr w:type="gramStart"/>
      <w:r>
        <w:rPr>
          <w:rFonts w:ascii="Calibri" w:eastAsia="Calibri" w:hAnsi="Calibri" w:cs="Calibri"/>
          <w:color w:val="000000"/>
        </w:rPr>
        <w:t>):e</w:t>
      </w:r>
      <w:proofErr w:type="gramEnd"/>
      <w:r>
        <w:rPr>
          <w:rFonts w:ascii="Calibri" w:eastAsia="Calibri" w:hAnsi="Calibri" w:cs="Calibri"/>
          <w:color w:val="000000"/>
        </w:rPr>
        <w:t>17401.</w:t>
      </w:r>
    </w:p>
    <w:p w14:paraId="5D5A599E"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6. Lindenauer PK, Normand SL, Drye EE, et al. Development, validation, and results of a measure of 30-day readmission following hospitalization for pneumonia. Journal of Hospital Medicine. 2011 Mar; 6(3):142-50.</w:t>
      </w:r>
    </w:p>
    <w:p w14:paraId="6E2CE228" w14:textId="77777777" w:rsidR="00F041E2" w:rsidRDefault="00F041E2" w:rsidP="00F041E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7. National Quality Forum. National voluntary consensus standards for patient outcomes, first report for phases 1 and 2: A consensus report. Available at: http://www.qualityforum.org/projects/Patient_Outcome_Measures_Phases1-2.aspx. Accessed June 7, 2017.</w:t>
      </w:r>
    </w:p>
    <w:p w14:paraId="14423493" w14:textId="77777777" w:rsidR="00F041E2" w:rsidRDefault="00F041E2" w:rsidP="331BDD94">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themeColor="text1"/>
        </w:rPr>
      </w:pPr>
      <w:r>
        <w:rPr>
          <w:rFonts w:ascii="Calibri" w:eastAsia="Calibri" w:hAnsi="Calibri" w:cs="Calibri"/>
          <w:color w:val="000000"/>
        </w:rPr>
        <w:t xml:space="preserve">8. </w:t>
      </w:r>
      <w:proofErr w:type="spellStart"/>
      <w:r>
        <w:rPr>
          <w:rFonts w:ascii="Calibri" w:eastAsia="Calibri" w:hAnsi="Calibri" w:cs="Calibri"/>
          <w:color w:val="000000"/>
        </w:rPr>
        <w:t>Krumholz</w:t>
      </w:r>
      <w:proofErr w:type="spellEnd"/>
      <w:r>
        <w:rPr>
          <w:rFonts w:ascii="Calibri" w:eastAsia="Calibri" w:hAnsi="Calibri" w:cs="Calibri"/>
          <w:color w:val="000000"/>
        </w:rPr>
        <w:t xml:space="preserve"> HM, </w:t>
      </w:r>
      <w:proofErr w:type="spellStart"/>
      <w:r>
        <w:rPr>
          <w:rFonts w:ascii="Calibri" w:eastAsia="Calibri" w:hAnsi="Calibri" w:cs="Calibri"/>
          <w:color w:val="000000"/>
        </w:rPr>
        <w:t>Brindis</w:t>
      </w:r>
      <w:proofErr w:type="spellEnd"/>
      <w:r>
        <w:rPr>
          <w:rFonts w:ascii="Calibri" w:eastAsia="Calibri" w:hAnsi="Calibri" w:cs="Calibri"/>
          <w:color w:val="000000"/>
        </w:rPr>
        <w:t xml:space="preserve">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2006; 113(3):456-462.</w:t>
      </w:r>
      <w:r>
        <w:rPr>
          <w:rFonts w:ascii="Calibri" w:eastAsia="Calibri" w:hAnsi="Calibri" w:cs="Calibri"/>
          <w:color w:val="000000"/>
        </w:rPr>
        <w:tab/>
      </w:r>
    </w:p>
    <w:p w14:paraId="2AE4CE0D" w14:textId="77777777" w:rsidR="009745BF" w:rsidRPr="00092566" w:rsidRDefault="009745BF" w:rsidP="009745BF">
      <w:pPr>
        <w:autoSpaceDE w:val="0"/>
        <w:autoSpaceDN w:val="0"/>
        <w:adjustRightInd w:val="0"/>
        <w:spacing w:after="0" w:line="240" w:lineRule="auto"/>
        <w:rPr>
          <w:rFonts w:cstheme="minorHAnsi"/>
          <w:bCs/>
        </w:rPr>
      </w:pPr>
      <w:r>
        <w:rPr>
          <w:rFonts w:cstheme="minorHAnsi"/>
          <w:b/>
          <w:bCs/>
        </w:rPr>
        <w:t>2b1.</w:t>
      </w:r>
      <w:r w:rsidRPr="00A25024">
        <w:rPr>
          <w:rFonts w:cstheme="minorHAnsi"/>
          <w:b/>
          <w:bCs/>
        </w:rPr>
        <w:t>3. What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p>
    <w:p w14:paraId="6F7629A8" w14:textId="7F08A876" w:rsidR="004E01ED" w:rsidRDefault="004E01ED"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The voting results were as follows:</w:t>
      </w:r>
    </w:p>
    <w:p w14:paraId="2328FCCE" w14:textId="5AF8E907" w:rsidR="004E01ED" w:rsidRDefault="004E01ED"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i/>
          <w:color w:val="000000"/>
        </w:rPr>
      </w:pPr>
      <w:r w:rsidRPr="004E01ED">
        <w:rPr>
          <w:rFonts w:ascii="Calibri" w:eastAsia="Calibri" w:hAnsi="Calibri" w:cs="Calibri"/>
          <w:i/>
          <w:color w:val="000000"/>
        </w:rPr>
        <w:t>TEP</w:t>
      </w:r>
    </w:p>
    <w:p w14:paraId="067D96C5" w14:textId="0B3AA8CB" w:rsidR="009563AE" w:rsidRDefault="009563AE"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Rating (# of Responses</w:t>
      </w:r>
      <w:r w:rsidR="4F7F72E4" w:rsidRPr="50637D09">
        <w:rPr>
          <w:rFonts w:ascii="Calibri" w:eastAsia="Calibri" w:hAnsi="Calibri" w:cs="Calibri"/>
          <w:color w:val="000000" w:themeColor="text1"/>
        </w:rPr>
        <w:t xml:space="preserve"> = 12</w:t>
      </w:r>
      <w:r w:rsidR="1C464968" w:rsidRPr="50637D09">
        <w:rPr>
          <w:rFonts w:ascii="Calibri" w:eastAsia="Calibri" w:hAnsi="Calibri" w:cs="Calibri"/>
          <w:color w:val="000000" w:themeColor="text1"/>
        </w:rPr>
        <w:t xml:space="preserve"> out of 17 active member</w:t>
      </w:r>
      <w:r w:rsidRPr="50637D09">
        <w:rPr>
          <w:rFonts w:ascii="Calibri" w:eastAsia="Calibri" w:hAnsi="Calibri" w:cs="Calibri"/>
          <w:color w:val="000000" w:themeColor="text1"/>
        </w:rPr>
        <w:t>)</w:t>
      </w:r>
    </w:p>
    <w:p w14:paraId="608303C3" w14:textId="1D69AA8C"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 xml:space="preserve">The risk-standardized acute admission rates obtained from the HF measure as specified: </w:t>
      </w:r>
    </w:p>
    <w:p w14:paraId="58AAA49D" w14:textId="380FB9A7"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 xml:space="preserve">Can be used to distinguish good from poor quality of care provided to HF patients by </w:t>
      </w:r>
      <w:proofErr w:type="gramStart"/>
      <w:r w:rsidRPr="50637D09">
        <w:rPr>
          <w:rFonts w:ascii="Calibri" w:eastAsia="Calibri" w:hAnsi="Calibri" w:cs="Calibri"/>
          <w:color w:val="000000" w:themeColor="text1"/>
        </w:rPr>
        <w:t>TINs</w:t>
      </w:r>
      <w:proofErr w:type="gramEnd"/>
      <w:r w:rsidRPr="50637D09">
        <w:rPr>
          <w:rFonts w:ascii="Calibri" w:eastAsia="Calibri" w:hAnsi="Calibri" w:cs="Calibri"/>
          <w:color w:val="000000" w:themeColor="text1"/>
        </w:rPr>
        <w:t xml:space="preserve"> reporting under MIPS, </w:t>
      </w:r>
    </w:p>
    <w:p w14:paraId="77532D28" w14:textId="28686148"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Strongly agree (0)</w:t>
      </w:r>
    </w:p>
    <w:p w14:paraId="6B83835E" w14:textId="60D45B89"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Moderately agree (6)</w:t>
      </w:r>
    </w:p>
    <w:p w14:paraId="3C678F50" w14:textId="627E3DC3"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Somewhat agree (4)</w:t>
      </w:r>
    </w:p>
    <w:p w14:paraId="44BFC0B9" w14:textId="77683094"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Somewhat disagree (0)</w:t>
      </w:r>
    </w:p>
    <w:p w14:paraId="717E973E" w14:textId="4B81800D"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Moderately disagree (1)</w:t>
      </w:r>
    </w:p>
    <w:p w14:paraId="5E4F36ED" w14:textId="5EC8CFC6"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Strongly disagree (1)</w:t>
      </w:r>
    </w:p>
    <w:p w14:paraId="2BA35FCF" w14:textId="4E8C197E" w:rsidR="009563AE" w:rsidRDefault="0BDE2551" w:rsidP="50637D0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pPr>
      <w:r w:rsidRPr="50637D09">
        <w:rPr>
          <w:rFonts w:ascii="Calibri" w:eastAsia="Calibri" w:hAnsi="Calibri" w:cs="Calibri"/>
          <w:color w:val="000000" w:themeColor="text1"/>
        </w:rPr>
        <w:t xml:space="preserve">Will provide </w:t>
      </w:r>
      <w:proofErr w:type="gramStart"/>
      <w:r w:rsidRPr="50637D09">
        <w:rPr>
          <w:rFonts w:ascii="Calibri" w:eastAsia="Calibri" w:hAnsi="Calibri" w:cs="Calibri"/>
          <w:color w:val="000000" w:themeColor="text1"/>
        </w:rPr>
        <w:t>TINs</w:t>
      </w:r>
      <w:proofErr w:type="gramEnd"/>
      <w:r w:rsidRPr="50637D09">
        <w:rPr>
          <w:rFonts w:ascii="Calibri" w:eastAsia="Calibri" w:hAnsi="Calibri" w:cs="Calibri"/>
          <w:color w:val="000000" w:themeColor="text1"/>
        </w:rPr>
        <w:t xml:space="preserve"> reporting under MIPS with information that can be used to improve their quality of care for HF patients, </w:t>
      </w:r>
    </w:p>
    <w:p w14:paraId="3B89C4A7" w14:textId="28686148" w:rsidR="009563AE" w:rsidRDefault="009563AE"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Strongly agree (0)</w:t>
      </w:r>
    </w:p>
    <w:p w14:paraId="3E1CEF59" w14:textId="5AACA0A5" w:rsidR="009563AE" w:rsidRDefault="009563AE"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Moderately agree (</w:t>
      </w:r>
      <w:r w:rsidR="4849D6A9" w:rsidRPr="50637D09">
        <w:rPr>
          <w:rFonts w:ascii="Calibri" w:eastAsia="Calibri" w:hAnsi="Calibri" w:cs="Calibri"/>
          <w:color w:val="000000" w:themeColor="text1"/>
        </w:rPr>
        <w:t>4</w:t>
      </w:r>
      <w:r w:rsidRPr="50637D09">
        <w:rPr>
          <w:rFonts w:ascii="Calibri" w:eastAsia="Calibri" w:hAnsi="Calibri" w:cs="Calibri"/>
          <w:color w:val="000000" w:themeColor="text1"/>
        </w:rPr>
        <w:t>)</w:t>
      </w:r>
    </w:p>
    <w:p w14:paraId="7740BE7E" w14:textId="2B9BB3A2" w:rsidR="009563AE" w:rsidRDefault="009563AE"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Somewhat agree (</w:t>
      </w:r>
      <w:r w:rsidR="5ABB1CD0" w:rsidRPr="50637D09">
        <w:rPr>
          <w:rFonts w:ascii="Calibri" w:eastAsia="Calibri" w:hAnsi="Calibri" w:cs="Calibri"/>
          <w:color w:val="000000" w:themeColor="text1"/>
        </w:rPr>
        <w:t>5</w:t>
      </w:r>
      <w:r w:rsidRPr="50637D09">
        <w:rPr>
          <w:rFonts w:ascii="Calibri" w:eastAsia="Calibri" w:hAnsi="Calibri" w:cs="Calibri"/>
          <w:color w:val="000000" w:themeColor="text1"/>
        </w:rPr>
        <w:t>)</w:t>
      </w:r>
    </w:p>
    <w:p w14:paraId="79BFF624" w14:textId="7BE3DD82" w:rsidR="191A1AC3" w:rsidRDefault="191A1AC3" w:rsidP="50637D09">
      <w:pPr>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lastRenderedPageBreak/>
        <w:t>Somewhat disagree (2)</w:t>
      </w:r>
    </w:p>
    <w:p w14:paraId="5B87F524" w14:textId="0F471197" w:rsidR="009563AE" w:rsidRDefault="009563AE"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Moderately disagree (</w:t>
      </w:r>
      <w:r w:rsidR="5FF03130" w:rsidRPr="50637D09">
        <w:rPr>
          <w:rFonts w:ascii="Calibri" w:eastAsia="Calibri" w:hAnsi="Calibri" w:cs="Calibri"/>
          <w:color w:val="000000" w:themeColor="text1"/>
        </w:rPr>
        <w:t>1</w:t>
      </w:r>
      <w:r w:rsidRPr="50637D09">
        <w:rPr>
          <w:rFonts w:ascii="Calibri" w:eastAsia="Calibri" w:hAnsi="Calibri" w:cs="Calibri"/>
          <w:color w:val="000000" w:themeColor="text1"/>
        </w:rPr>
        <w:t>)</w:t>
      </w:r>
    </w:p>
    <w:p w14:paraId="546AAB2B" w14:textId="7DABBF58" w:rsidR="009563AE" w:rsidRDefault="009563AE"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50637D09">
        <w:rPr>
          <w:rFonts w:ascii="Calibri" w:eastAsia="Calibri" w:hAnsi="Calibri" w:cs="Calibri"/>
          <w:color w:val="000000" w:themeColor="text1"/>
        </w:rPr>
        <w:t>Strongly disagree (</w:t>
      </w:r>
      <w:r w:rsidR="14A8E6DF" w:rsidRPr="50637D09">
        <w:rPr>
          <w:rFonts w:ascii="Calibri" w:eastAsia="Calibri" w:hAnsi="Calibri" w:cs="Calibri"/>
          <w:color w:val="000000" w:themeColor="text1"/>
        </w:rPr>
        <w:t>0</w:t>
      </w:r>
      <w:r w:rsidRPr="50637D09">
        <w:rPr>
          <w:rFonts w:ascii="Calibri" w:eastAsia="Calibri" w:hAnsi="Calibri" w:cs="Calibri"/>
          <w:color w:val="000000" w:themeColor="text1"/>
        </w:rPr>
        <w:t>)</w:t>
      </w:r>
    </w:p>
    <w:p w14:paraId="1A10A60F" w14:textId="496C223F" w:rsidR="00DF70B4" w:rsidRDefault="00597E41"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Of 17</w:t>
      </w:r>
      <w:r w:rsidR="00DF70B4" w:rsidRPr="00DF70B4">
        <w:rPr>
          <w:rFonts w:ascii="Calibri" w:eastAsia="Calibri" w:hAnsi="Calibri" w:cs="Calibri"/>
          <w:color w:val="000000"/>
        </w:rPr>
        <w:t xml:space="preserve"> TEP members </w:t>
      </w:r>
      <w:r>
        <w:rPr>
          <w:rFonts w:ascii="Calibri" w:eastAsia="Calibri" w:hAnsi="Calibri" w:cs="Calibri"/>
          <w:color w:val="000000"/>
        </w:rPr>
        <w:t>who were active through the end of the project</w:t>
      </w:r>
      <w:r w:rsidR="00361A43">
        <w:rPr>
          <w:rFonts w:ascii="Calibri" w:eastAsia="Calibri" w:hAnsi="Calibri" w:cs="Calibri"/>
          <w:color w:val="000000"/>
        </w:rPr>
        <w:t>, 12</w:t>
      </w:r>
      <w:r w:rsidR="00DF70B4" w:rsidRPr="00DF70B4">
        <w:rPr>
          <w:rFonts w:ascii="Calibri" w:eastAsia="Calibri" w:hAnsi="Calibri" w:cs="Calibri"/>
          <w:color w:val="000000"/>
        </w:rPr>
        <w:t xml:space="preserve"> responded. </w:t>
      </w:r>
      <w:proofErr w:type="gramStart"/>
      <w:r w:rsidR="00DF70B4" w:rsidRPr="00DF70B4">
        <w:rPr>
          <w:rFonts w:ascii="Calibri" w:eastAsia="Calibri" w:hAnsi="Calibri" w:cs="Calibri"/>
          <w:color w:val="000000"/>
        </w:rPr>
        <w:t>The m</w:t>
      </w:r>
      <w:r w:rsidR="00361A43">
        <w:rPr>
          <w:rFonts w:ascii="Calibri" w:eastAsia="Calibri" w:hAnsi="Calibri" w:cs="Calibri"/>
          <w:color w:val="000000"/>
        </w:rPr>
        <w:t>ajority of</w:t>
      </w:r>
      <w:proofErr w:type="gramEnd"/>
      <w:r w:rsidR="00361A43">
        <w:rPr>
          <w:rFonts w:ascii="Calibri" w:eastAsia="Calibri" w:hAnsi="Calibri" w:cs="Calibri"/>
          <w:color w:val="000000"/>
        </w:rPr>
        <w:t xml:space="preserve"> the respondents, 10/12 or 83</w:t>
      </w:r>
      <w:r w:rsidR="00DF70B4" w:rsidRPr="00DF70B4">
        <w:rPr>
          <w:rFonts w:ascii="Calibri" w:eastAsia="Calibri" w:hAnsi="Calibri" w:cs="Calibri"/>
          <w:color w:val="000000"/>
        </w:rPr>
        <w:t xml:space="preserve">%, moderately or somewhat agreed that the MIPS HF measure can be used to distinguish good from poor quality of care. Similarly, </w:t>
      </w:r>
      <w:proofErr w:type="gramStart"/>
      <w:r w:rsidR="00DF70B4" w:rsidRPr="00DF70B4">
        <w:rPr>
          <w:rFonts w:ascii="Calibri" w:eastAsia="Calibri" w:hAnsi="Calibri" w:cs="Calibri"/>
          <w:color w:val="000000"/>
        </w:rPr>
        <w:t>th</w:t>
      </w:r>
      <w:r w:rsidR="00361A43">
        <w:rPr>
          <w:rFonts w:ascii="Calibri" w:eastAsia="Calibri" w:hAnsi="Calibri" w:cs="Calibri"/>
          <w:color w:val="000000"/>
        </w:rPr>
        <w:t>e majority of</w:t>
      </w:r>
      <w:proofErr w:type="gramEnd"/>
      <w:r w:rsidR="00361A43">
        <w:rPr>
          <w:rFonts w:ascii="Calibri" w:eastAsia="Calibri" w:hAnsi="Calibri" w:cs="Calibri"/>
          <w:color w:val="000000"/>
        </w:rPr>
        <w:t xml:space="preserve"> the respondents, 9/12 or 75</w:t>
      </w:r>
      <w:r w:rsidR="00DF70B4" w:rsidRPr="00DF70B4">
        <w:rPr>
          <w:rFonts w:ascii="Calibri" w:eastAsia="Calibri" w:hAnsi="Calibri" w:cs="Calibri"/>
          <w:color w:val="000000"/>
        </w:rPr>
        <w:t>%, moderately or somewhat agreed that the MIPS HF measure scores (RSCARs) will provide MIPS TINs with information that could be used to improve the quality of care for HF patients.</w:t>
      </w:r>
    </w:p>
    <w:p w14:paraId="76086FD1" w14:textId="77777777" w:rsidR="00ED6CC5" w:rsidRPr="00ED6CC5" w:rsidRDefault="00ED6CC5" w:rsidP="00ED6CC5">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ED6CC5">
        <w:rPr>
          <w:rFonts w:ascii="Calibri" w:eastAsia="Calibri" w:hAnsi="Calibri" w:cs="Calibri"/>
          <w:color w:val="000000"/>
        </w:rPr>
        <w:t>Three of the 12 respondents somewhat, moderately, or strongly disagreed with one or both statements. Of these:</w:t>
      </w:r>
    </w:p>
    <w:p w14:paraId="3CB6A62D" w14:textId="4D5D90C4" w:rsidR="00ED6CC5" w:rsidRPr="00ED6CC5" w:rsidRDefault="00ED6CC5" w:rsidP="00ED6CC5">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 xml:space="preserve">• </w:t>
      </w:r>
      <w:r w:rsidRPr="00ED6CC5">
        <w:rPr>
          <w:rFonts w:ascii="Calibri" w:eastAsia="Calibri" w:hAnsi="Calibri" w:cs="Calibri"/>
          <w:color w:val="000000"/>
        </w:rPr>
        <w:t xml:space="preserve">One TEP member noted the measure would not be actionable unless CMS provided patient-level data alongside the overall measure score (RSCAR) to TINs. </w:t>
      </w:r>
    </w:p>
    <w:p w14:paraId="4611F2ED" w14:textId="467254AD" w:rsidR="00ED6CC5" w:rsidRPr="00ED6CC5" w:rsidRDefault="00ED6CC5" w:rsidP="00ED6CC5">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 xml:space="preserve">• </w:t>
      </w:r>
      <w:r w:rsidRPr="00ED6CC5">
        <w:rPr>
          <w:rFonts w:ascii="Calibri" w:eastAsia="Calibri" w:hAnsi="Calibri" w:cs="Calibri"/>
          <w:color w:val="000000"/>
        </w:rPr>
        <w:t xml:space="preserve">The second TEP member was concerned that the measure does not include any element of patient responsibility given challenges patients may encounter in managing their heart failure. </w:t>
      </w:r>
    </w:p>
    <w:p w14:paraId="368F0A46" w14:textId="123CDFE1" w:rsidR="00ED6CC5" w:rsidRPr="00DF70B4" w:rsidRDefault="00ED6CC5" w:rsidP="00ED6CC5">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Pr>
          <w:rFonts w:ascii="Calibri" w:eastAsia="Calibri" w:hAnsi="Calibri" w:cs="Calibri"/>
          <w:color w:val="000000"/>
        </w:rPr>
        <w:t xml:space="preserve">• </w:t>
      </w:r>
      <w:r w:rsidRPr="00ED6CC5">
        <w:rPr>
          <w:rFonts w:ascii="Calibri" w:eastAsia="Calibri" w:hAnsi="Calibri" w:cs="Calibri"/>
          <w:color w:val="000000"/>
        </w:rPr>
        <w:t>The third TEP member questioned whether lower admission rates are a signal of higher-quality care. Further, the member noted the impacts of risk adjustment and of potential omission of risk variables are unclear. Regarding risk adjustment, the TEP member posited the reliance on diagnosis coding for clinical risk adjustment may favor better-resourced practices that could be more sophisticated in their approaches to coding. The TEP member concluded the risks or harms of deploying the measure may outweigh the benefits.</w:t>
      </w:r>
    </w:p>
    <w:p w14:paraId="76773E87" w14:textId="058C8B81" w:rsidR="004E01ED" w:rsidRDefault="004E01ED"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i/>
          <w:color w:val="000000"/>
        </w:rPr>
      </w:pPr>
      <w:r w:rsidRPr="50637D09">
        <w:rPr>
          <w:rFonts w:ascii="Calibri" w:eastAsia="Calibri" w:hAnsi="Calibri" w:cs="Calibri"/>
          <w:i/>
          <w:iCs/>
          <w:color w:val="000000" w:themeColor="text1"/>
        </w:rPr>
        <w:t>Clinician Committee</w:t>
      </w:r>
    </w:p>
    <w:p w14:paraId="756241FC" w14:textId="51902F7D" w:rsidR="36A2A9E3" w:rsidRDefault="36A2A9E3" w:rsidP="50637D09">
      <w:pPr>
        <w:spacing w:after="240" w:line="240" w:lineRule="auto"/>
        <w:rPr>
          <w:rFonts w:ascii="Calibri" w:eastAsia="Calibri" w:hAnsi="Calibri" w:cs="Calibri"/>
          <w:color w:val="000000" w:themeColor="text1"/>
        </w:rPr>
      </w:pPr>
      <w:r w:rsidRPr="50637D09">
        <w:rPr>
          <w:rFonts w:ascii="Calibri" w:eastAsia="Calibri" w:hAnsi="Calibri" w:cs="Calibri"/>
          <w:color w:val="000000" w:themeColor="text1"/>
        </w:rPr>
        <w:t>Rating (# of Responses = 1</w:t>
      </w:r>
      <w:r w:rsidR="14956FC9" w:rsidRPr="50637D09">
        <w:rPr>
          <w:rFonts w:ascii="Calibri" w:eastAsia="Calibri" w:hAnsi="Calibri" w:cs="Calibri"/>
          <w:color w:val="000000" w:themeColor="text1"/>
        </w:rPr>
        <w:t>3 out of 13 members</w:t>
      </w:r>
      <w:r w:rsidRPr="50637D09">
        <w:rPr>
          <w:rFonts w:ascii="Calibri" w:eastAsia="Calibri" w:hAnsi="Calibri" w:cs="Calibri"/>
          <w:color w:val="000000" w:themeColor="text1"/>
        </w:rPr>
        <w:t xml:space="preserve">) </w:t>
      </w:r>
    </w:p>
    <w:p w14:paraId="6A511430" w14:textId="4F35E1C8" w:rsidR="36A2A9E3" w:rsidRDefault="36A2A9E3" w:rsidP="50637D09">
      <w:pPr>
        <w:spacing w:after="240" w:line="240" w:lineRule="auto"/>
      </w:pPr>
      <w:r w:rsidRPr="50637D09">
        <w:rPr>
          <w:rFonts w:ascii="Calibri" w:eastAsia="Calibri" w:hAnsi="Calibri" w:cs="Calibri"/>
          <w:color w:val="000000" w:themeColor="text1"/>
        </w:rPr>
        <w:t xml:space="preserve">The risk-standardized acute admission rates obtained from the HF measure as specified:  </w:t>
      </w:r>
    </w:p>
    <w:p w14:paraId="09943135" w14:textId="2F3F5623" w:rsidR="36A2A9E3" w:rsidRDefault="36A2A9E3" w:rsidP="50637D09">
      <w:pPr>
        <w:spacing w:after="240" w:line="240" w:lineRule="auto"/>
      </w:pPr>
      <w:r w:rsidRPr="50637D09">
        <w:rPr>
          <w:rFonts w:ascii="Calibri" w:eastAsia="Calibri" w:hAnsi="Calibri" w:cs="Calibri"/>
          <w:color w:val="000000" w:themeColor="text1"/>
        </w:rPr>
        <w:t xml:space="preserve">Can be used to distinguish good from poor quality of care provided to HF patients by </w:t>
      </w:r>
      <w:proofErr w:type="gramStart"/>
      <w:r w:rsidRPr="50637D09">
        <w:rPr>
          <w:rFonts w:ascii="Calibri" w:eastAsia="Calibri" w:hAnsi="Calibri" w:cs="Calibri"/>
          <w:color w:val="000000" w:themeColor="text1"/>
        </w:rPr>
        <w:t>TINs</w:t>
      </w:r>
      <w:proofErr w:type="gramEnd"/>
      <w:r w:rsidRPr="50637D09">
        <w:rPr>
          <w:rFonts w:ascii="Calibri" w:eastAsia="Calibri" w:hAnsi="Calibri" w:cs="Calibri"/>
          <w:color w:val="000000" w:themeColor="text1"/>
        </w:rPr>
        <w:t xml:space="preserve"> reporting under MIPS,  </w:t>
      </w:r>
    </w:p>
    <w:p w14:paraId="22A5FDEA" w14:textId="610A58CD" w:rsidR="36A2A9E3" w:rsidRDefault="36A2A9E3" w:rsidP="50637D09">
      <w:pPr>
        <w:spacing w:after="240" w:line="240" w:lineRule="auto"/>
      </w:pPr>
      <w:r w:rsidRPr="50637D09">
        <w:rPr>
          <w:rFonts w:ascii="Calibri" w:eastAsia="Calibri" w:hAnsi="Calibri" w:cs="Calibri"/>
          <w:color w:val="000000" w:themeColor="text1"/>
        </w:rPr>
        <w:t>Strongly agree (</w:t>
      </w:r>
      <w:r w:rsidR="6306C6B4" w:rsidRPr="50637D09">
        <w:rPr>
          <w:rFonts w:ascii="Calibri" w:eastAsia="Calibri" w:hAnsi="Calibri" w:cs="Calibri"/>
          <w:color w:val="000000" w:themeColor="text1"/>
        </w:rPr>
        <w:t>3</w:t>
      </w:r>
      <w:r w:rsidRPr="50637D09">
        <w:rPr>
          <w:rFonts w:ascii="Calibri" w:eastAsia="Calibri" w:hAnsi="Calibri" w:cs="Calibri"/>
          <w:color w:val="000000" w:themeColor="text1"/>
        </w:rPr>
        <w:t xml:space="preserve">) </w:t>
      </w:r>
    </w:p>
    <w:p w14:paraId="6A70F3FB" w14:textId="511E3DA9" w:rsidR="36A2A9E3" w:rsidRDefault="36A2A9E3" w:rsidP="50637D09">
      <w:pPr>
        <w:spacing w:after="240" w:line="240" w:lineRule="auto"/>
      </w:pPr>
      <w:r w:rsidRPr="50637D09">
        <w:rPr>
          <w:rFonts w:ascii="Calibri" w:eastAsia="Calibri" w:hAnsi="Calibri" w:cs="Calibri"/>
          <w:color w:val="000000" w:themeColor="text1"/>
        </w:rPr>
        <w:t>Moderately agree (</w:t>
      </w:r>
      <w:r w:rsidR="2BED2153" w:rsidRPr="50637D09">
        <w:rPr>
          <w:rFonts w:ascii="Calibri" w:eastAsia="Calibri" w:hAnsi="Calibri" w:cs="Calibri"/>
          <w:color w:val="000000" w:themeColor="text1"/>
        </w:rPr>
        <w:t>4</w:t>
      </w:r>
      <w:r w:rsidRPr="50637D09">
        <w:rPr>
          <w:rFonts w:ascii="Calibri" w:eastAsia="Calibri" w:hAnsi="Calibri" w:cs="Calibri"/>
          <w:color w:val="000000" w:themeColor="text1"/>
        </w:rPr>
        <w:t xml:space="preserve">) </w:t>
      </w:r>
    </w:p>
    <w:p w14:paraId="3D3561A4" w14:textId="62AD817E" w:rsidR="36A2A9E3" w:rsidRDefault="36A2A9E3" w:rsidP="50637D09">
      <w:pPr>
        <w:spacing w:after="240" w:line="240" w:lineRule="auto"/>
      </w:pPr>
      <w:r w:rsidRPr="50637D09">
        <w:rPr>
          <w:rFonts w:ascii="Calibri" w:eastAsia="Calibri" w:hAnsi="Calibri" w:cs="Calibri"/>
          <w:color w:val="000000" w:themeColor="text1"/>
        </w:rPr>
        <w:t xml:space="preserve">Somewhat agree (4) </w:t>
      </w:r>
    </w:p>
    <w:p w14:paraId="0F5486EC" w14:textId="26C33110" w:rsidR="36A2A9E3" w:rsidRDefault="36A2A9E3" w:rsidP="50637D09">
      <w:pPr>
        <w:spacing w:after="240" w:line="240" w:lineRule="auto"/>
      </w:pPr>
      <w:r w:rsidRPr="50637D09">
        <w:rPr>
          <w:rFonts w:ascii="Calibri" w:eastAsia="Calibri" w:hAnsi="Calibri" w:cs="Calibri"/>
          <w:color w:val="000000" w:themeColor="text1"/>
        </w:rPr>
        <w:t>Somewhat disagree (</w:t>
      </w:r>
      <w:r w:rsidR="6A115725" w:rsidRPr="50637D09">
        <w:rPr>
          <w:rFonts w:ascii="Calibri" w:eastAsia="Calibri" w:hAnsi="Calibri" w:cs="Calibri"/>
          <w:color w:val="000000" w:themeColor="text1"/>
        </w:rPr>
        <w:t>2</w:t>
      </w:r>
      <w:r w:rsidRPr="50637D09">
        <w:rPr>
          <w:rFonts w:ascii="Calibri" w:eastAsia="Calibri" w:hAnsi="Calibri" w:cs="Calibri"/>
          <w:color w:val="000000" w:themeColor="text1"/>
        </w:rPr>
        <w:t xml:space="preserve">) </w:t>
      </w:r>
    </w:p>
    <w:p w14:paraId="7D1CDA8D" w14:textId="0237DC2E" w:rsidR="36A2A9E3" w:rsidRDefault="36A2A9E3" w:rsidP="50637D09">
      <w:pPr>
        <w:spacing w:after="240" w:line="240" w:lineRule="auto"/>
      </w:pPr>
      <w:r w:rsidRPr="50637D09">
        <w:rPr>
          <w:rFonts w:ascii="Calibri" w:eastAsia="Calibri" w:hAnsi="Calibri" w:cs="Calibri"/>
          <w:color w:val="000000" w:themeColor="text1"/>
        </w:rPr>
        <w:t>Moderately disagree (</w:t>
      </w:r>
      <w:r w:rsidR="47F07D0D" w:rsidRPr="50637D09">
        <w:rPr>
          <w:rFonts w:ascii="Calibri" w:eastAsia="Calibri" w:hAnsi="Calibri" w:cs="Calibri"/>
          <w:color w:val="000000" w:themeColor="text1"/>
        </w:rPr>
        <w:t>0</w:t>
      </w:r>
      <w:r w:rsidRPr="50637D09">
        <w:rPr>
          <w:rFonts w:ascii="Calibri" w:eastAsia="Calibri" w:hAnsi="Calibri" w:cs="Calibri"/>
          <w:color w:val="000000" w:themeColor="text1"/>
        </w:rPr>
        <w:t xml:space="preserve">) </w:t>
      </w:r>
    </w:p>
    <w:p w14:paraId="4BC59E89" w14:textId="464F30D5" w:rsidR="36A2A9E3" w:rsidRDefault="36A2A9E3" w:rsidP="50637D09">
      <w:pPr>
        <w:spacing w:after="240" w:line="240" w:lineRule="auto"/>
      </w:pPr>
      <w:r w:rsidRPr="50637D09">
        <w:rPr>
          <w:rFonts w:ascii="Calibri" w:eastAsia="Calibri" w:hAnsi="Calibri" w:cs="Calibri"/>
          <w:color w:val="000000" w:themeColor="text1"/>
        </w:rPr>
        <w:t>Strongly disagree (</w:t>
      </w:r>
      <w:r w:rsidR="78E097A2" w:rsidRPr="50637D09">
        <w:rPr>
          <w:rFonts w:ascii="Calibri" w:eastAsia="Calibri" w:hAnsi="Calibri" w:cs="Calibri"/>
          <w:color w:val="000000" w:themeColor="text1"/>
        </w:rPr>
        <w:t>0</w:t>
      </w:r>
      <w:r w:rsidRPr="50637D09">
        <w:rPr>
          <w:rFonts w:ascii="Calibri" w:eastAsia="Calibri" w:hAnsi="Calibri" w:cs="Calibri"/>
          <w:color w:val="000000" w:themeColor="text1"/>
        </w:rPr>
        <w:t xml:space="preserve">) </w:t>
      </w:r>
    </w:p>
    <w:p w14:paraId="6CD8F256" w14:textId="433A6488" w:rsidR="36A2A9E3" w:rsidRDefault="36A2A9E3" w:rsidP="50637D09">
      <w:pPr>
        <w:spacing w:after="240" w:line="240" w:lineRule="auto"/>
      </w:pPr>
      <w:r w:rsidRPr="50637D09">
        <w:rPr>
          <w:rFonts w:ascii="Calibri" w:eastAsia="Calibri" w:hAnsi="Calibri" w:cs="Calibri"/>
          <w:color w:val="000000" w:themeColor="text1"/>
        </w:rPr>
        <w:lastRenderedPageBreak/>
        <w:t xml:space="preserve">Will provide </w:t>
      </w:r>
      <w:proofErr w:type="gramStart"/>
      <w:r w:rsidRPr="50637D09">
        <w:rPr>
          <w:rFonts w:ascii="Calibri" w:eastAsia="Calibri" w:hAnsi="Calibri" w:cs="Calibri"/>
          <w:color w:val="000000" w:themeColor="text1"/>
        </w:rPr>
        <w:t>TINs</w:t>
      </w:r>
      <w:proofErr w:type="gramEnd"/>
      <w:r w:rsidRPr="50637D09">
        <w:rPr>
          <w:rFonts w:ascii="Calibri" w:eastAsia="Calibri" w:hAnsi="Calibri" w:cs="Calibri"/>
          <w:color w:val="000000" w:themeColor="text1"/>
        </w:rPr>
        <w:t xml:space="preserve"> reporting under MIPS with information that can be used to improve their quality of care for HF patients,  </w:t>
      </w:r>
    </w:p>
    <w:p w14:paraId="2070C17A" w14:textId="74059537" w:rsidR="36A2A9E3" w:rsidRDefault="36A2A9E3" w:rsidP="50637D09">
      <w:pPr>
        <w:spacing w:after="240" w:line="240" w:lineRule="auto"/>
      </w:pPr>
      <w:r w:rsidRPr="50637D09">
        <w:rPr>
          <w:rFonts w:ascii="Calibri" w:eastAsia="Calibri" w:hAnsi="Calibri" w:cs="Calibri"/>
          <w:color w:val="000000" w:themeColor="text1"/>
        </w:rPr>
        <w:t>Strongly agree (</w:t>
      </w:r>
      <w:r w:rsidR="3E2F8A3B" w:rsidRPr="50637D09">
        <w:rPr>
          <w:rFonts w:ascii="Calibri" w:eastAsia="Calibri" w:hAnsi="Calibri" w:cs="Calibri"/>
          <w:color w:val="000000" w:themeColor="text1"/>
        </w:rPr>
        <w:t>6</w:t>
      </w:r>
      <w:r w:rsidRPr="50637D09">
        <w:rPr>
          <w:rFonts w:ascii="Calibri" w:eastAsia="Calibri" w:hAnsi="Calibri" w:cs="Calibri"/>
          <w:color w:val="000000" w:themeColor="text1"/>
        </w:rPr>
        <w:t xml:space="preserve">) </w:t>
      </w:r>
    </w:p>
    <w:p w14:paraId="30114369" w14:textId="0B0AC28F" w:rsidR="36A2A9E3" w:rsidRDefault="36A2A9E3" w:rsidP="50637D09">
      <w:pPr>
        <w:spacing w:after="240" w:line="240" w:lineRule="auto"/>
      </w:pPr>
      <w:r w:rsidRPr="50637D09">
        <w:rPr>
          <w:rFonts w:ascii="Calibri" w:eastAsia="Calibri" w:hAnsi="Calibri" w:cs="Calibri"/>
          <w:color w:val="000000" w:themeColor="text1"/>
        </w:rPr>
        <w:t>Moderately agree (</w:t>
      </w:r>
      <w:r w:rsidR="73A5994E" w:rsidRPr="50637D09">
        <w:rPr>
          <w:rFonts w:ascii="Calibri" w:eastAsia="Calibri" w:hAnsi="Calibri" w:cs="Calibri"/>
          <w:color w:val="000000" w:themeColor="text1"/>
        </w:rPr>
        <w:t>2</w:t>
      </w:r>
      <w:r w:rsidRPr="50637D09">
        <w:rPr>
          <w:rFonts w:ascii="Calibri" w:eastAsia="Calibri" w:hAnsi="Calibri" w:cs="Calibri"/>
          <w:color w:val="000000" w:themeColor="text1"/>
        </w:rPr>
        <w:t xml:space="preserve">) </w:t>
      </w:r>
    </w:p>
    <w:p w14:paraId="7F27A341" w14:textId="68D23737" w:rsidR="36A2A9E3" w:rsidRDefault="36A2A9E3" w:rsidP="50637D09">
      <w:pPr>
        <w:spacing w:after="240" w:line="240" w:lineRule="auto"/>
      </w:pPr>
      <w:r w:rsidRPr="50637D09">
        <w:rPr>
          <w:rFonts w:ascii="Calibri" w:eastAsia="Calibri" w:hAnsi="Calibri" w:cs="Calibri"/>
          <w:color w:val="000000" w:themeColor="text1"/>
        </w:rPr>
        <w:t>Somewhat agree (</w:t>
      </w:r>
      <w:r w:rsidR="2C5F1F73" w:rsidRPr="50637D09">
        <w:rPr>
          <w:rFonts w:ascii="Calibri" w:eastAsia="Calibri" w:hAnsi="Calibri" w:cs="Calibri"/>
          <w:color w:val="000000" w:themeColor="text1"/>
        </w:rPr>
        <w:t>3</w:t>
      </w:r>
      <w:r w:rsidRPr="50637D09">
        <w:rPr>
          <w:rFonts w:ascii="Calibri" w:eastAsia="Calibri" w:hAnsi="Calibri" w:cs="Calibri"/>
          <w:color w:val="000000" w:themeColor="text1"/>
        </w:rPr>
        <w:t xml:space="preserve">) </w:t>
      </w:r>
    </w:p>
    <w:p w14:paraId="650CF80E" w14:textId="242DC07D" w:rsidR="36A2A9E3" w:rsidRDefault="36A2A9E3" w:rsidP="50637D09">
      <w:pPr>
        <w:spacing w:after="240" w:line="240" w:lineRule="auto"/>
      </w:pPr>
      <w:r w:rsidRPr="50637D09">
        <w:rPr>
          <w:rFonts w:ascii="Calibri" w:eastAsia="Calibri" w:hAnsi="Calibri" w:cs="Calibri"/>
          <w:color w:val="000000" w:themeColor="text1"/>
        </w:rPr>
        <w:t>Somewhat disagree (</w:t>
      </w:r>
      <w:r w:rsidR="01FF5265" w:rsidRPr="50637D09">
        <w:rPr>
          <w:rFonts w:ascii="Calibri" w:eastAsia="Calibri" w:hAnsi="Calibri" w:cs="Calibri"/>
          <w:color w:val="000000" w:themeColor="text1"/>
        </w:rPr>
        <w:t>1</w:t>
      </w:r>
      <w:r w:rsidRPr="50637D09">
        <w:rPr>
          <w:rFonts w:ascii="Calibri" w:eastAsia="Calibri" w:hAnsi="Calibri" w:cs="Calibri"/>
          <w:color w:val="000000" w:themeColor="text1"/>
        </w:rPr>
        <w:t xml:space="preserve">) </w:t>
      </w:r>
    </w:p>
    <w:p w14:paraId="6F3365D4" w14:textId="68B6C263" w:rsidR="36A2A9E3" w:rsidRDefault="36A2A9E3" w:rsidP="50637D09">
      <w:pPr>
        <w:spacing w:after="240" w:line="240" w:lineRule="auto"/>
      </w:pPr>
      <w:r w:rsidRPr="50637D09">
        <w:rPr>
          <w:rFonts w:ascii="Calibri" w:eastAsia="Calibri" w:hAnsi="Calibri" w:cs="Calibri"/>
          <w:color w:val="000000" w:themeColor="text1"/>
        </w:rPr>
        <w:t xml:space="preserve">Moderately disagree (1) </w:t>
      </w:r>
    </w:p>
    <w:p w14:paraId="5E5B41E1" w14:textId="04F3A9C4" w:rsidR="36A2A9E3" w:rsidRDefault="36A2A9E3" w:rsidP="50637D09">
      <w:pPr>
        <w:spacing w:after="240" w:line="240" w:lineRule="auto"/>
      </w:pPr>
      <w:r w:rsidRPr="50637D09">
        <w:rPr>
          <w:rFonts w:ascii="Calibri" w:eastAsia="Calibri" w:hAnsi="Calibri" w:cs="Calibri"/>
          <w:color w:val="000000" w:themeColor="text1"/>
        </w:rPr>
        <w:t>Strongly disagree (0)</w:t>
      </w:r>
    </w:p>
    <w:p w14:paraId="7BD07F05" w14:textId="4620EC56" w:rsidR="00DF70B4" w:rsidRDefault="00597E41"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pPr>
      <w:r w:rsidRPr="50637D09">
        <w:rPr>
          <w:rFonts w:ascii="Calibri" w:eastAsia="Calibri" w:hAnsi="Calibri" w:cs="Calibri"/>
          <w:color w:val="000000" w:themeColor="text1"/>
        </w:rPr>
        <w:t>Of 13</w:t>
      </w:r>
      <w:r w:rsidR="00DF70B4" w:rsidRPr="50637D09">
        <w:rPr>
          <w:rFonts w:ascii="Calibri" w:eastAsia="Calibri" w:hAnsi="Calibri" w:cs="Calibri"/>
          <w:color w:val="000000" w:themeColor="text1"/>
        </w:rPr>
        <w:t xml:space="preserve"> Clinician Committee members</w:t>
      </w:r>
      <w:r w:rsidRPr="50637D09">
        <w:rPr>
          <w:rFonts w:ascii="Calibri" w:eastAsia="Calibri" w:hAnsi="Calibri" w:cs="Calibri"/>
          <w:color w:val="000000" w:themeColor="text1"/>
        </w:rPr>
        <w:t xml:space="preserve"> active through the end of the project, </w:t>
      </w:r>
      <w:r w:rsidR="00ED6CC5" w:rsidRPr="50637D09">
        <w:rPr>
          <w:rFonts w:ascii="Calibri" w:eastAsia="Calibri" w:hAnsi="Calibri" w:cs="Calibri"/>
          <w:color w:val="000000" w:themeColor="text1"/>
        </w:rPr>
        <w:t>13</w:t>
      </w:r>
      <w:r w:rsidR="00DF70B4" w:rsidRPr="50637D09">
        <w:rPr>
          <w:rFonts w:ascii="Calibri" w:eastAsia="Calibri" w:hAnsi="Calibri" w:cs="Calibri"/>
          <w:color w:val="000000" w:themeColor="text1"/>
        </w:rPr>
        <w:t xml:space="preserve"> responded. </w:t>
      </w:r>
      <w:proofErr w:type="gramStart"/>
      <w:r w:rsidR="00DF70B4" w:rsidRPr="50637D09">
        <w:rPr>
          <w:rFonts w:ascii="Calibri" w:eastAsia="Calibri" w:hAnsi="Calibri" w:cs="Calibri"/>
          <w:color w:val="000000" w:themeColor="text1"/>
        </w:rPr>
        <w:t>T</w:t>
      </w:r>
      <w:r w:rsidR="00DF70B4">
        <w:t>he m</w:t>
      </w:r>
      <w:r w:rsidR="00ED6CC5">
        <w:t>ajority of</w:t>
      </w:r>
      <w:proofErr w:type="gramEnd"/>
      <w:r w:rsidR="00ED6CC5">
        <w:t xml:space="preserve"> the respondents, 11/13 or 85</w:t>
      </w:r>
      <w:r w:rsidR="00DF70B4">
        <w:t xml:space="preserve">%, </w:t>
      </w:r>
      <w:r w:rsidR="005B7ECC">
        <w:t xml:space="preserve">strongly, moderately, or somewhat </w:t>
      </w:r>
      <w:r w:rsidR="00DF70B4">
        <w:t xml:space="preserve">agreed that the MIPS HF measure can be used to distinguish good from poor quality of care. Similarly, </w:t>
      </w:r>
      <w:proofErr w:type="gramStart"/>
      <w:r w:rsidR="00DF70B4">
        <w:t>th</w:t>
      </w:r>
      <w:r w:rsidR="00ED6CC5">
        <w:t>e majority of</w:t>
      </w:r>
      <w:proofErr w:type="gramEnd"/>
      <w:r w:rsidR="00ED6CC5">
        <w:t xml:space="preserve"> the respondents, 11/13 or 85</w:t>
      </w:r>
      <w:r w:rsidR="00DF70B4">
        <w:t xml:space="preserve">%, </w:t>
      </w:r>
      <w:r w:rsidR="005B7ECC">
        <w:t xml:space="preserve">strongly, moderately, or somewhat </w:t>
      </w:r>
      <w:r w:rsidR="00DF70B4">
        <w:t>agreed that the MIPS HF measure scores will provide MIPS TINs with information that could be used to improve the quality of care for HF patients.</w:t>
      </w:r>
    </w:p>
    <w:p w14:paraId="33679E7C" w14:textId="77777777" w:rsidR="00ED6CC5" w:rsidRDefault="00ED6CC5" w:rsidP="00ED6CC5">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pPr>
      <w:r>
        <w:t>Two of the 13 respondents somewhat or moderately disagreed with one or both statements. Of these:</w:t>
      </w:r>
    </w:p>
    <w:p w14:paraId="2937D830" w14:textId="2B99A382" w:rsidR="00ED6CC5" w:rsidRDefault="00ED6CC5" w:rsidP="00ED6CC5">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pPr>
      <w:r>
        <w:t xml:space="preserve">• One Committee member noted that HF is too complicated of a condition to accurately differentiate between good and poor quality of care. This member was concerned that quality measurement at the level of the provider may increase </w:t>
      </w:r>
      <w:proofErr w:type="gramStart"/>
      <w:r>
        <w:t>work load</w:t>
      </w:r>
      <w:proofErr w:type="gramEnd"/>
      <w:r>
        <w:t xml:space="preserve"> and burnout among providers.</w:t>
      </w:r>
    </w:p>
    <w:p w14:paraId="053BC363" w14:textId="297069A2" w:rsidR="00ED6CC5" w:rsidRPr="00ED6CC5" w:rsidRDefault="00ED6CC5" w:rsidP="004E01ED">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pPr>
      <w:r>
        <w:t>• One Committee member was concerned that the risk</w:t>
      </w:r>
      <w:r w:rsidR="002D1C9C">
        <w:t>-</w:t>
      </w:r>
      <w:r>
        <w:t>adjustment model may not fully capture patients’ risk of admission. Additionally, this member felt that not having data on care processes would impact the usability of the data for improvement.</w:t>
      </w:r>
    </w:p>
    <w:p w14:paraId="60B1E221" w14:textId="77777777" w:rsidR="009745BF" w:rsidRDefault="009745BF" w:rsidP="00DB3627">
      <w:pPr>
        <w:autoSpaceDE w:val="0"/>
        <w:autoSpaceDN w:val="0"/>
        <w:adjustRightInd w:val="0"/>
        <w:spacing w:after="0" w:line="240" w:lineRule="auto"/>
        <w:rPr>
          <w:rFonts w:cstheme="minorHAnsi"/>
          <w:b/>
          <w:bCs/>
        </w:rPr>
      </w:pPr>
    </w:p>
    <w:p w14:paraId="0CABCFDF" w14:textId="2193840A"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38A8B757" w14:textId="40D89678" w:rsidR="00251F70" w:rsidRPr="00251F70" w:rsidRDefault="00DF70B4" w:rsidP="00251F7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DF70B4">
        <w:rPr>
          <w:rFonts w:ascii="Calibri" w:eastAsia="Calibri" w:hAnsi="Calibri" w:cs="Calibri"/>
          <w:color w:val="000000"/>
        </w:rPr>
        <w:t>Overall, the survey</w:t>
      </w:r>
      <w:r w:rsidR="00E3366F">
        <w:rPr>
          <w:rFonts w:ascii="Calibri" w:eastAsia="Calibri" w:hAnsi="Calibri" w:cs="Calibri"/>
          <w:color w:val="000000"/>
        </w:rPr>
        <w:t xml:space="preserve"> results</w:t>
      </w:r>
      <w:r w:rsidRPr="00DF70B4">
        <w:rPr>
          <w:rFonts w:ascii="Calibri" w:eastAsia="Calibri" w:hAnsi="Calibri" w:cs="Calibri"/>
          <w:color w:val="000000"/>
        </w:rPr>
        <w:t xml:space="preserve"> indicate support of the validity and usability of the measure.</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shd w:val="clear" w:color="auto" w:fill="E6E6E6"/>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4D7147AB" w:rsidR="00833325" w:rsidRPr="00251F70" w:rsidRDefault="00251F70" w:rsidP="00251F7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bdr w:val="single" w:sz="4" w:space="0" w:color="auto" w:frame="1"/>
        </w:rPr>
      </w:pPr>
      <w:r>
        <w:rPr>
          <w:rFonts w:cstheme="minorHAnsi"/>
          <w:bCs/>
        </w:rPr>
        <w:t>All exclusions were determined by careful clinical review and have been made based on clinically relevant decisions and to ensure accurate calculation of the measure. To ascertain the impact of exclusions on the cohort, we examined overall frequencies and proportions of the total cohort excluded for each exclusion criterion. Rationales for the exclusions are detailed in data field S.7 of the Submission Form.</w:t>
      </w:r>
    </w:p>
    <w:p w14:paraId="7BBBD18D" w14:textId="77777777" w:rsidR="00251F70" w:rsidRPr="00A25024" w:rsidRDefault="00251F70" w:rsidP="00DB3627">
      <w:pPr>
        <w:autoSpaceDE w:val="0"/>
        <w:autoSpaceDN w:val="0"/>
        <w:adjustRightInd w:val="0"/>
        <w:spacing w:after="0" w:line="240" w:lineRule="auto"/>
        <w:rPr>
          <w:rFonts w:cstheme="minorHAnsi"/>
          <w:bCs/>
        </w:rPr>
      </w:pPr>
    </w:p>
    <w:p w14:paraId="0CABCFE6" w14:textId="5D4BA635" w:rsidR="007422FD" w:rsidRDefault="00092566" w:rsidP="00092566">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7B9B550" w14:textId="44DA9D64" w:rsidR="006A5297" w:rsidRDefault="00F36394" w:rsidP="00251F7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rFonts w:cstheme="minorHAnsi"/>
          <w:bCs/>
        </w:rPr>
        <w:t>12.32</w:t>
      </w:r>
      <w:r w:rsidR="00251F70">
        <w:rPr>
          <w:rFonts w:cstheme="minorHAnsi"/>
          <w:bCs/>
        </w:rPr>
        <w:t>% patients were excluded from the initial index cohort of HF patients because they were not eligible for attribution based on our exclusion criteria.</w:t>
      </w:r>
    </w:p>
    <w:tbl>
      <w:tblPr>
        <w:tblStyle w:val="TableGrid"/>
        <w:tblpPr w:leftFromText="180" w:rightFromText="180" w:vertAnchor="text" w:horzAnchor="margin" w:tblpY="50"/>
        <w:tblW w:w="0" w:type="auto"/>
        <w:tblLook w:val="04A0" w:firstRow="1" w:lastRow="0" w:firstColumn="1" w:lastColumn="0" w:noHBand="0" w:noVBand="1"/>
      </w:tblPr>
      <w:tblGrid>
        <w:gridCol w:w="3955"/>
        <w:gridCol w:w="2278"/>
        <w:gridCol w:w="3117"/>
      </w:tblGrid>
      <w:tr w:rsidR="006A5297" w14:paraId="52336A6D" w14:textId="77777777" w:rsidTr="006A5297">
        <w:trPr>
          <w:trHeight w:val="440"/>
        </w:trPr>
        <w:tc>
          <w:tcPr>
            <w:tcW w:w="3955" w:type="dxa"/>
            <w:shd w:val="clear" w:color="auto" w:fill="B8CCE4" w:themeFill="accent1" w:themeFillTint="66"/>
          </w:tcPr>
          <w:p w14:paraId="1DF9950D" w14:textId="77777777" w:rsidR="006A5297" w:rsidRPr="006A5297" w:rsidRDefault="006A5297" w:rsidP="006A5297">
            <w:pPr>
              <w:autoSpaceDE w:val="0"/>
              <w:autoSpaceDN w:val="0"/>
              <w:adjustRightInd w:val="0"/>
              <w:jc w:val="center"/>
              <w:rPr>
                <w:rFonts w:cstheme="minorHAnsi"/>
                <w:b/>
              </w:rPr>
            </w:pPr>
            <w:r w:rsidRPr="006A5297">
              <w:rPr>
                <w:rFonts w:cstheme="minorHAnsi"/>
                <w:b/>
              </w:rPr>
              <w:t>Cohort Exclusion Criteria</w:t>
            </w:r>
          </w:p>
        </w:tc>
        <w:tc>
          <w:tcPr>
            <w:tcW w:w="2278" w:type="dxa"/>
            <w:shd w:val="clear" w:color="auto" w:fill="B8CCE4" w:themeFill="accent1" w:themeFillTint="66"/>
          </w:tcPr>
          <w:p w14:paraId="0AD7D990" w14:textId="77777777" w:rsidR="006A5297" w:rsidRPr="006A5297" w:rsidRDefault="006A5297" w:rsidP="006A5297">
            <w:pPr>
              <w:autoSpaceDE w:val="0"/>
              <w:autoSpaceDN w:val="0"/>
              <w:adjustRightInd w:val="0"/>
              <w:jc w:val="center"/>
              <w:rPr>
                <w:rFonts w:cstheme="minorHAnsi"/>
                <w:b/>
              </w:rPr>
            </w:pPr>
            <w:r w:rsidRPr="006A5297">
              <w:rPr>
                <w:rFonts w:cstheme="minorHAnsi"/>
                <w:b/>
              </w:rPr>
              <w:t>Patients Excluded (N)</w:t>
            </w:r>
          </w:p>
        </w:tc>
        <w:tc>
          <w:tcPr>
            <w:tcW w:w="3117" w:type="dxa"/>
            <w:shd w:val="clear" w:color="auto" w:fill="B8CCE4" w:themeFill="accent1" w:themeFillTint="66"/>
          </w:tcPr>
          <w:p w14:paraId="15C21885" w14:textId="77777777" w:rsidR="006A5297" w:rsidRPr="006A5297" w:rsidRDefault="006A5297" w:rsidP="006A5297">
            <w:pPr>
              <w:autoSpaceDE w:val="0"/>
              <w:autoSpaceDN w:val="0"/>
              <w:adjustRightInd w:val="0"/>
              <w:jc w:val="center"/>
              <w:rPr>
                <w:rFonts w:cstheme="minorHAnsi"/>
                <w:b/>
              </w:rPr>
            </w:pPr>
            <w:r w:rsidRPr="006A5297">
              <w:rPr>
                <w:rFonts w:cstheme="minorHAnsi"/>
                <w:b/>
              </w:rPr>
              <w:t>Percent Excluded (%)</w:t>
            </w:r>
          </w:p>
        </w:tc>
      </w:tr>
      <w:tr w:rsidR="006A5297" w14:paraId="4BBC0E58" w14:textId="77777777" w:rsidTr="006A5297">
        <w:trPr>
          <w:trHeight w:val="349"/>
        </w:trPr>
        <w:tc>
          <w:tcPr>
            <w:tcW w:w="3955" w:type="dxa"/>
          </w:tcPr>
          <w:p w14:paraId="1986B5B6" w14:textId="77777777" w:rsidR="006A5297" w:rsidRPr="006A5297" w:rsidRDefault="006A5297" w:rsidP="006A5297">
            <w:pPr>
              <w:autoSpaceDE w:val="0"/>
              <w:autoSpaceDN w:val="0"/>
              <w:adjustRightInd w:val="0"/>
              <w:rPr>
                <w:rFonts w:cstheme="minorHAnsi"/>
                <w:b/>
              </w:rPr>
            </w:pPr>
            <w:r w:rsidRPr="006A5297">
              <w:rPr>
                <w:rFonts w:cstheme="minorHAnsi"/>
                <w:b/>
              </w:rPr>
              <w:t>Initial Cohort (inclusion criteria applied)</w:t>
            </w:r>
          </w:p>
        </w:tc>
        <w:tc>
          <w:tcPr>
            <w:tcW w:w="2278" w:type="dxa"/>
          </w:tcPr>
          <w:p w14:paraId="5FF5BFFC" w14:textId="77777777" w:rsidR="006A5297" w:rsidRPr="006A5297" w:rsidRDefault="006A5297" w:rsidP="006A5297">
            <w:pPr>
              <w:autoSpaceDE w:val="0"/>
              <w:autoSpaceDN w:val="0"/>
              <w:adjustRightInd w:val="0"/>
              <w:jc w:val="center"/>
              <w:rPr>
                <w:rFonts w:cstheme="minorHAnsi"/>
                <w:b/>
              </w:rPr>
            </w:pPr>
            <w:r w:rsidRPr="006A5297">
              <w:rPr>
                <w:rFonts w:cstheme="minorHAnsi"/>
                <w:b/>
              </w:rPr>
              <w:t>2,787,906</w:t>
            </w:r>
          </w:p>
        </w:tc>
        <w:tc>
          <w:tcPr>
            <w:tcW w:w="3117" w:type="dxa"/>
          </w:tcPr>
          <w:p w14:paraId="71D32194" w14:textId="77777777" w:rsidR="006A5297" w:rsidRPr="006A5297" w:rsidRDefault="006A5297" w:rsidP="006A5297">
            <w:pPr>
              <w:autoSpaceDE w:val="0"/>
              <w:autoSpaceDN w:val="0"/>
              <w:adjustRightInd w:val="0"/>
              <w:jc w:val="center"/>
              <w:rPr>
                <w:rFonts w:cstheme="minorHAnsi"/>
                <w:b/>
              </w:rPr>
            </w:pPr>
            <w:r w:rsidRPr="006A5297">
              <w:rPr>
                <w:rFonts w:cstheme="minorHAnsi"/>
                <w:b/>
              </w:rPr>
              <w:t>--</w:t>
            </w:r>
          </w:p>
        </w:tc>
      </w:tr>
      <w:tr w:rsidR="006A5297" w14:paraId="64881C69" w14:textId="77777777" w:rsidTr="006A5297">
        <w:tc>
          <w:tcPr>
            <w:tcW w:w="3955" w:type="dxa"/>
          </w:tcPr>
          <w:p w14:paraId="087F2F3F" w14:textId="77777777" w:rsidR="006A5297" w:rsidRDefault="006A5297" w:rsidP="006A5297">
            <w:pPr>
              <w:autoSpaceDE w:val="0"/>
              <w:autoSpaceDN w:val="0"/>
              <w:adjustRightInd w:val="0"/>
              <w:rPr>
                <w:rFonts w:cstheme="minorHAnsi"/>
                <w:bCs/>
              </w:rPr>
            </w:pPr>
            <w:r>
              <w:rPr>
                <w:rFonts w:cstheme="minorHAnsi"/>
                <w:bCs/>
              </w:rPr>
              <w:t>Patient died on 1</w:t>
            </w:r>
            <w:r w:rsidRPr="006A5297">
              <w:rPr>
                <w:rFonts w:cstheme="minorHAnsi"/>
                <w:bCs/>
                <w:vertAlign w:val="superscript"/>
              </w:rPr>
              <w:t>st</w:t>
            </w:r>
            <w:r>
              <w:rPr>
                <w:rFonts w:cstheme="minorHAnsi"/>
                <w:bCs/>
              </w:rPr>
              <w:t xml:space="preserve"> day of measurement or in year prior to measurement</w:t>
            </w:r>
          </w:p>
        </w:tc>
        <w:tc>
          <w:tcPr>
            <w:tcW w:w="2278" w:type="dxa"/>
          </w:tcPr>
          <w:p w14:paraId="12443F3C" w14:textId="77777777" w:rsidR="006A5297" w:rsidRDefault="006A5297" w:rsidP="006A5297">
            <w:pPr>
              <w:autoSpaceDE w:val="0"/>
              <w:autoSpaceDN w:val="0"/>
              <w:adjustRightInd w:val="0"/>
              <w:jc w:val="center"/>
              <w:rPr>
                <w:rFonts w:cstheme="minorHAnsi"/>
                <w:bCs/>
              </w:rPr>
            </w:pPr>
            <w:r>
              <w:rPr>
                <w:rFonts w:cstheme="minorHAnsi"/>
                <w:bCs/>
              </w:rPr>
              <w:t>1,470</w:t>
            </w:r>
          </w:p>
        </w:tc>
        <w:tc>
          <w:tcPr>
            <w:tcW w:w="3117" w:type="dxa"/>
          </w:tcPr>
          <w:p w14:paraId="5F3A8EE0" w14:textId="77777777" w:rsidR="006A5297" w:rsidRDefault="006A5297" w:rsidP="006A5297">
            <w:pPr>
              <w:autoSpaceDE w:val="0"/>
              <w:autoSpaceDN w:val="0"/>
              <w:adjustRightInd w:val="0"/>
              <w:jc w:val="center"/>
              <w:rPr>
                <w:rFonts w:cstheme="minorHAnsi"/>
                <w:bCs/>
              </w:rPr>
            </w:pPr>
            <w:r>
              <w:rPr>
                <w:rFonts w:cstheme="minorHAnsi"/>
                <w:bCs/>
              </w:rPr>
              <w:t>0.05%</w:t>
            </w:r>
          </w:p>
        </w:tc>
      </w:tr>
      <w:tr w:rsidR="006A5297" w14:paraId="3C4BD08C" w14:textId="77777777" w:rsidTr="006A5297">
        <w:tc>
          <w:tcPr>
            <w:tcW w:w="3955" w:type="dxa"/>
          </w:tcPr>
          <w:p w14:paraId="54B6DDB5" w14:textId="77777777" w:rsidR="006A5297" w:rsidRDefault="006A5297" w:rsidP="006A5297">
            <w:pPr>
              <w:autoSpaceDE w:val="0"/>
              <w:autoSpaceDN w:val="0"/>
              <w:adjustRightInd w:val="0"/>
              <w:rPr>
                <w:rFonts w:cstheme="minorHAnsi"/>
                <w:bCs/>
              </w:rPr>
            </w:pPr>
            <w:r>
              <w:rPr>
                <w:rFonts w:cstheme="minorHAnsi"/>
                <w:bCs/>
              </w:rPr>
              <w:t>Patient was on hospice on 1</w:t>
            </w:r>
            <w:r w:rsidRPr="006A5297">
              <w:rPr>
                <w:rFonts w:cstheme="minorHAnsi"/>
                <w:bCs/>
                <w:vertAlign w:val="superscript"/>
              </w:rPr>
              <w:t>st</w:t>
            </w:r>
            <w:r>
              <w:rPr>
                <w:rFonts w:cstheme="minorHAnsi"/>
                <w:bCs/>
              </w:rPr>
              <w:t xml:space="preserve"> day of measurement or during year prior to measurement</w:t>
            </w:r>
          </w:p>
        </w:tc>
        <w:tc>
          <w:tcPr>
            <w:tcW w:w="2278" w:type="dxa"/>
          </w:tcPr>
          <w:p w14:paraId="0664425F" w14:textId="77777777" w:rsidR="006A5297" w:rsidRDefault="006A5297" w:rsidP="006A5297">
            <w:pPr>
              <w:autoSpaceDE w:val="0"/>
              <w:autoSpaceDN w:val="0"/>
              <w:adjustRightInd w:val="0"/>
              <w:jc w:val="center"/>
              <w:rPr>
                <w:rFonts w:cstheme="minorHAnsi"/>
                <w:bCs/>
              </w:rPr>
            </w:pPr>
            <w:r>
              <w:rPr>
                <w:rFonts w:cstheme="minorHAnsi"/>
                <w:bCs/>
              </w:rPr>
              <w:t>76,494</w:t>
            </w:r>
          </w:p>
        </w:tc>
        <w:tc>
          <w:tcPr>
            <w:tcW w:w="3117" w:type="dxa"/>
          </w:tcPr>
          <w:p w14:paraId="4F52F347" w14:textId="77777777" w:rsidR="006A5297" w:rsidRDefault="006A5297" w:rsidP="006A5297">
            <w:pPr>
              <w:autoSpaceDE w:val="0"/>
              <w:autoSpaceDN w:val="0"/>
              <w:adjustRightInd w:val="0"/>
              <w:jc w:val="center"/>
              <w:rPr>
                <w:rFonts w:cstheme="minorHAnsi"/>
                <w:bCs/>
              </w:rPr>
            </w:pPr>
            <w:r>
              <w:rPr>
                <w:rFonts w:cstheme="minorHAnsi"/>
                <w:bCs/>
              </w:rPr>
              <w:t>2.74%</w:t>
            </w:r>
          </w:p>
        </w:tc>
      </w:tr>
      <w:tr w:rsidR="006A5297" w14:paraId="0972C8B4" w14:textId="77777777" w:rsidTr="006A5297">
        <w:tc>
          <w:tcPr>
            <w:tcW w:w="3955" w:type="dxa"/>
          </w:tcPr>
          <w:p w14:paraId="438C57F6" w14:textId="77777777" w:rsidR="006A5297" w:rsidRDefault="006A5297" w:rsidP="006A5297">
            <w:pPr>
              <w:autoSpaceDE w:val="0"/>
              <w:autoSpaceDN w:val="0"/>
              <w:adjustRightInd w:val="0"/>
              <w:rPr>
                <w:rFonts w:cstheme="minorHAnsi"/>
                <w:bCs/>
              </w:rPr>
            </w:pPr>
            <w:r>
              <w:rPr>
                <w:rFonts w:cstheme="minorHAnsi"/>
                <w:bCs/>
              </w:rPr>
              <w:t>Patient had LVAD implanted in year prior to measurement</w:t>
            </w:r>
          </w:p>
        </w:tc>
        <w:tc>
          <w:tcPr>
            <w:tcW w:w="2278" w:type="dxa"/>
          </w:tcPr>
          <w:p w14:paraId="7A174EAE" w14:textId="77777777" w:rsidR="006A5297" w:rsidRDefault="006A5297" w:rsidP="006A5297">
            <w:pPr>
              <w:autoSpaceDE w:val="0"/>
              <w:autoSpaceDN w:val="0"/>
              <w:adjustRightInd w:val="0"/>
              <w:jc w:val="center"/>
              <w:rPr>
                <w:rFonts w:cstheme="minorHAnsi"/>
                <w:bCs/>
              </w:rPr>
            </w:pPr>
            <w:r>
              <w:rPr>
                <w:rFonts w:cstheme="minorHAnsi"/>
                <w:bCs/>
              </w:rPr>
              <w:t>6,114</w:t>
            </w:r>
          </w:p>
        </w:tc>
        <w:tc>
          <w:tcPr>
            <w:tcW w:w="3117" w:type="dxa"/>
          </w:tcPr>
          <w:p w14:paraId="6B327300" w14:textId="77777777" w:rsidR="006A5297" w:rsidRDefault="006A5297" w:rsidP="006A5297">
            <w:pPr>
              <w:autoSpaceDE w:val="0"/>
              <w:autoSpaceDN w:val="0"/>
              <w:adjustRightInd w:val="0"/>
              <w:jc w:val="center"/>
              <w:rPr>
                <w:rFonts w:cstheme="minorHAnsi"/>
                <w:bCs/>
              </w:rPr>
            </w:pPr>
            <w:r>
              <w:rPr>
                <w:rFonts w:cstheme="minorHAnsi"/>
                <w:bCs/>
              </w:rPr>
              <w:t>0.22%</w:t>
            </w:r>
          </w:p>
        </w:tc>
      </w:tr>
      <w:tr w:rsidR="006A5297" w14:paraId="6D8BFFBB" w14:textId="77777777" w:rsidTr="006A5297">
        <w:tc>
          <w:tcPr>
            <w:tcW w:w="3955" w:type="dxa"/>
          </w:tcPr>
          <w:p w14:paraId="138A650E" w14:textId="77777777" w:rsidR="006A5297" w:rsidRDefault="006A5297" w:rsidP="006A5297">
            <w:pPr>
              <w:autoSpaceDE w:val="0"/>
              <w:autoSpaceDN w:val="0"/>
              <w:adjustRightInd w:val="0"/>
              <w:rPr>
                <w:rFonts w:cstheme="minorHAnsi"/>
                <w:bCs/>
              </w:rPr>
            </w:pPr>
            <w:r>
              <w:rPr>
                <w:rFonts w:cstheme="minorHAnsi"/>
                <w:bCs/>
              </w:rPr>
              <w:t>Patient had heart transplant in year prior to measurement</w:t>
            </w:r>
          </w:p>
        </w:tc>
        <w:tc>
          <w:tcPr>
            <w:tcW w:w="2278" w:type="dxa"/>
          </w:tcPr>
          <w:p w14:paraId="3F537E63" w14:textId="77777777" w:rsidR="006A5297" w:rsidRDefault="006A5297" w:rsidP="006A5297">
            <w:pPr>
              <w:autoSpaceDE w:val="0"/>
              <w:autoSpaceDN w:val="0"/>
              <w:adjustRightInd w:val="0"/>
              <w:jc w:val="center"/>
              <w:rPr>
                <w:rFonts w:cstheme="minorHAnsi"/>
                <w:bCs/>
              </w:rPr>
            </w:pPr>
            <w:r>
              <w:rPr>
                <w:rFonts w:cstheme="minorHAnsi"/>
                <w:bCs/>
              </w:rPr>
              <w:t>4,950</w:t>
            </w:r>
          </w:p>
        </w:tc>
        <w:tc>
          <w:tcPr>
            <w:tcW w:w="3117" w:type="dxa"/>
          </w:tcPr>
          <w:p w14:paraId="01246D91" w14:textId="77777777" w:rsidR="006A5297" w:rsidRDefault="006A5297" w:rsidP="006A5297">
            <w:pPr>
              <w:autoSpaceDE w:val="0"/>
              <w:autoSpaceDN w:val="0"/>
              <w:adjustRightInd w:val="0"/>
              <w:jc w:val="center"/>
              <w:rPr>
                <w:rFonts w:cstheme="minorHAnsi"/>
                <w:bCs/>
              </w:rPr>
            </w:pPr>
            <w:r>
              <w:rPr>
                <w:rFonts w:cstheme="minorHAnsi"/>
                <w:bCs/>
              </w:rPr>
              <w:t>0.18%</w:t>
            </w:r>
          </w:p>
        </w:tc>
      </w:tr>
      <w:tr w:rsidR="006A5297" w14:paraId="3B55AA0F" w14:textId="77777777" w:rsidTr="006A5297">
        <w:tc>
          <w:tcPr>
            <w:tcW w:w="3955" w:type="dxa"/>
          </w:tcPr>
          <w:p w14:paraId="2EDEA1A5" w14:textId="77777777" w:rsidR="006A5297" w:rsidRDefault="006A5297" w:rsidP="006A5297">
            <w:pPr>
              <w:autoSpaceDE w:val="0"/>
              <w:autoSpaceDN w:val="0"/>
              <w:adjustRightInd w:val="0"/>
              <w:rPr>
                <w:rFonts w:cstheme="minorHAnsi"/>
                <w:bCs/>
              </w:rPr>
            </w:pPr>
            <w:r>
              <w:rPr>
                <w:rFonts w:cstheme="minorHAnsi"/>
                <w:bCs/>
              </w:rPr>
              <w:t>Patient had end stage renal disease (ESRD)—either chronic kidney disease stage 5 or no dialysis in year prior to measurement</w:t>
            </w:r>
          </w:p>
        </w:tc>
        <w:tc>
          <w:tcPr>
            <w:tcW w:w="2278" w:type="dxa"/>
          </w:tcPr>
          <w:p w14:paraId="2DEC0DEF" w14:textId="77777777" w:rsidR="006A5297" w:rsidRDefault="006A5297" w:rsidP="006A5297">
            <w:pPr>
              <w:autoSpaceDE w:val="0"/>
              <w:autoSpaceDN w:val="0"/>
              <w:adjustRightInd w:val="0"/>
              <w:jc w:val="center"/>
              <w:rPr>
                <w:rFonts w:cstheme="minorHAnsi"/>
                <w:bCs/>
              </w:rPr>
            </w:pPr>
            <w:r>
              <w:rPr>
                <w:rFonts w:cstheme="minorHAnsi"/>
                <w:bCs/>
              </w:rPr>
              <w:t>153,599</w:t>
            </w:r>
          </w:p>
        </w:tc>
        <w:tc>
          <w:tcPr>
            <w:tcW w:w="3117" w:type="dxa"/>
          </w:tcPr>
          <w:p w14:paraId="53DF5F3E" w14:textId="77777777" w:rsidR="006A5297" w:rsidRDefault="006A5297" w:rsidP="006A5297">
            <w:pPr>
              <w:autoSpaceDE w:val="0"/>
              <w:autoSpaceDN w:val="0"/>
              <w:adjustRightInd w:val="0"/>
              <w:jc w:val="center"/>
              <w:rPr>
                <w:rFonts w:cstheme="minorHAnsi"/>
                <w:bCs/>
              </w:rPr>
            </w:pPr>
            <w:r>
              <w:rPr>
                <w:rFonts w:cstheme="minorHAnsi"/>
                <w:bCs/>
              </w:rPr>
              <w:t>5.51%</w:t>
            </w:r>
          </w:p>
        </w:tc>
      </w:tr>
      <w:tr w:rsidR="006A5297" w14:paraId="4856A5E8" w14:textId="77777777" w:rsidTr="006A5297">
        <w:tc>
          <w:tcPr>
            <w:tcW w:w="3955" w:type="dxa"/>
          </w:tcPr>
          <w:p w14:paraId="6069E7CD" w14:textId="77777777" w:rsidR="006A5297" w:rsidRDefault="006A5297" w:rsidP="006A5297">
            <w:pPr>
              <w:autoSpaceDE w:val="0"/>
              <w:autoSpaceDN w:val="0"/>
              <w:adjustRightInd w:val="0"/>
              <w:rPr>
                <w:rFonts w:cstheme="minorHAnsi"/>
                <w:bCs/>
              </w:rPr>
            </w:pPr>
            <w:r>
              <w:rPr>
                <w:rFonts w:cstheme="minorHAnsi"/>
                <w:bCs/>
              </w:rPr>
              <w:t>Patient was on home inotropic therapy in year prior to measurement</w:t>
            </w:r>
          </w:p>
        </w:tc>
        <w:tc>
          <w:tcPr>
            <w:tcW w:w="2278" w:type="dxa"/>
          </w:tcPr>
          <w:p w14:paraId="59EE81F5" w14:textId="77777777" w:rsidR="006A5297" w:rsidRDefault="006A5297" w:rsidP="006A5297">
            <w:pPr>
              <w:autoSpaceDE w:val="0"/>
              <w:autoSpaceDN w:val="0"/>
              <w:adjustRightInd w:val="0"/>
              <w:jc w:val="center"/>
              <w:rPr>
                <w:rFonts w:cstheme="minorHAnsi"/>
                <w:bCs/>
              </w:rPr>
            </w:pPr>
            <w:r>
              <w:rPr>
                <w:rFonts w:cstheme="minorHAnsi"/>
                <w:bCs/>
              </w:rPr>
              <w:t>5,757</w:t>
            </w:r>
          </w:p>
        </w:tc>
        <w:tc>
          <w:tcPr>
            <w:tcW w:w="3117" w:type="dxa"/>
          </w:tcPr>
          <w:p w14:paraId="2DFC6FB8" w14:textId="77777777" w:rsidR="006A5297" w:rsidRDefault="006A5297" w:rsidP="006A5297">
            <w:pPr>
              <w:autoSpaceDE w:val="0"/>
              <w:autoSpaceDN w:val="0"/>
              <w:adjustRightInd w:val="0"/>
              <w:jc w:val="center"/>
              <w:rPr>
                <w:rFonts w:cstheme="minorHAnsi"/>
                <w:bCs/>
              </w:rPr>
            </w:pPr>
            <w:r>
              <w:rPr>
                <w:rFonts w:cstheme="minorHAnsi"/>
                <w:bCs/>
              </w:rPr>
              <w:t>0.21%</w:t>
            </w:r>
          </w:p>
        </w:tc>
      </w:tr>
      <w:tr w:rsidR="006A5297" w14:paraId="6384CEA2" w14:textId="77777777" w:rsidTr="006A5297">
        <w:tc>
          <w:tcPr>
            <w:tcW w:w="3955" w:type="dxa"/>
          </w:tcPr>
          <w:p w14:paraId="3F279ABC" w14:textId="77777777" w:rsidR="006A5297" w:rsidRDefault="006A5297" w:rsidP="006A5297">
            <w:pPr>
              <w:autoSpaceDE w:val="0"/>
              <w:autoSpaceDN w:val="0"/>
              <w:adjustRightInd w:val="0"/>
              <w:rPr>
                <w:rFonts w:cstheme="minorHAnsi"/>
                <w:bCs/>
              </w:rPr>
            </w:pPr>
            <w:r>
              <w:rPr>
                <w:rFonts w:cstheme="minorHAnsi"/>
                <w:bCs/>
              </w:rPr>
              <w:t>Patient had no full Part A and B enrollment in measurement period</w:t>
            </w:r>
          </w:p>
        </w:tc>
        <w:tc>
          <w:tcPr>
            <w:tcW w:w="2278" w:type="dxa"/>
          </w:tcPr>
          <w:p w14:paraId="6D67F5E3" w14:textId="77777777" w:rsidR="006A5297" w:rsidRDefault="006A5297" w:rsidP="006A5297">
            <w:pPr>
              <w:autoSpaceDE w:val="0"/>
              <w:autoSpaceDN w:val="0"/>
              <w:adjustRightInd w:val="0"/>
              <w:jc w:val="center"/>
              <w:rPr>
                <w:rFonts w:cstheme="minorHAnsi"/>
                <w:bCs/>
              </w:rPr>
            </w:pPr>
            <w:r>
              <w:rPr>
                <w:rFonts w:cstheme="minorHAnsi"/>
                <w:bCs/>
              </w:rPr>
              <w:t>1,512</w:t>
            </w:r>
          </w:p>
        </w:tc>
        <w:tc>
          <w:tcPr>
            <w:tcW w:w="3117" w:type="dxa"/>
          </w:tcPr>
          <w:p w14:paraId="4850EC44" w14:textId="77777777" w:rsidR="006A5297" w:rsidRDefault="006A5297" w:rsidP="006A5297">
            <w:pPr>
              <w:autoSpaceDE w:val="0"/>
              <w:autoSpaceDN w:val="0"/>
              <w:adjustRightInd w:val="0"/>
              <w:jc w:val="center"/>
              <w:rPr>
                <w:rFonts w:cstheme="minorHAnsi"/>
                <w:bCs/>
              </w:rPr>
            </w:pPr>
            <w:r>
              <w:rPr>
                <w:rFonts w:cstheme="minorHAnsi"/>
                <w:bCs/>
              </w:rPr>
              <w:t>0.05%</w:t>
            </w:r>
          </w:p>
        </w:tc>
      </w:tr>
      <w:tr w:rsidR="006A5297" w14:paraId="365A0EE7" w14:textId="77777777" w:rsidTr="006A5297">
        <w:tc>
          <w:tcPr>
            <w:tcW w:w="3955" w:type="dxa"/>
          </w:tcPr>
          <w:p w14:paraId="78F80633" w14:textId="77777777" w:rsidR="006A5297" w:rsidRDefault="006A5297" w:rsidP="006A5297">
            <w:pPr>
              <w:autoSpaceDE w:val="0"/>
              <w:autoSpaceDN w:val="0"/>
              <w:adjustRightInd w:val="0"/>
              <w:rPr>
                <w:rFonts w:cstheme="minorHAnsi"/>
                <w:bCs/>
              </w:rPr>
            </w:pPr>
            <w:r>
              <w:rPr>
                <w:rFonts w:cstheme="minorHAnsi"/>
                <w:bCs/>
              </w:rPr>
              <w:t>Patient did not have any E&amp;M visits with a MIPS Medicare provider in 2017-2018</w:t>
            </w:r>
          </w:p>
        </w:tc>
        <w:tc>
          <w:tcPr>
            <w:tcW w:w="2278" w:type="dxa"/>
          </w:tcPr>
          <w:p w14:paraId="5E12BB33" w14:textId="77777777" w:rsidR="006A5297" w:rsidRDefault="006A5297" w:rsidP="006A5297">
            <w:pPr>
              <w:autoSpaceDE w:val="0"/>
              <w:autoSpaceDN w:val="0"/>
              <w:adjustRightInd w:val="0"/>
              <w:jc w:val="center"/>
              <w:rPr>
                <w:rFonts w:cstheme="minorHAnsi"/>
                <w:bCs/>
              </w:rPr>
            </w:pPr>
            <w:r>
              <w:rPr>
                <w:rFonts w:cstheme="minorHAnsi"/>
                <w:bCs/>
              </w:rPr>
              <w:t>102,182</w:t>
            </w:r>
          </w:p>
        </w:tc>
        <w:tc>
          <w:tcPr>
            <w:tcW w:w="3117" w:type="dxa"/>
          </w:tcPr>
          <w:p w14:paraId="0FA48A4B" w14:textId="77777777" w:rsidR="006A5297" w:rsidRDefault="006A5297" w:rsidP="006A5297">
            <w:pPr>
              <w:autoSpaceDE w:val="0"/>
              <w:autoSpaceDN w:val="0"/>
              <w:adjustRightInd w:val="0"/>
              <w:jc w:val="center"/>
              <w:rPr>
                <w:rFonts w:cstheme="minorHAnsi"/>
                <w:bCs/>
              </w:rPr>
            </w:pPr>
            <w:r>
              <w:rPr>
                <w:rFonts w:cstheme="minorHAnsi"/>
                <w:bCs/>
              </w:rPr>
              <w:t>3.67%</w:t>
            </w:r>
          </w:p>
        </w:tc>
      </w:tr>
      <w:tr w:rsidR="006A5297" w14:paraId="76FB1EE9" w14:textId="77777777" w:rsidTr="006A5297">
        <w:trPr>
          <w:trHeight w:val="394"/>
        </w:trPr>
        <w:tc>
          <w:tcPr>
            <w:tcW w:w="3955" w:type="dxa"/>
          </w:tcPr>
          <w:p w14:paraId="37FA7B7A" w14:textId="77777777" w:rsidR="006A5297" w:rsidRPr="006A5297" w:rsidRDefault="006A5297" w:rsidP="006A5297">
            <w:pPr>
              <w:autoSpaceDE w:val="0"/>
              <w:autoSpaceDN w:val="0"/>
              <w:adjustRightInd w:val="0"/>
              <w:rPr>
                <w:rFonts w:cstheme="minorHAnsi"/>
                <w:b/>
              </w:rPr>
            </w:pPr>
            <w:r w:rsidRPr="006A5297">
              <w:rPr>
                <w:rFonts w:cstheme="minorHAnsi"/>
                <w:b/>
              </w:rPr>
              <w:t>Total Excluded</w:t>
            </w:r>
          </w:p>
        </w:tc>
        <w:tc>
          <w:tcPr>
            <w:tcW w:w="2278" w:type="dxa"/>
          </w:tcPr>
          <w:p w14:paraId="1F5FBCB5" w14:textId="77777777" w:rsidR="006A5297" w:rsidRPr="006A5297" w:rsidRDefault="006A5297" w:rsidP="006A5297">
            <w:pPr>
              <w:autoSpaceDE w:val="0"/>
              <w:autoSpaceDN w:val="0"/>
              <w:adjustRightInd w:val="0"/>
              <w:jc w:val="center"/>
              <w:rPr>
                <w:rFonts w:cstheme="minorHAnsi"/>
                <w:b/>
              </w:rPr>
            </w:pPr>
            <w:r w:rsidRPr="006A5297">
              <w:rPr>
                <w:rFonts w:cstheme="minorHAnsi"/>
                <w:b/>
              </w:rPr>
              <w:t>343,565</w:t>
            </w:r>
          </w:p>
        </w:tc>
        <w:tc>
          <w:tcPr>
            <w:tcW w:w="3117" w:type="dxa"/>
          </w:tcPr>
          <w:p w14:paraId="36D726E0" w14:textId="77777777" w:rsidR="006A5297" w:rsidRPr="006A5297" w:rsidRDefault="006A5297" w:rsidP="006A5297">
            <w:pPr>
              <w:autoSpaceDE w:val="0"/>
              <w:autoSpaceDN w:val="0"/>
              <w:adjustRightInd w:val="0"/>
              <w:jc w:val="center"/>
              <w:rPr>
                <w:rFonts w:cstheme="minorHAnsi"/>
                <w:b/>
              </w:rPr>
            </w:pPr>
            <w:r w:rsidRPr="006A5297">
              <w:rPr>
                <w:rFonts w:cstheme="minorHAnsi"/>
                <w:b/>
              </w:rPr>
              <w:t>12.32%</w:t>
            </w:r>
          </w:p>
        </w:tc>
      </w:tr>
      <w:tr w:rsidR="006A5297" w14:paraId="199244FA" w14:textId="77777777" w:rsidTr="006A5297">
        <w:trPr>
          <w:trHeight w:val="430"/>
        </w:trPr>
        <w:tc>
          <w:tcPr>
            <w:tcW w:w="3955" w:type="dxa"/>
          </w:tcPr>
          <w:p w14:paraId="1ADDD20C" w14:textId="77777777" w:rsidR="006A5297" w:rsidRPr="006A5297" w:rsidRDefault="006A5297" w:rsidP="006A5297">
            <w:pPr>
              <w:autoSpaceDE w:val="0"/>
              <w:autoSpaceDN w:val="0"/>
              <w:adjustRightInd w:val="0"/>
              <w:rPr>
                <w:rFonts w:cstheme="minorHAnsi"/>
                <w:b/>
              </w:rPr>
            </w:pPr>
            <w:r w:rsidRPr="006A5297">
              <w:rPr>
                <w:rFonts w:cstheme="minorHAnsi"/>
                <w:b/>
              </w:rPr>
              <w:t>Final Cohort Eligible for Attribution</w:t>
            </w:r>
          </w:p>
        </w:tc>
        <w:tc>
          <w:tcPr>
            <w:tcW w:w="2278" w:type="dxa"/>
          </w:tcPr>
          <w:p w14:paraId="4ACFE482" w14:textId="77777777" w:rsidR="006A5297" w:rsidRPr="006A5297" w:rsidRDefault="006A5297" w:rsidP="006A5297">
            <w:pPr>
              <w:autoSpaceDE w:val="0"/>
              <w:autoSpaceDN w:val="0"/>
              <w:adjustRightInd w:val="0"/>
              <w:jc w:val="center"/>
              <w:rPr>
                <w:rFonts w:cstheme="minorHAnsi"/>
                <w:b/>
              </w:rPr>
            </w:pPr>
            <w:r w:rsidRPr="006A5297">
              <w:rPr>
                <w:rFonts w:cstheme="minorHAnsi"/>
                <w:b/>
              </w:rPr>
              <w:t>2,444,341</w:t>
            </w:r>
          </w:p>
        </w:tc>
        <w:tc>
          <w:tcPr>
            <w:tcW w:w="3117" w:type="dxa"/>
          </w:tcPr>
          <w:p w14:paraId="247E3A60" w14:textId="77777777" w:rsidR="006A5297" w:rsidRPr="006A5297" w:rsidRDefault="006A5297" w:rsidP="006A5297">
            <w:pPr>
              <w:autoSpaceDE w:val="0"/>
              <w:autoSpaceDN w:val="0"/>
              <w:adjustRightInd w:val="0"/>
              <w:jc w:val="center"/>
              <w:rPr>
                <w:rFonts w:cstheme="minorHAnsi"/>
                <w:b/>
              </w:rPr>
            </w:pPr>
            <w:r w:rsidRPr="006A5297">
              <w:rPr>
                <w:rFonts w:cstheme="minorHAnsi"/>
                <w:b/>
              </w:rPr>
              <w:t>87.68%</w:t>
            </w:r>
          </w:p>
        </w:tc>
      </w:tr>
    </w:tbl>
    <w:p w14:paraId="3A342262" w14:textId="7004218B" w:rsidR="00251F70" w:rsidRDefault="00251F70" w:rsidP="331BDD9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5F52E372"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349A662" w14:textId="5276A68C" w:rsidR="00251F70" w:rsidRPr="007861BC" w:rsidRDefault="00251F70" w:rsidP="00251F7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Exclusions applied to the MIPS HF measure cohort</w:t>
      </w:r>
      <w:r w:rsidR="00F9345F" w:rsidRPr="007861BC">
        <w:rPr>
          <w:rFonts w:ascii="Calibri" w:eastAsia="Calibri" w:hAnsi="Calibri" w:cs="Calibri"/>
          <w:color w:val="000000"/>
        </w:rPr>
        <w:t>:</w:t>
      </w:r>
    </w:p>
    <w:p w14:paraId="1B80DF89" w14:textId="77777777" w:rsidR="00251F70" w:rsidRPr="007861BC" w:rsidRDefault="00251F70" w:rsidP="00251F7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730DA6B0" w14:textId="03B9CF21" w:rsidR="00C3575B" w:rsidRPr="007861BC"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331BDD94">
        <w:rPr>
          <w:rFonts w:ascii="Calibri" w:eastAsia="Calibri" w:hAnsi="Calibri" w:cs="Calibri"/>
          <w:color w:val="000000" w:themeColor="text1"/>
        </w:rPr>
        <w:t xml:space="preserve">1,470 </w:t>
      </w:r>
      <w:r w:rsidR="00C3575B" w:rsidRPr="331BDD94">
        <w:rPr>
          <w:rFonts w:ascii="Calibri" w:eastAsia="Calibri" w:hAnsi="Calibri" w:cs="Calibri"/>
          <w:color w:val="000000" w:themeColor="text1"/>
        </w:rPr>
        <w:t>patients, or 0.05% of the initial index cohort, were excluded from the measure because they died on the first day of measurement or in year prior to measurement.</w:t>
      </w:r>
    </w:p>
    <w:p w14:paraId="0E535888" w14:textId="03F6D31C" w:rsidR="00C3575B" w:rsidRPr="007861BC" w:rsidRDefault="007861BC" w:rsidP="00C3575B">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76,494</w:t>
      </w:r>
      <w:r w:rsidR="00C3575B" w:rsidRPr="007861BC">
        <w:rPr>
          <w:rFonts w:ascii="Calibri" w:eastAsia="Calibri" w:hAnsi="Calibri" w:cs="Calibri"/>
          <w:color w:val="000000"/>
        </w:rPr>
        <w:t xml:space="preserve"> patients, or 2.7</w:t>
      </w:r>
      <w:r w:rsidRPr="007861BC">
        <w:rPr>
          <w:rFonts w:ascii="Calibri" w:eastAsia="Calibri" w:hAnsi="Calibri" w:cs="Calibri"/>
          <w:color w:val="000000"/>
        </w:rPr>
        <w:t>4</w:t>
      </w:r>
      <w:r w:rsidR="00C3575B" w:rsidRPr="007861BC">
        <w:rPr>
          <w:rFonts w:ascii="Calibri" w:eastAsia="Calibri" w:hAnsi="Calibri" w:cs="Calibri"/>
          <w:color w:val="000000"/>
        </w:rPr>
        <w:t xml:space="preserve">% of the initial index cohort, were excluded from the measure because they were in hospice at some point in the year prior to measurement year, or they were in hospice on 10/1/2017 (start of measurement year). </w:t>
      </w:r>
      <w:r w:rsidR="00C3575B" w:rsidRPr="007861BC">
        <w:t xml:space="preserve">The measure excludes these patients even though once a patient enters hospice care, a goal of care is to prevent the need for hospital care. However, </w:t>
      </w:r>
      <w:r w:rsidR="00C3575B" w:rsidRPr="007861BC">
        <w:lastRenderedPageBreak/>
        <w:t>ambulatory care providers may have relatively little influence on end-of-life care once a patient is enrolled in hospice and served by a hospice team.</w:t>
      </w:r>
    </w:p>
    <w:p w14:paraId="0FE28C6D" w14:textId="62426326" w:rsidR="00C3575B" w:rsidRPr="007861BC"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6,114 patients, or 0.22</w:t>
      </w:r>
      <w:r w:rsidR="00202D75" w:rsidRPr="007861BC">
        <w:rPr>
          <w:rFonts w:ascii="Calibri" w:eastAsia="Calibri" w:hAnsi="Calibri" w:cs="Calibri"/>
          <w:color w:val="000000"/>
        </w:rPr>
        <w:t>% of the initial index cohort, were excluded from the measure because they had an LVAD implanted in the year prior to measurement.</w:t>
      </w:r>
    </w:p>
    <w:p w14:paraId="7BF7F7CF" w14:textId="33D06435" w:rsidR="00202D75" w:rsidRPr="007861BC"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4,950</w:t>
      </w:r>
      <w:r w:rsidR="00202D75" w:rsidRPr="007861BC">
        <w:rPr>
          <w:rFonts w:ascii="Calibri" w:eastAsia="Calibri" w:hAnsi="Calibri" w:cs="Calibri"/>
          <w:color w:val="000000"/>
        </w:rPr>
        <w:t xml:space="preserve"> patients, or 0.18% of the initial index cohort, were excluded from the measure because they had a heart transplant in the year prior to measurement.</w:t>
      </w:r>
    </w:p>
    <w:p w14:paraId="6AF9AA13" w14:textId="1AE6AF75" w:rsidR="00202D75" w:rsidRPr="007861BC"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153,599 patients, or 5.51</w:t>
      </w:r>
      <w:r w:rsidR="00202D75" w:rsidRPr="007861BC">
        <w:rPr>
          <w:rFonts w:ascii="Calibri" w:eastAsia="Calibri" w:hAnsi="Calibri" w:cs="Calibri"/>
          <w:color w:val="000000"/>
        </w:rPr>
        <w:t xml:space="preserve">% of the initial index cohort, were excluded from the measure because they had </w:t>
      </w:r>
      <w:r w:rsidR="00D07561" w:rsidRPr="007861BC">
        <w:rPr>
          <w:rFonts w:ascii="Calibri" w:eastAsia="Calibri" w:hAnsi="Calibri" w:cs="Calibri"/>
          <w:color w:val="000000"/>
        </w:rPr>
        <w:t>ESRD</w:t>
      </w:r>
      <w:r w:rsidR="00202D75" w:rsidRPr="007861BC">
        <w:rPr>
          <w:rFonts w:ascii="Calibri" w:eastAsia="Calibri" w:hAnsi="Calibri" w:cs="Calibri"/>
          <w:color w:val="000000"/>
        </w:rPr>
        <w:t xml:space="preserve"> (CKD stage 5 or on dialysis) in the year prior to measurement.</w:t>
      </w:r>
    </w:p>
    <w:p w14:paraId="7F4B466F" w14:textId="18E3A1FD" w:rsidR="00202D75" w:rsidRPr="007861BC"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5,757 patients, or 0.21</w:t>
      </w:r>
      <w:r w:rsidR="00202D75" w:rsidRPr="007861BC">
        <w:rPr>
          <w:rFonts w:ascii="Calibri" w:eastAsia="Calibri" w:hAnsi="Calibri" w:cs="Calibri"/>
          <w:color w:val="000000"/>
        </w:rPr>
        <w:t>% of the initial index cohort, were excluded from the measure because they were on home inotropic therapy in the year prior to measurement.</w:t>
      </w:r>
    </w:p>
    <w:p w14:paraId="3A0C4DC2" w14:textId="2F0D9DE2" w:rsidR="00251F70" w:rsidRPr="007861BC"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 xml:space="preserve">1,512 </w:t>
      </w:r>
      <w:r w:rsidR="00251F70" w:rsidRPr="007861BC">
        <w:rPr>
          <w:rFonts w:ascii="Calibri" w:eastAsia="Calibri" w:hAnsi="Calibri" w:cs="Calibri"/>
          <w:color w:val="000000"/>
        </w:rPr>
        <w:t xml:space="preserve">patients, or </w:t>
      </w:r>
      <w:r w:rsidR="00722F3E" w:rsidRPr="007861BC">
        <w:rPr>
          <w:rFonts w:ascii="Calibri" w:eastAsia="Calibri" w:hAnsi="Calibri" w:cs="Calibri"/>
          <w:color w:val="000000"/>
        </w:rPr>
        <w:t>0.05</w:t>
      </w:r>
      <w:r w:rsidR="00251F70" w:rsidRPr="007861BC">
        <w:rPr>
          <w:rFonts w:ascii="Calibri" w:eastAsia="Calibri" w:hAnsi="Calibri" w:cs="Calibri"/>
          <w:color w:val="000000"/>
        </w:rPr>
        <w:t>% of the initial index cohort, were excluded from the measure because they were not fully covered unde</w:t>
      </w:r>
      <w:r w:rsidR="004E01ED" w:rsidRPr="007861BC">
        <w:rPr>
          <w:rFonts w:ascii="Calibri" w:eastAsia="Calibri" w:hAnsi="Calibri" w:cs="Calibri"/>
          <w:color w:val="000000"/>
        </w:rPr>
        <w:t>r Medicare Parts A and B in 2017-2018</w:t>
      </w:r>
      <w:r w:rsidR="00251F70" w:rsidRPr="007861BC">
        <w:rPr>
          <w:rFonts w:ascii="Calibri" w:eastAsia="Calibri" w:hAnsi="Calibri" w:cs="Calibri"/>
          <w:color w:val="000000"/>
        </w:rPr>
        <w:t>. These patients were excluded so that full data availability for outcome assessment and attribution was ensured.</w:t>
      </w:r>
    </w:p>
    <w:p w14:paraId="4A568EB5" w14:textId="4E8E63B3" w:rsidR="00251F70" w:rsidRDefault="007861BC" w:rsidP="00251F70">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7861BC">
        <w:rPr>
          <w:rFonts w:ascii="Calibri" w:eastAsia="Calibri" w:hAnsi="Calibri" w:cs="Calibri"/>
          <w:color w:val="000000"/>
        </w:rPr>
        <w:t>102,</w:t>
      </w:r>
      <w:r w:rsidR="00D81B26">
        <w:rPr>
          <w:rFonts w:ascii="Calibri" w:eastAsia="Calibri" w:hAnsi="Calibri" w:cs="Calibri"/>
          <w:color w:val="000000"/>
        </w:rPr>
        <w:t>1</w:t>
      </w:r>
      <w:r w:rsidR="00D81B26" w:rsidRPr="007861BC">
        <w:rPr>
          <w:rFonts w:ascii="Calibri" w:eastAsia="Calibri" w:hAnsi="Calibri" w:cs="Calibri"/>
          <w:color w:val="000000"/>
        </w:rPr>
        <w:t xml:space="preserve">82 </w:t>
      </w:r>
      <w:r w:rsidR="00251F70" w:rsidRPr="007861BC">
        <w:rPr>
          <w:rFonts w:ascii="Calibri" w:eastAsia="Calibri" w:hAnsi="Calibri" w:cs="Calibri"/>
          <w:color w:val="000000"/>
        </w:rPr>
        <w:t xml:space="preserve">patients, or </w:t>
      </w:r>
      <w:r w:rsidR="00D81B26">
        <w:rPr>
          <w:rFonts w:ascii="Calibri" w:eastAsia="Calibri" w:hAnsi="Calibri" w:cs="Calibri"/>
          <w:color w:val="000000"/>
        </w:rPr>
        <w:t>3.67</w:t>
      </w:r>
      <w:r w:rsidR="00251F70" w:rsidRPr="007861BC">
        <w:rPr>
          <w:rFonts w:ascii="Calibri" w:eastAsia="Calibri" w:hAnsi="Calibri" w:cs="Calibri"/>
          <w:color w:val="000000"/>
        </w:rPr>
        <w:t xml:space="preserve">% of the initial index cohort, were excluded from the measure because they did not have any E&amp;M visits to </w:t>
      </w:r>
      <w:r w:rsidR="00C129BE" w:rsidRPr="007861BC">
        <w:rPr>
          <w:rFonts w:ascii="Calibri" w:eastAsia="Calibri" w:hAnsi="Calibri" w:cs="Calibri"/>
          <w:color w:val="000000"/>
        </w:rPr>
        <w:t>a MIPS Medicare provider in 2017-2018</w:t>
      </w:r>
      <w:r w:rsidR="00251F70" w:rsidRPr="007861BC">
        <w:rPr>
          <w:rFonts w:ascii="Calibri" w:eastAsia="Calibri" w:hAnsi="Calibri" w:cs="Calibri"/>
          <w:color w:val="000000"/>
        </w:rPr>
        <w:t xml:space="preserve"> and therefore could not be attributed to a provider.</w:t>
      </w:r>
    </w:p>
    <w:p w14:paraId="32BE2694" w14:textId="07776124" w:rsidR="00AC5840" w:rsidRDefault="00AC5840" w:rsidP="00AC584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9D645E6" w14:textId="146E8BAE" w:rsidR="00AC5840" w:rsidRPr="00663F76" w:rsidRDefault="00AC5840" w:rsidP="00663F7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These exclusions are needed </w:t>
      </w:r>
      <w:proofErr w:type="gramStart"/>
      <w:r>
        <w:rPr>
          <w:rFonts w:ascii="Calibri" w:eastAsia="Calibri" w:hAnsi="Calibri" w:cs="Calibri"/>
          <w:color w:val="000000"/>
        </w:rPr>
        <w:t>in order to</w:t>
      </w:r>
      <w:proofErr w:type="gramEnd"/>
      <w:r>
        <w:rPr>
          <w:rFonts w:ascii="Calibri" w:eastAsia="Calibri" w:hAnsi="Calibri" w:cs="Calibri"/>
          <w:color w:val="000000"/>
        </w:rPr>
        <w:t xml:space="preserve"> accurately attribute HF patients to providers and to accurately calculate the measure scores.</w:t>
      </w:r>
    </w:p>
    <w:p w14:paraId="09EC7A0A" w14:textId="77777777" w:rsidR="00251F70" w:rsidRPr="00A25024" w:rsidRDefault="00251F70"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22" w:name="section2b4"/>
      <w:bookmarkEnd w:id="2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6A5297" w:rsidP="00092566">
      <w:pPr>
        <w:autoSpaceDE w:val="0"/>
        <w:autoSpaceDN w:val="0"/>
        <w:adjustRightInd w:val="0"/>
        <w:spacing w:after="0" w:line="240" w:lineRule="auto"/>
        <w:rPr>
          <w:rFonts w:cstheme="minorHAnsi"/>
          <w:b/>
          <w:bCs/>
        </w:rPr>
      </w:pPr>
      <w:sdt>
        <w:sdtPr>
          <w:rPr>
            <w:rFonts w:cstheme="minorHAnsi"/>
            <w:bCs/>
            <w:color w:val="0000FF"/>
            <w:shd w:val="clear" w:color="auto" w:fill="E6E6E6"/>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6D270CC6" w:rsidR="00743E46" w:rsidRPr="005232D6" w:rsidRDefault="006A5297" w:rsidP="00092566">
      <w:pPr>
        <w:autoSpaceDE w:val="0"/>
        <w:autoSpaceDN w:val="0"/>
        <w:adjustRightInd w:val="0"/>
        <w:spacing w:after="0" w:line="240" w:lineRule="auto"/>
        <w:rPr>
          <w:rFonts w:cstheme="minorHAnsi"/>
          <w:b/>
          <w:bCs/>
        </w:rPr>
      </w:pPr>
      <w:sdt>
        <w:sdtPr>
          <w:rPr>
            <w:rFonts w:cstheme="minorHAnsi"/>
            <w:bCs/>
            <w:color w:val="0000FF"/>
            <w:shd w:val="clear" w:color="auto" w:fill="E6E6E6"/>
          </w:rPr>
          <w:id w:val="-912162535"/>
          <w14:checkbox>
            <w14:checked w14:val="1"/>
            <w14:checkedState w14:val="2612" w14:font="MS Gothic"/>
            <w14:uncheckedState w14:val="2610" w14:font="MS Gothic"/>
          </w14:checkbox>
        </w:sdtPr>
        <w:sdtContent>
          <w:r w:rsidR="00251F70">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74071">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3964C9" w:rsidRPr="00074071">
            <w:rPr>
              <w:rStyle w:val="Style4"/>
              <w:u w:val="none"/>
            </w:rPr>
            <w:t>30</w:t>
          </w:r>
        </w:sdtContent>
      </w:sdt>
      <w:r w:rsidR="00E562C0" w:rsidRPr="00074071">
        <w:rPr>
          <w:rStyle w:val="Style4"/>
          <w:u w:val="none"/>
        </w:rPr>
        <w:t xml:space="preserve"> </w:t>
      </w:r>
      <w:r w:rsidR="00743E46" w:rsidRPr="00074071">
        <w:rPr>
          <w:rFonts w:cstheme="minorHAnsi"/>
          <w:b/>
          <w:bCs/>
        </w:rPr>
        <w:t>ri</w:t>
      </w:r>
      <w:r w:rsidR="00743E46" w:rsidRPr="005232D6">
        <w:rPr>
          <w:rFonts w:cstheme="minorHAnsi"/>
          <w:b/>
          <w:bCs/>
        </w:rPr>
        <w:t>sk</w:t>
      </w:r>
      <w:r w:rsidR="00251F70">
        <w:rPr>
          <w:rFonts w:cstheme="minorHAnsi"/>
          <w:b/>
          <w:bCs/>
        </w:rPr>
        <w:t xml:space="preserve"> adjustment variables</w:t>
      </w:r>
    </w:p>
    <w:p w14:paraId="0CABCFEF" w14:textId="77777777" w:rsidR="00743E46" w:rsidRPr="005232D6" w:rsidRDefault="006A5297" w:rsidP="00092566">
      <w:pPr>
        <w:autoSpaceDE w:val="0"/>
        <w:autoSpaceDN w:val="0"/>
        <w:adjustRightInd w:val="0"/>
        <w:spacing w:after="0" w:line="240" w:lineRule="auto"/>
        <w:rPr>
          <w:rFonts w:cstheme="minorHAnsi"/>
          <w:b/>
          <w:bCs/>
        </w:rPr>
      </w:pPr>
      <w:sdt>
        <w:sdtPr>
          <w:rPr>
            <w:rFonts w:cstheme="minorHAnsi"/>
            <w:bCs/>
            <w:color w:val="0000FF"/>
            <w:shd w:val="clear" w:color="auto" w:fill="E6E6E6"/>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6A5297" w:rsidP="00092566">
      <w:pPr>
        <w:autoSpaceDE w:val="0"/>
        <w:autoSpaceDN w:val="0"/>
        <w:adjustRightInd w:val="0"/>
        <w:spacing w:after="0" w:line="240" w:lineRule="auto"/>
        <w:rPr>
          <w:rFonts w:cstheme="minorHAnsi"/>
          <w:b/>
          <w:bCs/>
        </w:rPr>
      </w:pPr>
      <w:sdt>
        <w:sdtPr>
          <w:rPr>
            <w:rFonts w:cstheme="minorHAnsi"/>
            <w:bCs/>
            <w:color w:val="0000FF"/>
            <w:shd w:val="clear" w:color="auto" w:fill="E6E6E6"/>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50637D09">
      <w:pPr>
        <w:autoSpaceDE w:val="0"/>
        <w:autoSpaceDN w:val="0"/>
        <w:adjustRightInd w:val="0"/>
        <w:spacing w:after="0" w:line="240" w:lineRule="auto"/>
      </w:pPr>
      <w:r w:rsidRPr="5645140E">
        <w:rPr>
          <w:b/>
          <w:bCs/>
        </w:rPr>
        <w:t>2b</w:t>
      </w:r>
      <w:r w:rsidR="009C7513" w:rsidRPr="5645140E">
        <w:rPr>
          <w:b/>
          <w:bCs/>
        </w:rPr>
        <w:t>3</w:t>
      </w:r>
      <w:r w:rsidRPr="5645140E">
        <w:rPr>
          <w:b/>
          <w:bCs/>
        </w:rPr>
        <w:t xml:space="preserve">.1.1 </w:t>
      </w:r>
      <w:r w:rsidR="00F34FAB" w:rsidRPr="5645140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528C090" w14:textId="400545B6" w:rsidR="00A61332" w:rsidRPr="00A61332" w:rsidRDefault="00A61332" w:rsidP="00A61332">
      <w:pPr>
        <w:pBdr>
          <w:top w:val="single" w:sz="4" w:space="1" w:color="auto"/>
          <w:left w:val="single" w:sz="4" w:space="1" w:color="auto"/>
          <w:bottom w:val="single" w:sz="4" w:space="1" w:color="auto"/>
          <w:right w:val="single" w:sz="4" w:space="1" w:color="auto"/>
        </w:pBdr>
        <w:rPr>
          <w:rFonts w:eastAsia="Times New Roman" w:cstheme="minorHAnsi"/>
          <w:b/>
          <w:bCs/>
          <w:iCs/>
          <w:sz w:val="24"/>
          <w:szCs w:val="24"/>
        </w:rPr>
      </w:pPr>
      <w:r w:rsidRPr="00A61332">
        <w:rPr>
          <w:rFonts w:eastAsia="Times New Roman" w:cstheme="minorHAnsi"/>
          <w:b/>
          <w:bCs/>
          <w:iCs/>
          <w:sz w:val="24"/>
          <w:szCs w:val="24"/>
        </w:rPr>
        <w:t xml:space="preserve"> Detailed Description of Hierarchical Model </w:t>
      </w:r>
    </w:p>
    <w:p w14:paraId="07700266" w14:textId="5AF25E78"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bCs/>
          <w:sz w:val="24"/>
          <w:szCs w:val="24"/>
        </w:rPr>
      </w:pPr>
      <w:r w:rsidRPr="1F2A1F7D">
        <w:rPr>
          <w:rFonts w:eastAsia="Times New Roman"/>
          <w:sz w:val="24"/>
          <w:szCs w:val="24"/>
        </w:rPr>
        <w:t xml:space="preserve">The </w:t>
      </w:r>
      <w:r w:rsidR="00E926CE" w:rsidRPr="1F2A1F7D">
        <w:rPr>
          <w:rFonts w:eastAsia="Times New Roman"/>
          <w:sz w:val="24"/>
          <w:szCs w:val="24"/>
        </w:rPr>
        <w:t>MIPS</w:t>
      </w:r>
      <w:r w:rsidRPr="1F2A1F7D">
        <w:rPr>
          <w:rFonts w:eastAsia="Times New Roman"/>
          <w:sz w:val="24"/>
          <w:szCs w:val="24"/>
        </w:rPr>
        <w:t xml:space="preserve"> </w:t>
      </w:r>
      <w:r w:rsidR="00E926CE" w:rsidRPr="1F2A1F7D">
        <w:rPr>
          <w:rFonts w:eastAsia="Times New Roman"/>
          <w:sz w:val="24"/>
          <w:szCs w:val="24"/>
        </w:rPr>
        <w:t>HF</w:t>
      </w:r>
      <w:r w:rsidRPr="1F2A1F7D">
        <w:rPr>
          <w:rFonts w:eastAsia="Times New Roman"/>
          <w:sz w:val="24"/>
          <w:szCs w:val="24"/>
        </w:rPr>
        <w:t xml:space="preserve"> admission measure HGLM assumes the outcome has a known exponential family distribution and relates linearly to the covariates via a known link function, </w:t>
      </w:r>
      <w:r w:rsidRPr="719BAE2D">
        <w:rPr>
          <w:rFonts w:eastAsia="Times New Roman"/>
          <w:i/>
          <w:iCs/>
          <w:sz w:val="24"/>
          <w:szCs w:val="24"/>
        </w:rPr>
        <w:t>h</w:t>
      </w:r>
      <w:r w:rsidRPr="1F2A1F7D">
        <w:rPr>
          <w:rFonts w:eastAsia="Times New Roman"/>
          <w:sz w:val="24"/>
          <w:szCs w:val="24"/>
        </w:rPr>
        <w:t>. For the model, we assumed a negative binomial distribution with linear variance (NB-1) and a log link function (Note the NB-1 model was chosen to account for overdispersion in the data). Further, we accounted for the clustering within</w:t>
      </w:r>
      <w:r w:rsidR="00E926CE" w:rsidRPr="1F2A1F7D">
        <w:rPr>
          <w:rFonts w:eastAsia="Times New Roman"/>
          <w:sz w:val="24"/>
          <w:szCs w:val="24"/>
        </w:rPr>
        <w:t xml:space="preserve"> MIPS clinicians</w:t>
      </w:r>
      <w:r w:rsidRPr="1F2A1F7D">
        <w:rPr>
          <w:rFonts w:eastAsia="Times New Roman"/>
          <w:sz w:val="24"/>
          <w:szCs w:val="24"/>
        </w:rPr>
        <w:t xml:space="preserve"> by estimating a</w:t>
      </w:r>
      <w:r w:rsidR="00E926CE" w:rsidRPr="1F2A1F7D">
        <w:rPr>
          <w:rFonts w:eastAsia="Times New Roman"/>
          <w:sz w:val="24"/>
          <w:szCs w:val="24"/>
        </w:rPr>
        <w:t xml:space="preserve"> MIPS</w:t>
      </w:r>
      <w:r w:rsidRPr="1F2A1F7D">
        <w:rPr>
          <w:rFonts w:eastAsia="Times New Roman"/>
          <w:sz w:val="24"/>
          <w:szCs w:val="24"/>
        </w:rPr>
        <w:t xml:space="preserve">-specific effect, </w:t>
      </w:r>
      <w:r w:rsidR="006A5297">
        <w:rPr>
          <w:rFonts w:cstheme="minorHAnsi"/>
          <w:bCs/>
          <w:i/>
          <w:iCs/>
          <w:sz w:val="24"/>
          <w:szCs w:val="24"/>
        </w:rPr>
        <w:pict w14:anchorId="30733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lpha sub i" style="width:14.5pt;height:22.5pt">
            <v:imagedata r:id="rId14" o:title=""/>
          </v:shape>
        </w:pict>
      </w:r>
      <w:r w:rsidRPr="1F2A1F7D">
        <w:rPr>
          <w:rFonts w:eastAsia="Times New Roman"/>
          <w:sz w:val="24"/>
          <w:szCs w:val="24"/>
        </w:rPr>
        <w:t xml:space="preserve">, which we assume follows a normal distribution with mean </w:t>
      </w:r>
      <w:r w:rsidR="006A5297">
        <w:rPr>
          <w:rFonts w:cstheme="minorHAnsi"/>
          <w:bCs/>
          <w:i/>
          <w:iCs/>
          <w:sz w:val="24"/>
          <w:szCs w:val="24"/>
        </w:rPr>
        <w:pict w14:anchorId="506328A9">
          <v:shape id="_x0000_i1026" type="#_x0000_t75" alt="mu" style="width:14.5pt;height:14.5pt">
            <v:imagedata r:id="rId15" o:title=""/>
          </v:shape>
        </w:pict>
      </w:r>
      <w:r w:rsidRPr="1F2A1F7D">
        <w:rPr>
          <w:rFonts w:eastAsia="Times New Roman"/>
          <w:sz w:val="24"/>
          <w:szCs w:val="24"/>
        </w:rPr>
        <w:t xml:space="preserve"> and variance </w:t>
      </w:r>
      <w:r w:rsidRPr="719BAE2D">
        <w:rPr>
          <w:rFonts w:ascii="Symbol" w:eastAsia="Symbol" w:hAnsi="Symbol" w:cs="Symbol"/>
          <w:i/>
          <w:iCs/>
          <w:sz w:val="25"/>
          <w:szCs w:val="25"/>
        </w:rPr>
        <w:t></w:t>
      </w:r>
      <w:r w:rsidRPr="719BAE2D">
        <w:rPr>
          <w:rFonts w:ascii="Symbol" w:eastAsia="Symbol" w:hAnsi="Symbol" w:cs="Symbol"/>
          <w:i/>
          <w:iCs/>
          <w:sz w:val="25"/>
          <w:szCs w:val="25"/>
        </w:rPr>
        <w:t></w:t>
      </w:r>
      <w:r w:rsidRPr="00A61332">
        <w:rPr>
          <w:rFonts w:ascii="Times New Roman" w:eastAsia="Calibri" w:hAnsi="Times New Roman" w:cs="Times New Roman"/>
          <w:position w:val="11"/>
          <w:sz w:val="14"/>
          <w:szCs w:val="14"/>
        </w:rPr>
        <w:t>2</w:t>
      </w:r>
      <w:r w:rsidRPr="1F2A1F7D">
        <w:rPr>
          <w:rFonts w:eastAsia="Times New Roman"/>
          <w:sz w:val="24"/>
          <w:szCs w:val="24"/>
        </w:rPr>
        <w:t>, the between-</w:t>
      </w:r>
      <w:r w:rsidR="000E626B" w:rsidRPr="1F2A1F7D">
        <w:rPr>
          <w:rFonts w:eastAsia="Times New Roman"/>
          <w:sz w:val="24"/>
          <w:szCs w:val="24"/>
        </w:rPr>
        <w:t>provider</w:t>
      </w:r>
      <w:r w:rsidRPr="1F2A1F7D">
        <w:rPr>
          <w:rFonts w:eastAsia="Times New Roman"/>
          <w:sz w:val="24"/>
          <w:szCs w:val="24"/>
        </w:rPr>
        <w:t xml:space="preserve"> variance component. The following equations define the HGLM:</w:t>
      </w:r>
    </w:p>
    <w:p w14:paraId="6F18AB5D"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bCs/>
          <w:sz w:val="24"/>
          <w:szCs w:val="24"/>
        </w:rPr>
      </w:pPr>
    </w:p>
    <w:p w14:paraId="2073045A"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sz w:val="24"/>
          <w:szCs w:val="24"/>
        </w:rPr>
      </w:pPr>
      <m:oMathPara>
        <m:oMath>
          <m:r>
            <w:rPr>
              <w:rFonts w:ascii="Cambria Math" w:eastAsia="MS Mincho" w:hAnsi="Cambria Math" w:cstheme="minorHAnsi"/>
              <w:sz w:val="24"/>
              <w:szCs w:val="24"/>
            </w:rPr>
            <m:t>h</m:t>
          </m:r>
          <m:d>
            <m:dPr>
              <m:ctrlPr>
                <w:rPr>
                  <w:rFonts w:ascii="Cambria Math" w:eastAsia="MS Mincho" w:hAnsi="Cambria Math" w:cstheme="minorHAnsi"/>
                  <w:i/>
                  <w:sz w:val="24"/>
                  <w:szCs w:val="24"/>
                </w:rPr>
              </m:ctrlPr>
            </m:dPr>
            <m:e>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E(Y</m:t>
                  </m:r>
                </m:e>
                <m:sub>
                  <m:r>
                    <w:rPr>
                      <w:rFonts w:ascii="Cambria Math" w:eastAsia="Calibri" w:hAnsi="Cambria Math" w:cstheme="minorHAnsi"/>
                      <w:sz w:val="24"/>
                      <w:szCs w:val="24"/>
                    </w:rPr>
                    <m:t>ij</m:t>
                  </m:r>
                </m:sub>
              </m:sSub>
            </m:e>
            <m:e>
              <m:sSub>
                <m:sSubPr>
                  <m:ctrlPr>
                    <w:rPr>
                      <w:rFonts w:ascii="Cambria Math" w:eastAsia="Calibri" w:hAnsi="Cambria Math" w:cstheme="minorHAnsi"/>
                      <w:i/>
                      <w:sz w:val="24"/>
                      <w:szCs w:val="24"/>
                    </w:rPr>
                  </m:ctrlPr>
                </m:sSubPr>
                <m:e>
                  <m:r>
                    <m:rPr>
                      <m:sty m:val="bi"/>
                    </m:rPr>
                    <w:rPr>
                      <w:rFonts w:ascii="Cambria Math" w:eastAsia="Calibri" w:hAnsi="Cambria Math" w:cstheme="minorHAnsi"/>
                      <w:sz w:val="24"/>
                      <w:szCs w:val="24"/>
                    </w:rPr>
                    <m:t>Z</m:t>
                  </m:r>
                </m:e>
                <m:sub>
                  <m:r>
                    <w:rPr>
                      <w:rFonts w:ascii="Cambria Math" w:eastAsia="Calibri" w:hAnsi="Cambria Math" w:cstheme="minorHAnsi"/>
                      <w:sz w:val="24"/>
                      <w:szCs w:val="24"/>
                    </w:rPr>
                    <m:t>ij</m:t>
                  </m:r>
                </m:sub>
              </m:sSub>
              <m:r>
                <w:rPr>
                  <w:rFonts w:ascii="Cambria Math" w:eastAsia="Calibri" w:hAnsi="Cambria Math" w:cstheme="minorHAnsi"/>
                  <w:sz w:val="24"/>
                  <w:szCs w:val="24"/>
                </w:rPr>
                <m:t>,</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ω</m:t>
                  </m:r>
                </m:e>
                <m:sub>
                  <m:r>
                    <w:rPr>
                      <w:rFonts w:ascii="Cambria Math" w:eastAsia="Calibri" w:hAnsi="Cambria Math" w:cstheme="minorHAnsi"/>
                      <w:sz w:val="24"/>
                      <w:szCs w:val="24"/>
                    </w:rPr>
                    <m:t>i</m:t>
                  </m:r>
                </m:sub>
              </m:sSub>
              <m:r>
                <w:rPr>
                  <w:rFonts w:ascii="Cambria Math" w:eastAsia="Calibri" w:hAnsi="Cambria Math" w:cstheme="minorHAnsi"/>
                  <w:sz w:val="24"/>
                  <w:szCs w:val="24"/>
                </w:rPr>
                <m:t>)</m:t>
              </m:r>
            </m:e>
          </m:d>
          <m:r>
            <w:rPr>
              <w:rFonts w:ascii="Cambria Math" w:eastAsia="Calibri" w:hAnsi="Cambria Math" w:cstheme="minorHAnsi"/>
              <w:sz w:val="24"/>
              <w:szCs w:val="24"/>
            </w:rPr>
            <m:t>=</m:t>
          </m:r>
          <m:func>
            <m:funcPr>
              <m:ctrlPr>
                <w:rPr>
                  <w:rFonts w:ascii="Cambria Math" w:eastAsia="MS Mincho" w:hAnsi="Cambria Math" w:cstheme="minorHAnsi"/>
                  <w:sz w:val="24"/>
                  <w:szCs w:val="24"/>
                </w:rPr>
              </m:ctrlPr>
            </m:funcPr>
            <m:fName>
              <m:r>
                <m:rPr>
                  <m:sty m:val="p"/>
                </m:rPr>
                <w:rPr>
                  <w:rFonts w:ascii="Cambria Math" w:eastAsia="MS Mincho" w:hAnsi="Cambria Math" w:cstheme="minorHAnsi"/>
                  <w:sz w:val="24"/>
                  <w:szCs w:val="24"/>
                </w:rPr>
                <m:t>log</m:t>
              </m:r>
            </m:fName>
            <m:e>
              <m:d>
                <m:dPr>
                  <m:ctrlPr>
                    <w:rPr>
                      <w:rFonts w:ascii="Cambria Math" w:eastAsia="MS Mincho" w:hAnsi="Cambria Math" w:cstheme="minorHAnsi"/>
                      <w:i/>
                      <w:sz w:val="24"/>
                      <w:szCs w:val="24"/>
                    </w:rPr>
                  </m:ctrlPr>
                </m:dPr>
                <m:e>
                  <m:r>
                    <w:rPr>
                      <w:rFonts w:ascii="Cambria Math" w:eastAsia="MS Mincho" w:hAnsi="Cambria Math" w:cstheme="minorHAnsi"/>
                      <w:sz w:val="24"/>
                      <w:szCs w:val="24"/>
                    </w:rPr>
                    <m:t>E(</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Y</m:t>
                      </m:r>
                    </m:e>
                    <m:sub>
                      <m:r>
                        <w:rPr>
                          <w:rFonts w:ascii="Cambria Math" w:eastAsia="Calibri" w:hAnsi="Cambria Math" w:cstheme="minorHAnsi"/>
                          <w:sz w:val="24"/>
                          <w:szCs w:val="24"/>
                        </w:rPr>
                        <m:t>ij</m:t>
                      </m:r>
                    </m:sub>
                  </m:sSub>
                </m:e>
                <m:e>
                  <m:sSub>
                    <m:sSubPr>
                      <m:ctrlPr>
                        <w:rPr>
                          <w:rFonts w:ascii="Cambria Math" w:eastAsia="Calibri" w:hAnsi="Cambria Math" w:cstheme="minorHAnsi"/>
                          <w:i/>
                          <w:sz w:val="24"/>
                          <w:szCs w:val="24"/>
                        </w:rPr>
                      </m:ctrlPr>
                    </m:sSubPr>
                    <m:e>
                      <m:r>
                        <m:rPr>
                          <m:sty m:val="bi"/>
                        </m:rPr>
                        <w:rPr>
                          <w:rFonts w:ascii="Cambria Math" w:eastAsia="Calibri" w:hAnsi="Cambria Math" w:cstheme="minorHAnsi"/>
                          <w:sz w:val="24"/>
                          <w:szCs w:val="24"/>
                        </w:rPr>
                        <m:t>Z</m:t>
                      </m:r>
                    </m:e>
                    <m:sub>
                      <m:r>
                        <w:rPr>
                          <w:rFonts w:ascii="Cambria Math" w:eastAsia="Calibri" w:hAnsi="Cambria Math" w:cstheme="minorHAnsi"/>
                          <w:sz w:val="24"/>
                          <w:szCs w:val="24"/>
                        </w:rPr>
                        <m:t>ij</m:t>
                      </m:r>
                    </m:sub>
                  </m:sSub>
                  <m:r>
                    <w:rPr>
                      <w:rFonts w:ascii="Cambria Math" w:eastAsia="Calibri" w:hAnsi="Cambria Math" w:cstheme="minorHAnsi"/>
                      <w:sz w:val="24"/>
                      <w:szCs w:val="24"/>
                    </w:rPr>
                    <m:t>,</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ω</m:t>
                      </m:r>
                    </m:e>
                    <m:sub>
                      <m:r>
                        <w:rPr>
                          <w:rFonts w:ascii="Cambria Math" w:eastAsia="Calibri" w:hAnsi="Cambria Math" w:cstheme="minorHAnsi"/>
                          <w:sz w:val="24"/>
                          <w:szCs w:val="24"/>
                        </w:rPr>
                        <m:t>i</m:t>
                      </m:r>
                    </m:sub>
                  </m:sSub>
                  <m:r>
                    <w:rPr>
                      <w:rFonts w:ascii="Cambria Math" w:eastAsia="Calibri" w:hAnsi="Cambria Math" w:cstheme="minorHAnsi"/>
                      <w:sz w:val="24"/>
                      <w:szCs w:val="24"/>
                    </w:rPr>
                    <m:t>)</m:t>
                  </m:r>
                </m:e>
              </m:d>
            </m:e>
          </m:func>
          <m:r>
            <w:rPr>
              <w:rFonts w:ascii="Cambria Math" w:eastAsia="MS Mincho" w:hAnsi="Cambria Math" w:cstheme="minorHAnsi"/>
              <w:sz w:val="24"/>
              <w:szCs w:val="24"/>
            </w:rPr>
            <m:t>=</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α</m:t>
              </m:r>
            </m:e>
            <m:sub>
              <m:r>
                <w:rPr>
                  <w:rFonts w:ascii="Cambria Math" w:eastAsia="Calibri" w:hAnsi="Cambria Math" w:cstheme="minorHAnsi"/>
                  <w:sz w:val="24"/>
                  <w:szCs w:val="24"/>
                </w:rPr>
                <m:t>i</m:t>
              </m:r>
            </m:sub>
          </m:sSub>
          <m:r>
            <w:rPr>
              <w:rFonts w:ascii="Cambria Math" w:eastAsia="Calibri" w:hAnsi="Cambria Math" w:cstheme="minorHAnsi"/>
              <w:sz w:val="24"/>
              <w:szCs w:val="24"/>
            </w:rPr>
            <m:t>+</m:t>
          </m:r>
          <m:r>
            <m:rPr>
              <m:sty m:val="bi"/>
            </m:rPr>
            <w:rPr>
              <w:rFonts w:ascii="Cambria Math" w:eastAsia="MS Mincho" w:hAnsi="Cambria Math" w:cstheme="minorHAnsi"/>
              <w:sz w:val="24"/>
              <w:szCs w:val="24"/>
            </w:rPr>
            <m:t>β</m:t>
          </m:r>
          <m:sSub>
            <m:sSubPr>
              <m:ctrlPr>
                <w:rPr>
                  <w:rFonts w:ascii="Cambria Math" w:eastAsia="Calibri" w:hAnsi="Cambria Math" w:cstheme="minorHAnsi"/>
                  <w:i/>
                  <w:sz w:val="24"/>
                  <w:szCs w:val="24"/>
                </w:rPr>
              </m:ctrlPr>
            </m:sSubPr>
            <m:e>
              <m:r>
                <m:rPr>
                  <m:sty m:val="bi"/>
                </m:rPr>
                <w:rPr>
                  <w:rFonts w:ascii="Cambria Math" w:eastAsia="Calibri" w:hAnsi="Cambria Math" w:cstheme="minorHAnsi"/>
                  <w:sz w:val="24"/>
                  <w:szCs w:val="24"/>
                </w:rPr>
                <m:t>Z</m:t>
              </m:r>
            </m:e>
            <m:sub>
              <m:r>
                <w:rPr>
                  <w:rFonts w:ascii="Cambria Math" w:eastAsia="Calibri" w:hAnsi="Cambria Math" w:cstheme="minorHAnsi"/>
                  <w:sz w:val="24"/>
                  <w:szCs w:val="24"/>
                </w:rPr>
                <m:t>ij</m:t>
              </m:r>
            </m:sub>
          </m:sSub>
          <m:r>
            <m:rPr>
              <m:sty m:val="p"/>
            </m:rPr>
            <w:rPr>
              <w:rFonts w:ascii="Cambria Math" w:eastAsia="Calibri" w:hAnsi="Cambria Math" w:cstheme="minorHAnsi"/>
              <w:sz w:val="24"/>
              <w:szCs w:val="24"/>
            </w:rPr>
            <m:t xml:space="preserve">           (1)</m:t>
          </m:r>
        </m:oMath>
      </m:oMathPara>
    </w:p>
    <w:p w14:paraId="777AA405"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Symbol" w:cstheme="minorHAnsi"/>
          <w:i/>
          <w:sz w:val="24"/>
          <w:szCs w:val="24"/>
        </w:rPr>
      </w:pPr>
    </w:p>
    <w:p w14:paraId="36F33DEA"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cstheme="minorHAnsi"/>
          <w:bCs/>
          <w:sz w:val="24"/>
          <w:szCs w:val="24"/>
        </w:rPr>
      </w:pPr>
      <w:r w:rsidRPr="00A61332">
        <w:rPr>
          <w:rFonts w:eastAsia="Symbol" w:cstheme="minorHAnsi"/>
          <w:i/>
          <w:sz w:val="24"/>
          <w:szCs w:val="24"/>
        </w:rPr>
        <w:t xml:space="preserve">where </w:t>
      </w:r>
      <w:r w:rsidRPr="005C3B45">
        <w:rPr>
          <w:rFonts w:ascii="Symbol" w:eastAsia="Symbol" w:hAnsi="Symbol" w:cstheme="minorHAnsi"/>
          <w:i/>
          <w:spacing w:val="3"/>
          <w:sz w:val="24"/>
          <w:szCs w:val="24"/>
        </w:rPr>
        <w:t></w:t>
      </w:r>
      <w:proofErr w:type="gramStart"/>
      <w:r w:rsidRPr="00A61332">
        <w:rPr>
          <w:rFonts w:eastAsia="Calibri" w:cstheme="minorHAnsi"/>
          <w:i/>
          <w:spacing w:val="2"/>
          <w:position w:val="-5"/>
          <w:sz w:val="24"/>
          <w:szCs w:val="24"/>
        </w:rPr>
        <w:t>i</w:t>
      </w:r>
      <w:r w:rsidRPr="00A61332">
        <w:rPr>
          <w:rFonts w:eastAsia="Calibri" w:cstheme="minorHAnsi"/>
          <w:i/>
          <w:position w:val="-5"/>
          <w:sz w:val="24"/>
          <w:szCs w:val="24"/>
        </w:rPr>
        <w:t xml:space="preserve"> </w:t>
      </w:r>
      <w:r w:rsidRPr="00A61332">
        <w:rPr>
          <w:rFonts w:eastAsia="Calibri" w:cstheme="minorHAnsi"/>
          <w:i/>
          <w:spacing w:val="23"/>
          <w:position w:val="-5"/>
          <w:sz w:val="24"/>
          <w:szCs w:val="24"/>
        </w:rPr>
        <w:t xml:space="preserve"> </w:t>
      </w:r>
      <w:r w:rsidRPr="00A61332">
        <w:rPr>
          <w:rFonts w:eastAsia="Symbol" w:cstheme="minorHAnsi"/>
          <w:sz w:val="24"/>
          <w:szCs w:val="24"/>
        </w:rPr>
        <w:t>=</w:t>
      </w:r>
      <w:proofErr w:type="gramEnd"/>
      <w:r w:rsidRPr="00A61332">
        <w:rPr>
          <w:rFonts w:eastAsia="Symbol" w:cstheme="minorHAnsi"/>
          <w:spacing w:val="6"/>
          <w:sz w:val="24"/>
          <w:szCs w:val="24"/>
        </w:rPr>
        <w:t xml:space="preserve"> </w:t>
      </w:r>
      <w:r w:rsidRPr="000D2E20">
        <w:rPr>
          <w:rFonts w:ascii="Symbol" w:eastAsia="Symbol" w:hAnsi="Symbol" w:cstheme="minorHAnsi"/>
          <w:i/>
          <w:sz w:val="24"/>
          <w:szCs w:val="24"/>
        </w:rPr>
        <w:t></w:t>
      </w:r>
      <w:r w:rsidRPr="00A61332">
        <w:rPr>
          <w:rFonts w:eastAsia="Symbol" w:cstheme="minorHAnsi"/>
          <w:i/>
          <w:spacing w:val="-1"/>
          <w:sz w:val="24"/>
          <w:szCs w:val="24"/>
        </w:rPr>
        <w:t xml:space="preserve"> </w:t>
      </w:r>
      <w:r w:rsidRPr="00A61332">
        <w:rPr>
          <w:rFonts w:eastAsia="Symbol" w:cstheme="minorHAnsi"/>
          <w:sz w:val="24"/>
          <w:szCs w:val="24"/>
        </w:rPr>
        <w:t>+</w:t>
      </w:r>
      <w:r w:rsidRPr="00A61332">
        <w:rPr>
          <w:rFonts w:eastAsia="Symbol" w:cstheme="minorHAnsi"/>
          <w:spacing w:val="-26"/>
          <w:sz w:val="24"/>
          <w:szCs w:val="24"/>
        </w:rPr>
        <w:t xml:space="preserve"> </w:t>
      </w:r>
      <w:r w:rsidRPr="000D2E20">
        <w:rPr>
          <w:rFonts w:ascii="Symbol" w:eastAsia="Symbol" w:hAnsi="Symbol" w:cstheme="minorHAnsi"/>
          <w:i/>
          <w:spacing w:val="-2"/>
          <w:sz w:val="24"/>
          <w:szCs w:val="24"/>
        </w:rPr>
        <w:t></w:t>
      </w:r>
      <w:r w:rsidRPr="00A61332">
        <w:rPr>
          <w:rFonts w:eastAsia="Calibri" w:cstheme="minorHAnsi"/>
          <w:i/>
          <w:spacing w:val="-2"/>
          <w:position w:val="-5"/>
          <w:sz w:val="24"/>
          <w:szCs w:val="24"/>
        </w:rPr>
        <w:t>i</w:t>
      </w:r>
      <w:r w:rsidRPr="00A61332">
        <w:rPr>
          <w:rFonts w:eastAsia="Calibri" w:cstheme="minorHAnsi"/>
          <w:i/>
          <w:spacing w:val="-8"/>
          <w:position w:val="-5"/>
          <w:sz w:val="24"/>
          <w:szCs w:val="24"/>
        </w:rPr>
        <w:t xml:space="preserve"> </w:t>
      </w:r>
      <w:r w:rsidRPr="00A61332">
        <w:rPr>
          <w:rFonts w:eastAsia="Calibri" w:cstheme="minorHAnsi"/>
          <w:sz w:val="24"/>
          <w:szCs w:val="24"/>
        </w:rPr>
        <w:t>;</w:t>
      </w:r>
      <w:r w:rsidRPr="00A61332">
        <w:rPr>
          <w:rFonts w:eastAsia="Calibri" w:cstheme="minorHAnsi"/>
          <w:spacing w:val="27"/>
          <w:sz w:val="24"/>
          <w:szCs w:val="24"/>
        </w:rPr>
        <w:t xml:space="preserve"> </w:t>
      </w:r>
      <w:r w:rsidRPr="000D2E20">
        <w:rPr>
          <w:rFonts w:ascii="Symbol" w:eastAsia="Symbol" w:hAnsi="Symbol" w:cstheme="minorHAnsi"/>
          <w:i/>
          <w:spacing w:val="-2"/>
          <w:sz w:val="24"/>
          <w:szCs w:val="24"/>
        </w:rPr>
        <w:t></w:t>
      </w:r>
      <w:r w:rsidRPr="00A61332">
        <w:rPr>
          <w:rFonts w:eastAsia="Calibri" w:cstheme="minorHAnsi"/>
          <w:i/>
          <w:spacing w:val="-2"/>
          <w:position w:val="-5"/>
          <w:sz w:val="24"/>
          <w:szCs w:val="24"/>
        </w:rPr>
        <w:t xml:space="preserve">i </w:t>
      </w:r>
      <w:r w:rsidRPr="00A61332">
        <w:rPr>
          <w:rFonts w:eastAsia="Calibri" w:cstheme="minorHAnsi"/>
          <w:w w:val="105"/>
          <w:sz w:val="24"/>
          <w:szCs w:val="24"/>
        </w:rPr>
        <w:t>~</w:t>
      </w:r>
      <w:r w:rsidRPr="00A61332">
        <w:rPr>
          <w:rFonts w:eastAsia="Calibri" w:cstheme="minorHAnsi"/>
          <w:spacing w:val="9"/>
          <w:w w:val="105"/>
          <w:sz w:val="24"/>
          <w:szCs w:val="24"/>
        </w:rPr>
        <w:t xml:space="preserve"> </w:t>
      </w:r>
      <w:r w:rsidRPr="00A61332">
        <w:rPr>
          <w:rFonts w:eastAsia="Calibri" w:cstheme="minorHAnsi"/>
          <w:i/>
          <w:w w:val="105"/>
          <w:sz w:val="24"/>
          <w:szCs w:val="24"/>
        </w:rPr>
        <w:t>N</w:t>
      </w:r>
      <w:r w:rsidRPr="00A61332">
        <w:rPr>
          <w:rFonts w:eastAsia="Calibri" w:cstheme="minorHAnsi"/>
          <w:i/>
          <w:spacing w:val="-35"/>
          <w:w w:val="105"/>
          <w:sz w:val="24"/>
          <w:szCs w:val="24"/>
        </w:rPr>
        <w:t xml:space="preserve"> </w:t>
      </w:r>
      <w:r w:rsidRPr="00A61332">
        <w:rPr>
          <w:rFonts w:eastAsia="Calibri" w:cstheme="minorHAnsi"/>
          <w:spacing w:val="-8"/>
          <w:w w:val="105"/>
          <w:sz w:val="24"/>
          <w:szCs w:val="24"/>
        </w:rPr>
        <w:t xml:space="preserve">(0, </w:t>
      </w:r>
      <w:r w:rsidRPr="00A61332">
        <w:rPr>
          <w:rFonts w:eastAsia="Symbol" w:cstheme="minorHAnsi"/>
          <w:i/>
          <w:spacing w:val="-8"/>
          <w:w w:val="105"/>
          <w:sz w:val="24"/>
          <w:szCs w:val="24"/>
        </w:rPr>
        <w:t>t</w:t>
      </w:r>
      <w:r w:rsidRPr="00A61332">
        <w:rPr>
          <w:rFonts w:eastAsia="Symbol" w:cstheme="minorHAnsi"/>
          <w:i/>
          <w:spacing w:val="-23"/>
          <w:w w:val="105"/>
          <w:sz w:val="24"/>
          <w:szCs w:val="24"/>
        </w:rPr>
        <w:t xml:space="preserve"> </w:t>
      </w:r>
      <w:r w:rsidRPr="00A61332">
        <w:rPr>
          <w:rFonts w:eastAsia="Calibri" w:cstheme="minorHAnsi"/>
          <w:w w:val="105"/>
          <w:position w:val="10"/>
          <w:sz w:val="24"/>
          <w:szCs w:val="24"/>
        </w:rPr>
        <w:t>2</w:t>
      </w:r>
      <w:r w:rsidRPr="00A61332">
        <w:rPr>
          <w:rFonts w:eastAsia="Calibri" w:cstheme="minorHAnsi"/>
          <w:spacing w:val="-9"/>
          <w:w w:val="105"/>
          <w:position w:val="10"/>
          <w:sz w:val="24"/>
          <w:szCs w:val="24"/>
        </w:rPr>
        <w:t xml:space="preserve"> </w:t>
      </w:r>
      <w:r w:rsidRPr="00A61332">
        <w:rPr>
          <w:rFonts w:eastAsia="Calibri" w:cstheme="minorHAnsi"/>
          <w:w w:val="105"/>
          <w:sz w:val="24"/>
          <w:szCs w:val="24"/>
        </w:rPr>
        <w:t xml:space="preserve">) </w:t>
      </w:r>
      <w:r w:rsidRPr="00A61332">
        <w:rPr>
          <w:rFonts w:eastAsia="Times New Roman" w:cstheme="minorHAnsi"/>
          <w:bCs/>
          <w:sz w:val="24"/>
          <w:szCs w:val="24"/>
        </w:rPr>
        <w:tab/>
      </w:r>
    </w:p>
    <w:p w14:paraId="2C9B1BA4"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ind w:firstLine="720"/>
        <w:rPr>
          <w:rFonts w:eastAsia="Calibri" w:cstheme="minorHAnsi"/>
          <w:noProof/>
          <w:sz w:val="24"/>
          <w:szCs w:val="24"/>
        </w:rPr>
      </w:pPr>
    </w:p>
    <w:p w14:paraId="5580300E" w14:textId="77777777" w:rsidR="00A61332" w:rsidRPr="00A61332" w:rsidRDefault="006A5297" w:rsidP="00A61332">
      <w:pPr>
        <w:pBdr>
          <w:top w:val="single" w:sz="4" w:space="1" w:color="auto"/>
          <w:left w:val="single" w:sz="4" w:space="1" w:color="auto"/>
          <w:bottom w:val="single" w:sz="4" w:space="1" w:color="auto"/>
          <w:right w:val="single" w:sz="4" w:space="1" w:color="auto"/>
        </w:pBdr>
        <w:spacing w:after="0" w:line="240" w:lineRule="auto"/>
        <w:ind w:firstLine="720"/>
        <w:rPr>
          <w:rFonts w:eastAsia="Calibri" w:cstheme="minorHAnsi"/>
          <w:noProof/>
          <w:sz w:val="24"/>
          <w:szCs w:val="24"/>
        </w:rPr>
      </w:pPr>
      <w:r>
        <w:rPr>
          <w:rFonts w:eastAsia="Calibri" w:cstheme="minorHAnsi"/>
          <w:noProof/>
          <w:position w:val="-12"/>
          <w:sz w:val="24"/>
          <w:szCs w:val="24"/>
        </w:rPr>
        <w:pict w14:anchorId="071BB40A">
          <v:shape id="_x0000_i1027" type="#_x0000_t75" alt="i takes value from one to upper I; j takes value from 1 to n sub i." style="width:79.5pt;height:22.5pt">
            <v:imagedata r:id="rId16" o:title=""/>
          </v:shape>
        </w:pict>
      </w:r>
    </w:p>
    <w:p w14:paraId="31C05BE2"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Calibri" w:cstheme="minorHAnsi"/>
          <w:noProof/>
          <w:sz w:val="24"/>
          <w:szCs w:val="24"/>
        </w:rPr>
      </w:pPr>
    </w:p>
    <w:p w14:paraId="3B91BBED" w14:textId="0F7DBCED"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cstheme="minorHAnsi"/>
          <w:bCs/>
          <w:sz w:val="24"/>
          <w:szCs w:val="24"/>
        </w:rPr>
      </w:pPr>
      <w:r w:rsidRPr="1F2A1F7D">
        <w:rPr>
          <w:rFonts w:eastAsia="Times New Roman"/>
          <w:sz w:val="24"/>
          <w:szCs w:val="24"/>
        </w:rPr>
        <w:t>Where</w:t>
      </w:r>
      <m:oMath>
        <m:r>
          <w:rPr>
            <w:rFonts w:ascii="Cambria Math" w:eastAsia="Times New Roman" w:hAnsi="Cambria Math" w:cstheme="minorHAnsi"/>
            <w:sz w:val="24"/>
            <w:szCs w:val="24"/>
          </w:rPr>
          <m:t xml:space="preserve"> </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Y</m:t>
            </m:r>
          </m:e>
          <m:sub>
            <m:r>
              <w:rPr>
                <w:rFonts w:ascii="Cambria Math" w:eastAsia="Times New Roman" w:hAnsi="Cambria Math" w:cstheme="minorHAnsi"/>
                <w:sz w:val="24"/>
                <w:szCs w:val="24"/>
              </w:rPr>
              <m:t>ij</m:t>
            </m:r>
          </m:sub>
        </m:sSub>
      </m:oMath>
      <w:r w:rsidRPr="1F2A1F7D">
        <w:rPr>
          <w:rFonts w:eastAsia="Times New Roman"/>
          <w:sz w:val="24"/>
          <w:szCs w:val="24"/>
        </w:rPr>
        <w:t xml:space="preserve"> denotes the outcome (number of </w:t>
      </w:r>
      <w:r w:rsidR="00EF63E4" w:rsidRPr="1F2A1F7D">
        <w:rPr>
          <w:rFonts w:eastAsia="Times New Roman"/>
          <w:sz w:val="24"/>
          <w:szCs w:val="24"/>
        </w:rPr>
        <w:t xml:space="preserve">acute, unplanned cardiovascular </w:t>
      </w:r>
      <w:r w:rsidRPr="1F2A1F7D">
        <w:rPr>
          <w:rFonts w:eastAsia="Times New Roman"/>
          <w:sz w:val="24"/>
          <w:szCs w:val="24"/>
        </w:rPr>
        <w:t xml:space="preserve">admissions per the person-years of risk exposure) for the </w:t>
      </w:r>
      <w:r w:rsidRPr="719BAE2D">
        <w:rPr>
          <w:rFonts w:eastAsia="Times New Roman"/>
          <w:i/>
          <w:iCs/>
          <w:sz w:val="24"/>
          <w:szCs w:val="24"/>
        </w:rPr>
        <w:t>j-</w:t>
      </w:r>
      <w:proofErr w:type="spellStart"/>
      <w:r w:rsidRPr="719BAE2D">
        <w:rPr>
          <w:rFonts w:eastAsia="Times New Roman"/>
          <w:i/>
          <w:iCs/>
          <w:sz w:val="24"/>
          <w:szCs w:val="24"/>
        </w:rPr>
        <w:t>th</w:t>
      </w:r>
      <w:proofErr w:type="spellEnd"/>
      <w:r w:rsidRPr="719BAE2D">
        <w:rPr>
          <w:rFonts w:eastAsia="Times New Roman"/>
          <w:i/>
          <w:iCs/>
          <w:sz w:val="24"/>
          <w:szCs w:val="24"/>
        </w:rPr>
        <w:t xml:space="preserve"> </w:t>
      </w:r>
      <w:r w:rsidRPr="1F2A1F7D">
        <w:rPr>
          <w:rFonts w:eastAsia="Times New Roman"/>
          <w:sz w:val="24"/>
          <w:szCs w:val="24"/>
        </w:rPr>
        <w:t xml:space="preserve">patient attributed to the </w:t>
      </w:r>
      <w:proofErr w:type="spellStart"/>
      <w:r w:rsidRPr="719BAE2D">
        <w:rPr>
          <w:rFonts w:eastAsia="Times New Roman"/>
          <w:i/>
          <w:iCs/>
          <w:sz w:val="24"/>
          <w:szCs w:val="24"/>
        </w:rPr>
        <w:t>i-th</w:t>
      </w:r>
      <w:proofErr w:type="spellEnd"/>
      <w:r w:rsidRPr="719BAE2D">
        <w:rPr>
          <w:rFonts w:eastAsia="Times New Roman"/>
          <w:i/>
          <w:iCs/>
          <w:sz w:val="24"/>
          <w:szCs w:val="24"/>
        </w:rPr>
        <w:t xml:space="preserve"> </w:t>
      </w:r>
      <w:r w:rsidR="00423A65" w:rsidRPr="1F2A1F7D">
        <w:rPr>
          <w:rFonts w:eastAsia="Times New Roman"/>
          <w:sz w:val="24"/>
          <w:szCs w:val="24"/>
        </w:rPr>
        <w:t>MIPS</w:t>
      </w:r>
      <w:r w:rsidR="00EF63E4" w:rsidRPr="1F2A1F7D">
        <w:rPr>
          <w:rFonts w:eastAsia="Times New Roman"/>
          <w:sz w:val="24"/>
          <w:szCs w:val="24"/>
        </w:rPr>
        <w:t xml:space="preserve"> clinician</w:t>
      </w:r>
      <w:r w:rsidRPr="1F2A1F7D">
        <w:rPr>
          <w:rFonts w:eastAsia="Times New Roman"/>
          <w:sz w:val="24"/>
          <w:szCs w:val="24"/>
        </w:rPr>
        <w:t xml:space="preserve">; </w:t>
      </w:r>
      <m:oMath>
        <m:sSub>
          <m:sSubPr>
            <m:ctrlPr>
              <w:rPr>
                <w:rFonts w:ascii="Cambria Math" w:eastAsia="Times New Roman" w:hAnsi="Cambria Math" w:cstheme="minorHAnsi"/>
                <w:bCs/>
                <w:i/>
                <w:sz w:val="24"/>
                <w:szCs w:val="24"/>
              </w:rPr>
            </m:ctrlPr>
          </m:sSubPr>
          <m:e>
            <m:r>
              <m:rPr>
                <m:sty m:val="bi"/>
              </m:rPr>
              <w:rPr>
                <w:rFonts w:ascii="Cambria Math" w:eastAsia="Times New Roman" w:hAnsi="Cambria Math" w:cstheme="minorHAnsi"/>
                <w:sz w:val="24"/>
                <w:szCs w:val="24"/>
              </w:rPr>
              <m:t>Z</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m:t>
        </m:r>
        <m:d>
          <m:dPr>
            <m:ctrlPr>
              <w:rPr>
                <w:rFonts w:ascii="Cambria Math" w:eastAsia="Times New Roman" w:hAnsi="Cambria Math" w:cstheme="minorHAnsi"/>
                <w:bCs/>
                <w:i/>
                <w:sz w:val="24"/>
                <w:szCs w:val="24"/>
              </w:rPr>
            </m:ctrlPr>
          </m:dPr>
          <m:e>
            <m:r>
              <m:rPr>
                <m:sty m:val="p"/>
              </m:rPr>
              <w:rPr>
                <w:rFonts w:ascii="Cambria Math" w:eastAsia="Times New Roman" w:hAnsi="Cambria Math" w:cstheme="minorHAnsi"/>
                <w:sz w:val="24"/>
                <w:szCs w:val="24"/>
              </w:rPr>
              <m:t xml:space="preserve"> </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Z</m:t>
                </m:r>
              </m:e>
              <m:sub>
                <m:r>
                  <w:rPr>
                    <w:rFonts w:ascii="Cambria Math" w:eastAsia="Times New Roman" w:hAnsi="Cambria Math" w:cstheme="minorHAnsi"/>
                    <w:sz w:val="24"/>
                    <w:szCs w:val="24"/>
                  </w:rPr>
                  <m:t>1ij</m:t>
                </m:r>
              </m:sub>
            </m:sSub>
            <m:r>
              <w:rPr>
                <w:rFonts w:ascii="Cambria Math" w:eastAsia="Times New Roman" w:hAnsi="Cambria Math" w:cstheme="minorHAnsi"/>
                <w:sz w:val="24"/>
                <w:szCs w:val="24"/>
              </w:rPr>
              <m:t xml:space="preserve">, </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Z</m:t>
                </m:r>
              </m:e>
              <m:sub>
                <m:r>
                  <w:rPr>
                    <w:rFonts w:ascii="Cambria Math" w:eastAsia="Times New Roman" w:hAnsi="Cambria Math" w:cstheme="minorHAnsi"/>
                    <w:sz w:val="24"/>
                    <w:szCs w:val="24"/>
                  </w:rPr>
                  <m:t xml:space="preserve">2ij, </m:t>
                </m:r>
              </m:sub>
            </m:sSub>
            <m:r>
              <w:rPr>
                <w:rFonts w:ascii="Cambria Math" w:eastAsia="Times New Roman" w:hAnsi="Cambria Math" w:cstheme="minorHAnsi"/>
                <w:sz w:val="24"/>
                <w:szCs w:val="24"/>
              </w:rPr>
              <m:t>…,</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Z</m:t>
                </m:r>
              </m:e>
              <m:sub>
                <m:r>
                  <w:rPr>
                    <w:rFonts w:ascii="Cambria Math" w:eastAsia="Times New Roman" w:hAnsi="Cambria Math" w:cstheme="minorHAnsi"/>
                    <w:sz w:val="24"/>
                    <w:szCs w:val="24"/>
                  </w:rPr>
                  <m:t>Pij</m:t>
                </m:r>
              </m:sub>
            </m:sSub>
          </m:e>
        </m:d>
        <m:r>
          <w:rPr>
            <w:rFonts w:ascii="Cambria Math" w:eastAsia="Times New Roman" w:hAnsi="Cambria Math" w:cstheme="minorHAnsi"/>
            <w:sz w:val="24"/>
            <w:szCs w:val="24"/>
          </w:rPr>
          <m:t xml:space="preserve"> </m:t>
        </m:r>
      </m:oMath>
      <w:r w:rsidRPr="1F2A1F7D">
        <w:rPr>
          <w:rFonts w:eastAsia="Times New Roman"/>
          <w:sz w:val="24"/>
          <w:szCs w:val="24"/>
        </w:rPr>
        <w:t xml:space="preserve">is a set of </w:t>
      </w:r>
      <w:r w:rsidRPr="719BAE2D">
        <w:rPr>
          <w:rFonts w:eastAsia="Times New Roman"/>
          <w:i/>
          <w:iCs/>
          <w:sz w:val="24"/>
          <w:szCs w:val="24"/>
        </w:rPr>
        <w:t xml:space="preserve">p </w:t>
      </w:r>
      <w:r w:rsidRPr="1F2A1F7D">
        <w:rPr>
          <w:rFonts w:eastAsia="Times New Roman"/>
          <w:sz w:val="24"/>
          <w:szCs w:val="24"/>
        </w:rPr>
        <w:t xml:space="preserve">patient-specific covariates derived from the data; </w:t>
      </w:r>
      <w:r w:rsidRPr="719BAE2D">
        <w:rPr>
          <w:rFonts w:eastAsia="Times New Roman"/>
          <w:i/>
          <w:iCs/>
          <w:sz w:val="24"/>
          <w:szCs w:val="24"/>
        </w:rPr>
        <w:t xml:space="preserve">I </w:t>
      </w:r>
      <w:r w:rsidRPr="1F2A1F7D">
        <w:rPr>
          <w:rFonts w:eastAsia="Times New Roman"/>
          <w:sz w:val="24"/>
          <w:szCs w:val="24"/>
        </w:rPr>
        <w:t xml:space="preserve">denotes the total number of </w:t>
      </w:r>
      <w:r w:rsidR="00C33936" w:rsidRPr="1F2A1F7D">
        <w:rPr>
          <w:rFonts w:eastAsia="Times New Roman"/>
          <w:sz w:val="24"/>
          <w:szCs w:val="24"/>
        </w:rPr>
        <w:t>MIPS clinicians</w:t>
      </w:r>
      <w:r w:rsidRPr="1F2A1F7D">
        <w:rPr>
          <w:rFonts w:eastAsia="Times New Roman"/>
          <w:sz w:val="24"/>
          <w:szCs w:val="24"/>
        </w:rPr>
        <w:t xml:space="preserve"> and </w:t>
      </w:r>
      <w:r w:rsidR="006A5297">
        <w:rPr>
          <w:rFonts w:cstheme="minorHAnsi"/>
          <w:bCs/>
          <w:sz w:val="24"/>
          <w:szCs w:val="24"/>
        </w:rPr>
        <w:pict w14:anchorId="4CD6928A">
          <v:shape id="_x0000_i1028" type="#_x0000_t75" alt="n sub i" style="width:14.5pt;height:22.5pt">
            <v:imagedata r:id="rId17" o:title=""/>
          </v:shape>
        </w:pict>
      </w:r>
      <w:r w:rsidRPr="1F2A1F7D">
        <w:rPr>
          <w:rFonts w:eastAsia="Times New Roman"/>
          <w:sz w:val="24"/>
          <w:szCs w:val="24"/>
        </w:rPr>
        <w:t xml:space="preserve"> the number of patients attributed to </w:t>
      </w:r>
      <w:r w:rsidR="00C33936" w:rsidRPr="1F2A1F7D">
        <w:rPr>
          <w:rFonts w:eastAsia="Times New Roman"/>
          <w:sz w:val="24"/>
          <w:szCs w:val="24"/>
        </w:rPr>
        <w:t>MIPS clinician</w:t>
      </w:r>
      <w:r w:rsidRPr="1F2A1F7D">
        <w:rPr>
          <w:rFonts w:eastAsia="Times New Roman"/>
          <w:sz w:val="24"/>
          <w:szCs w:val="24"/>
        </w:rPr>
        <w:t xml:space="preserve"> </w:t>
      </w:r>
      <w:r w:rsidRPr="719BAE2D">
        <w:rPr>
          <w:rFonts w:eastAsia="Times New Roman"/>
          <w:i/>
          <w:iCs/>
          <w:sz w:val="24"/>
          <w:szCs w:val="24"/>
        </w:rPr>
        <w:t>i</w:t>
      </w:r>
      <w:r w:rsidRPr="1F2A1F7D">
        <w:rPr>
          <w:rFonts w:eastAsia="Times New Roman"/>
          <w:sz w:val="24"/>
          <w:szCs w:val="24"/>
        </w:rPr>
        <w:t>. The</w:t>
      </w:r>
      <w:r w:rsidR="00C33936" w:rsidRPr="1F2A1F7D">
        <w:rPr>
          <w:rFonts w:eastAsia="Times New Roman"/>
          <w:sz w:val="24"/>
          <w:szCs w:val="24"/>
        </w:rPr>
        <w:t xml:space="preserve"> MIPS</w:t>
      </w:r>
      <w:r w:rsidRPr="1F2A1F7D">
        <w:rPr>
          <w:rFonts w:eastAsia="Times New Roman"/>
          <w:sz w:val="24"/>
          <w:szCs w:val="24"/>
        </w:rPr>
        <w:t xml:space="preserve">-specific intercept of the </w:t>
      </w:r>
      <w:proofErr w:type="spellStart"/>
      <w:r w:rsidRPr="719BAE2D">
        <w:rPr>
          <w:rFonts w:eastAsia="Times New Roman"/>
          <w:i/>
          <w:iCs/>
          <w:sz w:val="24"/>
          <w:szCs w:val="24"/>
        </w:rPr>
        <w:t>i-th</w:t>
      </w:r>
      <w:proofErr w:type="spellEnd"/>
      <w:r w:rsidRPr="719BAE2D">
        <w:rPr>
          <w:rFonts w:eastAsia="Times New Roman"/>
          <w:i/>
          <w:iCs/>
          <w:sz w:val="24"/>
          <w:szCs w:val="24"/>
        </w:rPr>
        <w:t xml:space="preserve"> </w:t>
      </w:r>
      <w:r w:rsidR="00C33936" w:rsidRPr="1F2A1F7D">
        <w:rPr>
          <w:rFonts w:eastAsia="Times New Roman"/>
          <w:sz w:val="24"/>
          <w:szCs w:val="24"/>
        </w:rPr>
        <w:t>MIPS clinician</w:t>
      </w:r>
      <w:r w:rsidRPr="719BAE2D">
        <w:rPr>
          <w:rFonts w:eastAsia="Times New Roman"/>
          <w:i/>
          <w:iCs/>
          <w:sz w:val="24"/>
          <w:szCs w:val="24"/>
        </w:rPr>
        <w:t xml:space="preserve">, </w:t>
      </w:r>
      <w:r w:rsidR="006A5297">
        <w:rPr>
          <w:rFonts w:cstheme="minorHAnsi"/>
          <w:bCs/>
          <w:i/>
          <w:iCs/>
          <w:sz w:val="24"/>
          <w:szCs w:val="24"/>
        </w:rPr>
        <w:pict w14:anchorId="5EC086BB">
          <v:shape id="_x0000_i1029" type="#_x0000_t75" alt="alpha sub i" style="width:14.5pt;height:22.5pt">
            <v:imagedata r:id="rId14" o:title=""/>
          </v:shape>
        </w:pict>
      </w:r>
      <w:r w:rsidRPr="1F2A1F7D">
        <w:rPr>
          <w:rFonts w:eastAsia="Times New Roman"/>
          <w:sz w:val="24"/>
          <w:szCs w:val="24"/>
        </w:rPr>
        <w:t xml:space="preserve">, defined above, comprises </w:t>
      </w:r>
      <w:r w:rsidR="006A5297">
        <w:rPr>
          <w:rFonts w:cstheme="minorHAnsi"/>
          <w:bCs/>
          <w:i/>
          <w:iCs/>
          <w:sz w:val="24"/>
          <w:szCs w:val="24"/>
        </w:rPr>
        <w:pict w14:anchorId="1AFDA288">
          <v:shape id="_x0000_i1030" type="#_x0000_t75" alt="mu" style="width:14.5pt;height:14.5pt">
            <v:imagedata r:id="rId15" o:title=""/>
          </v:shape>
        </w:pict>
      </w:r>
      <w:r w:rsidRPr="719BAE2D">
        <w:rPr>
          <w:rFonts w:eastAsia="Times New Roman"/>
          <w:i/>
          <w:iCs/>
          <w:sz w:val="24"/>
          <w:szCs w:val="24"/>
        </w:rPr>
        <w:t xml:space="preserve">, </w:t>
      </w:r>
      <w:r w:rsidRPr="1F2A1F7D">
        <w:rPr>
          <w:rFonts w:eastAsia="Times New Roman"/>
          <w:sz w:val="24"/>
          <w:szCs w:val="24"/>
        </w:rPr>
        <w:t xml:space="preserve">the adjusted average intercept over all </w:t>
      </w:r>
      <w:r w:rsidR="00C33936" w:rsidRPr="1F2A1F7D">
        <w:rPr>
          <w:rFonts w:eastAsia="Times New Roman"/>
          <w:sz w:val="24"/>
          <w:szCs w:val="24"/>
        </w:rPr>
        <w:t>MIPS clinicians</w:t>
      </w:r>
      <w:r w:rsidRPr="1F2A1F7D">
        <w:rPr>
          <w:rFonts w:eastAsia="Times New Roman"/>
          <w:sz w:val="24"/>
          <w:szCs w:val="24"/>
        </w:rPr>
        <w:t xml:space="preserve"> in the sample, and </w:t>
      </w:r>
      <w:r w:rsidR="006A5297">
        <w:rPr>
          <w:rFonts w:cstheme="minorHAnsi"/>
          <w:bCs/>
          <w:sz w:val="24"/>
          <w:szCs w:val="24"/>
        </w:rPr>
        <w:pict w14:anchorId="0F50F2C8">
          <v:shape id="_x0000_i1031" type="#_x0000_t75" alt="omega sub i" style="width:14.5pt;height:14.5pt">
            <v:imagedata r:id="rId18" o:title=""/>
          </v:shape>
        </w:pict>
      </w:r>
      <w:r w:rsidRPr="1F2A1F7D">
        <w:rPr>
          <w:rFonts w:eastAsia="Times New Roman"/>
          <w:sz w:val="24"/>
          <w:szCs w:val="24"/>
        </w:rPr>
        <w:t xml:space="preserve"> ,the </w:t>
      </w:r>
      <w:r w:rsidR="00C33936" w:rsidRPr="1F2A1F7D">
        <w:rPr>
          <w:rFonts w:eastAsia="Times New Roman"/>
          <w:sz w:val="24"/>
          <w:szCs w:val="24"/>
        </w:rPr>
        <w:t>MIPS</w:t>
      </w:r>
      <w:r w:rsidRPr="1F2A1F7D">
        <w:rPr>
          <w:rFonts w:eastAsia="Times New Roman"/>
          <w:sz w:val="24"/>
          <w:szCs w:val="24"/>
        </w:rPr>
        <w:t xml:space="preserve">-specific intercept deviation from </w:t>
      </w:r>
      <w:r w:rsidR="006A5297">
        <w:rPr>
          <w:rFonts w:cstheme="minorHAnsi"/>
          <w:bCs/>
          <w:i/>
          <w:iCs/>
          <w:sz w:val="24"/>
          <w:szCs w:val="24"/>
        </w:rPr>
        <w:pict w14:anchorId="2F7E9F0D">
          <v:shape id="_x0000_i1032" type="#_x0000_t75" alt="mu" style="width:14.5pt;height:14.5pt">
            <v:imagedata r:id="rId15" o:title=""/>
          </v:shape>
        </w:pict>
      </w:r>
      <w:r w:rsidRPr="1F2A1F7D">
        <w:rPr>
          <w:rFonts w:eastAsia="Times New Roman"/>
          <w:sz w:val="24"/>
          <w:szCs w:val="24"/>
        </w:rPr>
        <w:t xml:space="preserve">. A point estimate of </w:t>
      </w:r>
      <w:r w:rsidR="006A5297">
        <w:rPr>
          <w:rFonts w:cstheme="minorHAnsi"/>
          <w:bCs/>
          <w:sz w:val="24"/>
          <w:szCs w:val="24"/>
        </w:rPr>
        <w:pict w14:anchorId="27A878A3">
          <v:shape id="_x0000_i1033" type="#_x0000_t75" alt="omega sub i" style="width:14.5pt;height:14.5pt">
            <v:imagedata r:id="rId18" o:title=""/>
          </v:shape>
        </w:pict>
      </w:r>
      <w:r w:rsidRPr="1F2A1F7D">
        <w:rPr>
          <w:rFonts w:eastAsia="Times New Roman"/>
          <w:sz w:val="24"/>
          <w:szCs w:val="24"/>
        </w:rPr>
        <w:t xml:space="preserve">, greater or less than 0, determines whether the </w:t>
      </w:r>
      <w:r w:rsidR="00C33936" w:rsidRPr="1F2A1F7D">
        <w:rPr>
          <w:rFonts w:eastAsia="Times New Roman"/>
          <w:sz w:val="24"/>
          <w:szCs w:val="24"/>
        </w:rPr>
        <w:t>MIP clinician’s</w:t>
      </w:r>
      <w:r w:rsidRPr="1F2A1F7D">
        <w:rPr>
          <w:rFonts w:eastAsia="Times New Roman"/>
          <w:sz w:val="24"/>
          <w:szCs w:val="24"/>
        </w:rPr>
        <w:t xml:space="preserve"> performance is worse or better compared to the adjusted average outcome.</w:t>
      </w:r>
    </w:p>
    <w:p w14:paraId="60E3503B" w14:textId="4C978D9D"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bCs/>
          <w:sz w:val="24"/>
          <w:szCs w:val="24"/>
        </w:rPr>
      </w:pPr>
      <w:r w:rsidRPr="00A61332">
        <w:rPr>
          <w:rFonts w:eastAsia="Times New Roman" w:cstheme="minorHAnsi"/>
          <w:bCs/>
          <w:sz w:val="24"/>
          <w:szCs w:val="24"/>
        </w:rPr>
        <w:t>Further,</w:t>
      </w:r>
      <m:oMath>
        <m:r>
          <w:rPr>
            <w:rFonts w:ascii="Cambria Math" w:eastAsia="Times New Roman" w:hAnsi="Cambria Math" w:cstheme="minorHAnsi"/>
            <w:sz w:val="24"/>
            <w:szCs w:val="24"/>
          </w:rPr>
          <m:t xml:space="preserve"> </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Y</m:t>
            </m:r>
          </m:e>
          <m:sub>
            <m:r>
              <w:rPr>
                <w:rFonts w:ascii="Cambria Math" w:eastAsia="Times New Roman" w:hAnsi="Cambria Math" w:cstheme="minorHAnsi"/>
                <w:sz w:val="24"/>
                <w:szCs w:val="24"/>
              </w:rPr>
              <m:t>ij</m:t>
            </m:r>
          </m:sub>
        </m:sSub>
      </m:oMath>
      <w:r w:rsidRPr="00A61332">
        <w:rPr>
          <w:rFonts w:eastAsia="Times New Roman" w:cstheme="minorHAnsi"/>
          <w:bCs/>
          <w:sz w:val="24"/>
          <w:szCs w:val="24"/>
        </w:rPr>
        <w:t xml:space="preserve"> can be expressed as </w:t>
      </w:r>
      <m:oMath>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Y</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 xml:space="preserve">= </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ij</m:t>
            </m:r>
          </m:sub>
        </m:sSub>
      </m:oMath>
      <w:r w:rsidRPr="00A61332">
        <w:rPr>
          <w:rFonts w:eastAsia="Times New Roman" w:cstheme="minorHAnsi"/>
          <w:bCs/>
          <w:sz w:val="24"/>
          <w:szCs w:val="24"/>
        </w:rPr>
        <w:t xml:space="preserve"> / </w:t>
      </w:r>
      <m:oMath>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M</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 xml:space="preserve"> </m:t>
        </m:r>
      </m:oMath>
      <w:r w:rsidRPr="00A61332">
        <w:rPr>
          <w:rFonts w:eastAsia="Times New Roman" w:cstheme="minorHAnsi"/>
          <w:bCs/>
          <w:sz w:val="24"/>
          <w:szCs w:val="24"/>
        </w:rPr>
        <w:t xml:space="preserve">where </w:t>
      </w:r>
      <m:oMath>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N</m:t>
            </m:r>
          </m:e>
          <m:sub>
            <m:r>
              <w:rPr>
                <w:rFonts w:ascii="Cambria Math" w:eastAsia="Times New Roman" w:hAnsi="Cambria Math" w:cstheme="minorHAnsi"/>
                <w:sz w:val="24"/>
                <w:szCs w:val="24"/>
              </w:rPr>
              <m:t>ij</m:t>
            </m:r>
          </m:sub>
        </m:sSub>
      </m:oMath>
      <w:r w:rsidRPr="00A61332">
        <w:rPr>
          <w:rFonts w:eastAsia="Times New Roman" w:cstheme="minorHAnsi"/>
          <w:bCs/>
          <w:sz w:val="24"/>
          <w:szCs w:val="24"/>
        </w:rPr>
        <w:t xml:space="preserve"> denotes the total number of admissions during the measurement period and follows the negative binomial distribution with mean,</w:t>
      </w:r>
      <m:oMath>
        <m:r>
          <w:rPr>
            <w:rFonts w:ascii="Cambria Math" w:eastAsia="Times New Roman" w:hAnsi="Cambria Math" w:cstheme="minorHAnsi"/>
            <w:sz w:val="24"/>
            <w:szCs w:val="24"/>
          </w:rPr>
          <m:t xml:space="preserve"> </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μ</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m:t>
        </m:r>
        <m:sSub>
          <m:sSubPr>
            <m:ctrlPr>
              <w:rPr>
                <w:rFonts w:ascii="Cambria Math" w:eastAsia="Times New Roman" w:hAnsi="Cambria Math" w:cstheme="minorHAnsi"/>
                <w:bCs/>
                <w:i/>
                <w:sz w:val="24"/>
                <w:szCs w:val="24"/>
              </w:rPr>
            </m:ctrlPr>
          </m:sSubPr>
          <m:e>
            <m:r>
              <m:rPr>
                <m:sty m:val="bi"/>
              </m:rPr>
              <w:rPr>
                <w:rFonts w:ascii="Cambria Math" w:eastAsia="Times New Roman" w:hAnsi="Cambria Math" w:cstheme="minorHAnsi"/>
                <w:sz w:val="24"/>
                <w:szCs w:val="24"/>
              </w:rPr>
              <m:t>Z</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ω</m:t>
            </m:r>
          </m:e>
          <m:sub>
            <m:r>
              <w:rPr>
                <w:rFonts w:ascii="Cambria Math" w:eastAsia="Times New Roman" w:hAnsi="Cambria Math" w:cstheme="minorHAnsi"/>
                <w:sz w:val="24"/>
                <w:szCs w:val="24"/>
              </w:rPr>
              <m:t>i</m:t>
            </m:r>
          </m:sub>
        </m:sSub>
      </m:oMath>
      <w:r w:rsidRPr="00A61332">
        <w:rPr>
          <w:rFonts w:eastAsia="Times New Roman" w:cstheme="minorHAnsi"/>
          <w:bCs/>
          <w:sz w:val="24"/>
          <w:szCs w:val="24"/>
        </w:rPr>
        <w:t xml:space="preserve">, and variance with dispersion parameter </w:t>
      </w:r>
      <m:oMath>
        <m:r>
          <w:rPr>
            <w:rFonts w:ascii="Cambria Math" w:eastAsia="Times New Roman" w:hAnsi="Cambria Math" w:cstheme="minorHAnsi"/>
            <w:sz w:val="24"/>
            <w:szCs w:val="24"/>
          </w:rPr>
          <m:t>θ</m:t>
        </m:r>
      </m:oMath>
      <w:r w:rsidRPr="00A61332">
        <w:rPr>
          <w:rFonts w:eastAsia="Times New Roman" w:cstheme="minorHAnsi"/>
          <w:bCs/>
          <w:sz w:val="24"/>
          <w:szCs w:val="24"/>
        </w:rPr>
        <w:t xml:space="preserve">, </w:t>
      </w:r>
      <m:oMath>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μ</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m:t>
        </m:r>
        <m:sSub>
          <m:sSubPr>
            <m:ctrlPr>
              <w:rPr>
                <w:rFonts w:ascii="Cambria Math" w:eastAsia="Times New Roman" w:hAnsi="Cambria Math" w:cstheme="minorHAnsi"/>
                <w:bCs/>
                <w:i/>
                <w:sz w:val="24"/>
                <w:szCs w:val="24"/>
              </w:rPr>
            </m:ctrlPr>
          </m:sSubPr>
          <m:e>
            <m:r>
              <m:rPr>
                <m:sty m:val="bi"/>
              </m:rPr>
              <w:rPr>
                <w:rFonts w:ascii="Cambria Math" w:eastAsia="Times New Roman" w:hAnsi="Cambria Math" w:cstheme="minorHAnsi"/>
                <w:sz w:val="24"/>
                <w:szCs w:val="24"/>
              </w:rPr>
              <m:t>Z</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ω</m:t>
            </m:r>
          </m:e>
          <m:sub>
            <m:r>
              <w:rPr>
                <w:rFonts w:ascii="Cambria Math" w:eastAsia="Times New Roman" w:hAnsi="Cambria Math" w:cstheme="minorHAnsi"/>
                <w:sz w:val="24"/>
                <w:szCs w:val="24"/>
              </w:rPr>
              <m:t>i</m:t>
            </m:r>
          </m:sub>
        </m:sSub>
        <m:r>
          <w:rPr>
            <w:rFonts w:ascii="Cambria Math" w:eastAsia="Times New Roman" w:hAnsi="Cambria Math" w:cstheme="minorHAnsi"/>
            <w:sz w:val="24"/>
            <w:szCs w:val="24"/>
          </w:rPr>
          <m:t xml:space="preserve"> </m:t>
        </m:r>
        <m:d>
          <m:dPr>
            <m:ctrlPr>
              <w:rPr>
                <w:rFonts w:ascii="Cambria Math" w:eastAsia="Times New Roman" w:hAnsi="Cambria Math" w:cstheme="minorHAnsi"/>
                <w:bCs/>
                <w:i/>
                <w:sz w:val="24"/>
                <w:szCs w:val="24"/>
              </w:rPr>
            </m:ctrlPr>
          </m:dPr>
          <m:e>
            <m:r>
              <w:rPr>
                <w:rFonts w:ascii="Cambria Math" w:eastAsia="Times New Roman" w:hAnsi="Cambria Math" w:cstheme="minorHAnsi"/>
                <w:sz w:val="24"/>
                <w:szCs w:val="24"/>
              </w:rPr>
              <m:t>1+ θ</m:t>
            </m:r>
          </m:e>
        </m:d>
      </m:oMath>
      <w:r w:rsidRPr="00A61332">
        <w:rPr>
          <w:rFonts w:eastAsia="Times New Roman" w:cstheme="minorHAnsi"/>
          <w:bCs/>
          <w:sz w:val="24"/>
          <w:szCs w:val="24"/>
        </w:rPr>
        <w:t xml:space="preserve">. </w:t>
      </w:r>
      <m:oMath>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M</m:t>
            </m:r>
          </m:e>
          <m:sub>
            <m:r>
              <w:rPr>
                <w:rFonts w:ascii="Cambria Math" w:eastAsia="Times New Roman" w:hAnsi="Cambria Math" w:cstheme="minorHAnsi"/>
                <w:sz w:val="24"/>
                <w:szCs w:val="24"/>
              </w:rPr>
              <m:t>ij</m:t>
            </m:r>
          </m:sub>
        </m:sSub>
      </m:oMath>
      <w:r w:rsidRPr="00A61332">
        <w:rPr>
          <w:rFonts w:eastAsia="Times New Roman" w:cstheme="minorHAnsi"/>
          <w:bCs/>
          <w:sz w:val="24"/>
          <w:szCs w:val="24"/>
        </w:rPr>
        <w:t xml:space="preserve"> denotes the person-years of risk exposure for the</w:t>
      </w:r>
      <w:r w:rsidRPr="00A61332">
        <w:rPr>
          <w:rFonts w:eastAsia="Times New Roman" w:cstheme="minorHAnsi"/>
          <w:bCs/>
          <w:i/>
          <w:sz w:val="24"/>
          <w:szCs w:val="24"/>
        </w:rPr>
        <w:t xml:space="preserve"> j-</w:t>
      </w:r>
      <w:proofErr w:type="spellStart"/>
      <w:r w:rsidRPr="00A61332">
        <w:rPr>
          <w:rFonts w:eastAsia="Times New Roman" w:cstheme="minorHAnsi"/>
          <w:bCs/>
          <w:i/>
          <w:sz w:val="24"/>
          <w:szCs w:val="24"/>
        </w:rPr>
        <w:t>th</w:t>
      </w:r>
      <w:proofErr w:type="spellEnd"/>
      <w:r w:rsidRPr="00A61332">
        <w:rPr>
          <w:rFonts w:eastAsia="Times New Roman" w:cstheme="minorHAnsi"/>
          <w:bCs/>
          <w:i/>
          <w:sz w:val="24"/>
          <w:szCs w:val="24"/>
        </w:rPr>
        <w:t xml:space="preserve"> </w:t>
      </w:r>
      <w:r w:rsidRPr="00A61332">
        <w:rPr>
          <w:rFonts w:eastAsia="Times New Roman" w:cstheme="minorHAnsi"/>
          <w:bCs/>
          <w:sz w:val="24"/>
          <w:szCs w:val="24"/>
        </w:rPr>
        <w:t xml:space="preserve">patient attributed to the </w:t>
      </w:r>
      <w:proofErr w:type="spellStart"/>
      <w:r w:rsidRPr="00A61332">
        <w:rPr>
          <w:rFonts w:eastAsia="Times New Roman" w:cstheme="minorHAnsi"/>
          <w:bCs/>
          <w:i/>
          <w:sz w:val="24"/>
          <w:szCs w:val="24"/>
        </w:rPr>
        <w:t>i-th</w:t>
      </w:r>
      <w:proofErr w:type="spellEnd"/>
      <w:r w:rsidRPr="00A61332">
        <w:rPr>
          <w:rFonts w:eastAsia="Times New Roman" w:cstheme="minorHAnsi"/>
          <w:bCs/>
          <w:i/>
          <w:sz w:val="24"/>
          <w:szCs w:val="24"/>
        </w:rPr>
        <w:t xml:space="preserve"> </w:t>
      </w:r>
      <w:r w:rsidR="009A7567">
        <w:rPr>
          <w:rFonts w:eastAsia="Times New Roman" w:cstheme="minorHAnsi"/>
          <w:bCs/>
          <w:sz w:val="24"/>
          <w:szCs w:val="24"/>
        </w:rPr>
        <w:t>MIPS clinician</w:t>
      </w:r>
      <w:r w:rsidRPr="00A61332">
        <w:rPr>
          <w:rFonts w:eastAsia="Times New Roman" w:cstheme="minorHAnsi"/>
          <w:bCs/>
          <w:sz w:val="24"/>
          <w:szCs w:val="24"/>
        </w:rPr>
        <w:t>. Given this, we re-write Equation (1) as:</w:t>
      </w:r>
    </w:p>
    <w:p w14:paraId="0B89DF2C"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bCs/>
          <w:sz w:val="24"/>
          <w:szCs w:val="24"/>
        </w:rPr>
      </w:pPr>
    </w:p>
    <w:p w14:paraId="43435880" w14:textId="77777777" w:rsidR="00A61332" w:rsidRPr="00A61332" w:rsidRDefault="006A5297"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sz w:val="24"/>
          <w:szCs w:val="24"/>
        </w:rPr>
      </w:pPr>
      <m:oMathPara>
        <m:oMath>
          <m:func>
            <m:funcPr>
              <m:ctrlPr>
                <w:rPr>
                  <w:rFonts w:ascii="Cambria Math" w:eastAsia="MS Mincho" w:hAnsi="Cambria Math" w:cstheme="minorHAnsi"/>
                  <w:sz w:val="24"/>
                  <w:szCs w:val="24"/>
                </w:rPr>
              </m:ctrlPr>
            </m:funcPr>
            <m:fName>
              <m:r>
                <m:rPr>
                  <m:sty m:val="p"/>
                </m:rPr>
                <w:rPr>
                  <w:rFonts w:ascii="Cambria Math" w:eastAsia="MS Mincho" w:hAnsi="Cambria Math" w:cstheme="minorHAnsi"/>
                  <w:sz w:val="24"/>
                  <w:szCs w:val="24"/>
                </w:rPr>
                <m:t>log</m:t>
              </m:r>
            </m:fName>
            <m:e>
              <m:d>
                <m:dPr>
                  <m:ctrlPr>
                    <w:rPr>
                      <w:rFonts w:ascii="Cambria Math" w:eastAsia="MS Mincho" w:hAnsi="Cambria Math" w:cstheme="minorHAnsi"/>
                      <w:i/>
                      <w:sz w:val="24"/>
                      <w:szCs w:val="24"/>
                    </w:rPr>
                  </m:ctrlPr>
                </m:dPr>
                <m:e>
                  <m:r>
                    <w:rPr>
                      <w:rFonts w:ascii="Cambria Math" w:eastAsia="MS Mincho" w:hAnsi="Cambria Math" w:cstheme="minorHAnsi"/>
                      <w:sz w:val="24"/>
                      <w:szCs w:val="24"/>
                    </w:rPr>
                    <m:t>E(</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N</m:t>
                      </m:r>
                    </m:e>
                    <m:sub>
                      <m:r>
                        <w:rPr>
                          <w:rFonts w:ascii="Cambria Math" w:eastAsia="Calibri" w:hAnsi="Cambria Math" w:cstheme="minorHAnsi"/>
                          <w:sz w:val="24"/>
                          <w:szCs w:val="24"/>
                        </w:rPr>
                        <m:t>ij</m:t>
                      </m:r>
                    </m:sub>
                  </m:sSub>
                </m:e>
                <m:e>
                  <m:sSub>
                    <m:sSubPr>
                      <m:ctrlPr>
                        <w:rPr>
                          <w:rFonts w:ascii="Cambria Math" w:eastAsia="Calibri" w:hAnsi="Cambria Math" w:cstheme="minorHAnsi"/>
                          <w:i/>
                          <w:sz w:val="24"/>
                          <w:szCs w:val="24"/>
                        </w:rPr>
                      </m:ctrlPr>
                    </m:sSubPr>
                    <m:e>
                      <m:r>
                        <m:rPr>
                          <m:sty m:val="bi"/>
                        </m:rPr>
                        <w:rPr>
                          <w:rFonts w:ascii="Cambria Math" w:eastAsia="Calibri" w:hAnsi="Cambria Math" w:cstheme="minorHAnsi"/>
                          <w:sz w:val="24"/>
                          <w:szCs w:val="24"/>
                        </w:rPr>
                        <m:t>Z</m:t>
                      </m:r>
                    </m:e>
                    <m:sub>
                      <m:r>
                        <w:rPr>
                          <w:rFonts w:ascii="Cambria Math" w:eastAsia="Calibri" w:hAnsi="Cambria Math" w:cstheme="minorHAnsi"/>
                          <w:sz w:val="24"/>
                          <w:szCs w:val="24"/>
                        </w:rPr>
                        <m:t>ij</m:t>
                      </m:r>
                    </m:sub>
                  </m:sSub>
                  <m:r>
                    <w:rPr>
                      <w:rFonts w:ascii="Cambria Math" w:eastAsia="Calibri" w:hAnsi="Cambria Math" w:cstheme="minorHAnsi"/>
                      <w:sz w:val="24"/>
                      <w:szCs w:val="24"/>
                    </w:rPr>
                    <m:t xml:space="preserve">, </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ω</m:t>
                      </m:r>
                    </m:e>
                    <m:sub>
                      <m:r>
                        <w:rPr>
                          <w:rFonts w:ascii="Cambria Math" w:eastAsia="Calibri" w:hAnsi="Cambria Math" w:cstheme="minorHAnsi"/>
                          <w:sz w:val="24"/>
                          <w:szCs w:val="24"/>
                        </w:rPr>
                        <m:t>i</m:t>
                      </m:r>
                    </m:sub>
                  </m:sSub>
                  <m:r>
                    <w:rPr>
                      <w:rFonts w:ascii="Cambria Math" w:eastAsia="Calibri" w:hAnsi="Cambria Math" w:cstheme="minorHAnsi"/>
                      <w:sz w:val="24"/>
                      <w:szCs w:val="24"/>
                    </w:rPr>
                    <m:t>)</m:t>
                  </m:r>
                </m:e>
              </m:d>
            </m:e>
          </m:func>
          <m:r>
            <w:rPr>
              <w:rFonts w:ascii="Cambria Math" w:eastAsia="MS Mincho" w:hAnsi="Cambria Math" w:cstheme="minorHAnsi"/>
              <w:sz w:val="24"/>
              <w:szCs w:val="24"/>
            </w:rPr>
            <m:t>=</m:t>
          </m:r>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α</m:t>
              </m:r>
            </m:e>
            <m:sub>
              <m:r>
                <w:rPr>
                  <w:rFonts w:ascii="Cambria Math" w:eastAsia="Calibri" w:hAnsi="Cambria Math" w:cstheme="minorHAnsi"/>
                  <w:sz w:val="24"/>
                  <w:szCs w:val="24"/>
                </w:rPr>
                <m:t>i</m:t>
              </m:r>
            </m:sub>
          </m:sSub>
          <m:r>
            <w:rPr>
              <w:rFonts w:ascii="Cambria Math" w:eastAsia="Calibri" w:hAnsi="Cambria Math" w:cstheme="minorHAnsi"/>
              <w:sz w:val="24"/>
              <w:szCs w:val="24"/>
            </w:rPr>
            <m:t>+</m:t>
          </m:r>
          <m:r>
            <m:rPr>
              <m:sty m:val="bi"/>
            </m:rPr>
            <w:rPr>
              <w:rFonts w:ascii="Cambria Math" w:eastAsia="MS Mincho" w:hAnsi="Cambria Math" w:cstheme="minorHAnsi"/>
              <w:sz w:val="24"/>
              <w:szCs w:val="24"/>
            </w:rPr>
            <m:t>β</m:t>
          </m:r>
          <m:sSub>
            <m:sSubPr>
              <m:ctrlPr>
                <w:rPr>
                  <w:rFonts w:ascii="Cambria Math" w:eastAsia="Calibri" w:hAnsi="Cambria Math" w:cstheme="minorHAnsi"/>
                  <w:i/>
                  <w:sz w:val="24"/>
                  <w:szCs w:val="24"/>
                </w:rPr>
              </m:ctrlPr>
            </m:sSubPr>
            <m:e>
              <m:r>
                <m:rPr>
                  <m:sty m:val="bi"/>
                </m:rPr>
                <w:rPr>
                  <w:rFonts w:ascii="Cambria Math" w:eastAsia="Calibri" w:hAnsi="Cambria Math" w:cstheme="minorHAnsi"/>
                  <w:sz w:val="24"/>
                  <w:szCs w:val="24"/>
                </w:rPr>
                <m:t>Z</m:t>
              </m:r>
            </m:e>
            <m:sub>
              <m:r>
                <w:rPr>
                  <w:rFonts w:ascii="Cambria Math" w:eastAsia="Calibri" w:hAnsi="Cambria Math" w:cstheme="minorHAnsi"/>
                  <w:sz w:val="24"/>
                  <w:szCs w:val="24"/>
                </w:rPr>
                <m:t>ij</m:t>
              </m:r>
            </m:sub>
          </m:sSub>
          <m:r>
            <m:rPr>
              <m:sty m:val="p"/>
            </m:rPr>
            <w:rPr>
              <w:rFonts w:ascii="Cambria Math" w:eastAsia="Calibri" w:hAnsi="Cambria Math" w:cstheme="minorHAnsi"/>
              <w:sz w:val="24"/>
              <w:szCs w:val="24"/>
            </w:rPr>
            <m:t>+</m:t>
          </m:r>
          <m:func>
            <m:funcPr>
              <m:ctrlPr>
                <w:rPr>
                  <w:rFonts w:ascii="Cambria Math" w:eastAsia="Calibri" w:hAnsi="Cambria Math" w:cstheme="minorHAnsi"/>
                  <w:i/>
                  <w:sz w:val="24"/>
                  <w:szCs w:val="24"/>
                </w:rPr>
              </m:ctrlPr>
            </m:funcPr>
            <m:fName>
              <m:r>
                <m:rPr>
                  <m:sty m:val="p"/>
                </m:rPr>
                <w:rPr>
                  <w:rFonts w:ascii="Cambria Math" w:eastAsia="Calibri" w:hAnsi="Cambria Math" w:cstheme="minorHAnsi"/>
                  <w:sz w:val="24"/>
                  <w:szCs w:val="24"/>
                </w:rPr>
                <m:t>log</m:t>
              </m:r>
            </m:fName>
            <m:e>
              <m:d>
                <m:dPr>
                  <m:ctrlPr>
                    <w:rPr>
                      <w:rFonts w:ascii="Cambria Math" w:eastAsia="Calibri" w:hAnsi="Cambria Math" w:cstheme="minorHAnsi"/>
                      <w:i/>
                      <w:sz w:val="24"/>
                      <w:szCs w:val="24"/>
                    </w:rPr>
                  </m:ctrlPr>
                </m:dPr>
                <m:e>
                  <m:sSub>
                    <m:sSubPr>
                      <m:ctrlPr>
                        <w:rPr>
                          <w:rFonts w:ascii="Cambria Math" w:eastAsia="Calibri" w:hAnsi="Cambria Math" w:cstheme="minorHAnsi"/>
                          <w:i/>
                          <w:sz w:val="24"/>
                          <w:szCs w:val="24"/>
                        </w:rPr>
                      </m:ctrlPr>
                    </m:sSubPr>
                    <m:e>
                      <m:r>
                        <w:rPr>
                          <w:rFonts w:ascii="Cambria Math" w:eastAsia="Calibri" w:hAnsi="Cambria Math" w:cstheme="minorHAnsi"/>
                          <w:sz w:val="24"/>
                          <w:szCs w:val="24"/>
                        </w:rPr>
                        <m:t>M</m:t>
                      </m:r>
                    </m:e>
                    <m:sub>
                      <m:r>
                        <w:rPr>
                          <w:rFonts w:ascii="Cambria Math" w:eastAsia="Calibri" w:hAnsi="Cambria Math" w:cstheme="minorHAnsi"/>
                          <w:sz w:val="24"/>
                          <w:szCs w:val="24"/>
                        </w:rPr>
                        <m:t>ij</m:t>
                      </m:r>
                    </m:sub>
                  </m:sSub>
                </m:e>
              </m:d>
            </m:e>
          </m:func>
          <m:r>
            <w:rPr>
              <w:rFonts w:ascii="Cambria Math" w:eastAsia="Calibri" w:hAnsi="Cambria Math" w:cstheme="minorHAnsi"/>
              <w:sz w:val="24"/>
              <w:szCs w:val="24"/>
            </w:rPr>
            <m:t xml:space="preserve">               (2)</m:t>
          </m:r>
        </m:oMath>
      </m:oMathPara>
    </w:p>
    <w:p w14:paraId="09A70537"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sz w:val="24"/>
          <w:szCs w:val="24"/>
        </w:rPr>
      </w:pPr>
    </w:p>
    <w:p w14:paraId="677FB2DE"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bCs/>
          <w:sz w:val="24"/>
          <w:szCs w:val="24"/>
        </w:rPr>
      </w:pPr>
      <w:r w:rsidRPr="00A61332">
        <w:rPr>
          <w:rFonts w:eastAsia="Times New Roman" w:cstheme="minorHAnsi"/>
          <w:bCs/>
          <w:i/>
          <w:sz w:val="24"/>
          <w:szCs w:val="24"/>
        </w:rPr>
        <w:t>where</w:t>
      </w:r>
      <w:r w:rsidRPr="00A61332">
        <w:rPr>
          <w:rFonts w:eastAsia="Times New Roman" w:cstheme="minorHAnsi"/>
          <w:bCs/>
          <w:sz w:val="24"/>
          <w:szCs w:val="24"/>
        </w:rPr>
        <w:t xml:space="preserve"> </w:t>
      </w:r>
      <m:oMath>
        <m:r>
          <m:rPr>
            <m:sty m:val="p"/>
          </m:rPr>
          <w:rPr>
            <w:rFonts w:ascii="Cambria Math" w:eastAsia="Times New Roman" w:hAnsi="Cambria Math" w:cstheme="minorHAnsi"/>
            <w:sz w:val="24"/>
            <w:szCs w:val="24"/>
          </w:rPr>
          <m:t>log⁡</m:t>
        </m:r>
        <m:r>
          <w:rPr>
            <w:rFonts w:ascii="Cambria Math" w:eastAsia="Times New Roman" w:hAnsi="Cambria Math" w:cstheme="minorHAnsi"/>
            <w:sz w:val="24"/>
            <w:szCs w:val="24"/>
          </w:rPr>
          <m:t>(</m:t>
        </m:r>
        <m:sSub>
          <m:sSubPr>
            <m:ctrlPr>
              <w:rPr>
                <w:rFonts w:ascii="Cambria Math" w:eastAsia="Times New Roman" w:hAnsi="Cambria Math" w:cstheme="minorHAnsi"/>
                <w:bCs/>
                <w:i/>
                <w:sz w:val="24"/>
                <w:szCs w:val="24"/>
              </w:rPr>
            </m:ctrlPr>
          </m:sSubPr>
          <m:e>
            <m:r>
              <w:rPr>
                <w:rFonts w:ascii="Cambria Math" w:eastAsia="Times New Roman" w:hAnsi="Cambria Math" w:cstheme="minorHAnsi"/>
                <w:sz w:val="24"/>
                <w:szCs w:val="24"/>
              </w:rPr>
              <m:t>M</m:t>
            </m:r>
          </m:e>
          <m:sub>
            <m:r>
              <w:rPr>
                <w:rFonts w:ascii="Cambria Math" w:eastAsia="Times New Roman" w:hAnsi="Cambria Math" w:cstheme="minorHAnsi"/>
                <w:sz w:val="24"/>
                <w:szCs w:val="24"/>
              </w:rPr>
              <m:t>ij</m:t>
            </m:r>
          </m:sub>
        </m:sSub>
        <m:r>
          <w:rPr>
            <w:rFonts w:ascii="Cambria Math" w:eastAsia="Times New Roman" w:hAnsi="Cambria Math" w:cstheme="minorHAnsi"/>
            <w:sz w:val="24"/>
            <w:szCs w:val="24"/>
          </w:rPr>
          <m:t>)</m:t>
        </m:r>
      </m:oMath>
      <w:r w:rsidRPr="00A61332">
        <w:rPr>
          <w:rFonts w:eastAsia="Times New Roman" w:cstheme="minorHAnsi"/>
          <w:bCs/>
          <w:sz w:val="24"/>
          <w:szCs w:val="24"/>
        </w:rPr>
        <w:t xml:space="preserve"> becomes the offset used to correct for the time at risk.</w:t>
      </w:r>
    </w:p>
    <w:p w14:paraId="28FDEF14" w14:textId="77777777" w:rsidR="00A61332" w:rsidRPr="00A61332" w:rsidRDefault="00A61332" w:rsidP="00A61332">
      <w:pPr>
        <w:pBdr>
          <w:top w:val="single" w:sz="4" w:space="1" w:color="auto"/>
          <w:left w:val="single" w:sz="4" w:space="1" w:color="auto"/>
          <w:bottom w:val="single" w:sz="4" w:space="1" w:color="auto"/>
          <w:right w:val="single" w:sz="4" w:space="1" w:color="auto"/>
        </w:pBdr>
        <w:spacing w:after="0" w:line="240" w:lineRule="auto"/>
        <w:rPr>
          <w:rFonts w:eastAsia="Times New Roman" w:cstheme="minorHAnsi"/>
          <w:bCs/>
          <w:sz w:val="24"/>
          <w:szCs w:val="24"/>
        </w:rPr>
      </w:pPr>
      <w:r w:rsidRPr="00A61332">
        <w:rPr>
          <w:rFonts w:eastAsia="Times New Roman" w:cstheme="minorHAnsi"/>
          <w:bCs/>
          <w:sz w:val="24"/>
          <w:szCs w:val="24"/>
        </w:rPr>
        <w:t>We estimate the HGLM using Stata version 15 (</w:t>
      </w:r>
      <w:proofErr w:type="spellStart"/>
      <w:r w:rsidRPr="00A61332">
        <w:rPr>
          <w:rFonts w:eastAsia="Times New Roman" w:cstheme="minorHAnsi"/>
          <w:bCs/>
          <w:sz w:val="24"/>
          <w:szCs w:val="24"/>
        </w:rPr>
        <w:t>StataCorp</w:t>
      </w:r>
      <w:proofErr w:type="spellEnd"/>
      <w:r w:rsidRPr="00A61332">
        <w:rPr>
          <w:rFonts w:eastAsia="Times New Roman" w:cstheme="minorHAnsi"/>
          <w:bCs/>
          <w:sz w:val="24"/>
          <w:szCs w:val="24"/>
        </w:rPr>
        <w:t>, College Station, TX) (MENBREG function).</w:t>
      </w:r>
    </w:p>
    <w:p w14:paraId="7142E2FA" w14:textId="30C9927B" w:rsidR="5645140E" w:rsidRDefault="5645140E" w:rsidP="5645140E">
      <w:pPr>
        <w:rPr>
          <w:rFonts w:ascii="Calibri" w:eastAsia="Calibri" w:hAnsi="Calibri" w:cs="Calibri"/>
          <w:color w:val="333333"/>
        </w:rPr>
      </w:pPr>
    </w:p>
    <w:p w14:paraId="7DC75A37" w14:textId="1500BB79" w:rsidR="4B07523E" w:rsidRDefault="4B07523E" w:rsidP="5645140E">
      <w:pPr>
        <w:spacing w:after="0" w:line="240" w:lineRule="auto"/>
        <w:rPr>
          <w:rFonts w:cs="Calibri"/>
        </w:rPr>
      </w:pPr>
      <w:r w:rsidRPr="5645140E">
        <w:rPr>
          <w:rFonts w:cs="Calibri"/>
        </w:rPr>
        <w:t>The final patient-level risk-adjustment model included 30 risk-adjustment variables, including 29 demographic and clinical variables and one social risk factor. We used a negative binomial regression model with linear variance (NB-1) to risk adjust the measure.</w:t>
      </w:r>
    </w:p>
    <w:p w14:paraId="29E21F1C" w14:textId="62D03E3A" w:rsidR="00202D75" w:rsidRDefault="00202D75" w:rsidP="00202D75">
      <w:pPr>
        <w:pBdr>
          <w:top w:val="single" w:sz="4" w:space="1" w:color="auto"/>
          <w:left w:val="single" w:sz="4" w:space="1" w:color="auto"/>
          <w:bottom w:val="single" w:sz="4" w:space="1" w:color="auto"/>
          <w:right w:val="single" w:sz="4" w:space="1" w:color="auto"/>
        </w:pBdr>
        <w:spacing w:after="0" w:line="240" w:lineRule="auto"/>
        <w:rPr>
          <w:rFonts w:cs="Calibri"/>
          <w:bCs/>
        </w:rPr>
      </w:pPr>
    </w:p>
    <w:p w14:paraId="69F014BA" w14:textId="2A30C3ED" w:rsid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Pr>
          <w:rFonts w:cs="Calibri"/>
          <w:bCs/>
        </w:rPr>
        <w:t>Age</w:t>
      </w:r>
    </w:p>
    <w:p w14:paraId="23683648"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Advanced cancer</w:t>
      </w:r>
    </w:p>
    <w:p w14:paraId="6FF73003"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Advanced cardiopulmonary failure</w:t>
      </w:r>
    </w:p>
    <w:p w14:paraId="78F9C458"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Arrhythmia</w:t>
      </w:r>
    </w:p>
    <w:p w14:paraId="20EE5B7B"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Diabetes and metabolic conditions</w:t>
      </w:r>
    </w:p>
    <w:p w14:paraId="73384CBB" w14:textId="65C30B0C"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Pr>
          <w:rFonts w:cs="Calibri"/>
          <w:bCs/>
        </w:rPr>
        <w:t>Heart rhythm and conduction d</w:t>
      </w:r>
      <w:r w:rsidRPr="00202D75">
        <w:rPr>
          <w:rFonts w:cs="Calibri"/>
          <w:bCs/>
        </w:rPr>
        <w:t>isorders</w:t>
      </w:r>
    </w:p>
    <w:p w14:paraId="51E493F9"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High risk cardiovascular conditions</w:t>
      </w:r>
    </w:p>
    <w:p w14:paraId="490DA2FB"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History of coronary artery bypass graft</w:t>
      </w:r>
    </w:p>
    <w:p w14:paraId="2B3243C3"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Hospital bed</w:t>
      </w:r>
    </w:p>
    <w:p w14:paraId="425E5BBE"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Iron deficiency anemia</w:t>
      </w:r>
    </w:p>
    <w:p w14:paraId="38F261F0"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Kidney disease</w:t>
      </w:r>
    </w:p>
    <w:p w14:paraId="45A40CD4"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Liver disease</w:t>
      </w:r>
    </w:p>
    <w:p w14:paraId="418CF649"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Low risk cardiovascular conditions</w:t>
      </w:r>
    </w:p>
    <w:p w14:paraId="57D11D1E"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lastRenderedPageBreak/>
        <w:t>Marked disability/frailty</w:t>
      </w:r>
    </w:p>
    <w:p w14:paraId="0C56F67F" w14:textId="3AB14F4C"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Pr>
          <w:rFonts w:cs="Calibri"/>
          <w:bCs/>
        </w:rPr>
        <w:t>Medicare Entitlement Reason: d</w:t>
      </w:r>
      <w:r w:rsidRPr="00202D75">
        <w:rPr>
          <w:rFonts w:cs="Calibri"/>
          <w:bCs/>
        </w:rPr>
        <w:t>isability</w:t>
      </w:r>
    </w:p>
    <w:p w14:paraId="7F3B1D81"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Morbid obesity</w:t>
      </w:r>
    </w:p>
    <w:p w14:paraId="19E7E6FC"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Neurological disease</w:t>
      </w:r>
    </w:p>
    <w:p w14:paraId="7095149B" w14:textId="3F3BDF71"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Other disability and paralysi</w:t>
      </w:r>
      <w:r>
        <w:rPr>
          <w:rFonts w:cs="Calibri"/>
          <w:bCs/>
        </w:rPr>
        <w:t>s</w:t>
      </w:r>
    </w:p>
    <w:p w14:paraId="22446DF4"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Other organ transplants and implants</w:t>
      </w:r>
    </w:p>
    <w:p w14:paraId="363AF5FE"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Oxygen</w:t>
      </w:r>
    </w:p>
    <w:p w14:paraId="0EFBEEA3"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Pacemaker/cardiac resynchronization therapy/implantable cardiac device</w:t>
      </w:r>
    </w:p>
    <w:p w14:paraId="71FEA320"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Psychiatric disorders</w:t>
      </w:r>
    </w:p>
    <w:p w14:paraId="50C50081"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Pulmonary disease</w:t>
      </w:r>
    </w:p>
    <w:p w14:paraId="30B134B3"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Structural heart disease</w:t>
      </w:r>
    </w:p>
    <w:p w14:paraId="193F76B8"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Substance abuse</w:t>
      </w:r>
    </w:p>
    <w:p w14:paraId="32BA3375"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Systolic HF</w:t>
      </w:r>
    </w:p>
    <w:p w14:paraId="2C54D557" w14:textId="77777777"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Urinary disorders</w:t>
      </w:r>
    </w:p>
    <w:p w14:paraId="4D89292C" w14:textId="159E1518"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Pr>
          <w:rFonts w:cs="Calibri"/>
          <w:bCs/>
        </w:rPr>
        <w:t>Ventricular tachycardia/v</w:t>
      </w:r>
      <w:r w:rsidRPr="00202D75">
        <w:rPr>
          <w:rFonts w:cs="Calibri"/>
          <w:bCs/>
        </w:rPr>
        <w:t>entri</w:t>
      </w:r>
      <w:r>
        <w:rPr>
          <w:rFonts w:cs="Calibri"/>
          <w:bCs/>
        </w:rPr>
        <w:t>cular f</w:t>
      </w:r>
      <w:r w:rsidRPr="00202D75">
        <w:rPr>
          <w:rFonts w:cs="Calibri"/>
          <w:bCs/>
        </w:rPr>
        <w:t>ibrillation</w:t>
      </w:r>
    </w:p>
    <w:p w14:paraId="2BD9128C" w14:textId="0D12E42F" w:rsid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sidRPr="00202D75">
        <w:rPr>
          <w:rFonts w:cs="Calibri"/>
          <w:bCs/>
        </w:rPr>
        <w:t>Wheelchairs</w:t>
      </w:r>
    </w:p>
    <w:p w14:paraId="28C89805" w14:textId="72181E54" w:rsidR="00202D75" w:rsidRPr="00202D75" w:rsidRDefault="00202D75" w:rsidP="00202D75">
      <w:pPr>
        <w:pStyle w:val="ListParagraph"/>
        <w:numPr>
          <w:ilvl w:val="0"/>
          <w:numId w:val="42"/>
        </w:numPr>
        <w:pBdr>
          <w:top w:val="single" w:sz="4" w:space="1" w:color="auto"/>
          <w:left w:val="single" w:sz="4" w:space="1" w:color="auto"/>
          <w:bottom w:val="single" w:sz="4" w:space="1" w:color="auto"/>
          <w:right w:val="single" w:sz="4" w:space="1" w:color="auto"/>
        </w:pBdr>
        <w:spacing w:after="0" w:line="240" w:lineRule="auto"/>
        <w:ind w:left="360"/>
        <w:rPr>
          <w:rFonts w:cs="Calibri"/>
          <w:bCs/>
        </w:rPr>
      </w:pPr>
      <w:r>
        <w:rPr>
          <w:rFonts w:cs="Calibri"/>
          <w:bCs/>
        </w:rPr>
        <w:t xml:space="preserve">Low socioeconomic status (AHRQ SES Index Score </w:t>
      </w:r>
      <w:r>
        <w:rPr>
          <w:rFonts w:cs="Calibri"/>
          <w:bCs/>
          <w:u w:val="single"/>
        </w:rPr>
        <w:t>&lt;</w:t>
      </w:r>
      <w:r>
        <w:rPr>
          <w:rFonts w:cs="Calibri"/>
          <w:bCs/>
        </w:rPr>
        <w:t>25%)</w:t>
      </w:r>
    </w:p>
    <w:p w14:paraId="6FBF6829" w14:textId="665021A4" w:rsidR="00202D75" w:rsidRDefault="00202D75" w:rsidP="00251F70">
      <w:pPr>
        <w:pBdr>
          <w:top w:val="single" w:sz="4" w:space="1" w:color="auto"/>
          <w:left w:val="single" w:sz="4" w:space="1" w:color="auto"/>
          <w:bottom w:val="single" w:sz="4" w:space="1" w:color="auto"/>
          <w:right w:val="single" w:sz="4" w:space="1" w:color="auto"/>
        </w:pBdr>
        <w:spacing w:after="0"/>
        <w:rPr>
          <w:rFonts w:cs="Calibri"/>
          <w:bCs/>
        </w:rPr>
      </w:pPr>
    </w:p>
    <w:p w14:paraId="506C0079" w14:textId="07589C21" w:rsidR="00251F70" w:rsidRDefault="00251F70" w:rsidP="00251F70">
      <w:pPr>
        <w:pBdr>
          <w:top w:val="single" w:sz="4" w:space="1" w:color="auto"/>
          <w:left w:val="single" w:sz="4" w:space="1" w:color="auto"/>
          <w:bottom w:val="single" w:sz="4" w:space="1" w:color="auto"/>
          <w:right w:val="single" w:sz="4" w:space="1" w:color="auto"/>
        </w:pBdr>
        <w:spacing w:after="0"/>
        <w:rPr>
          <w:rFonts w:cs="Calibri"/>
          <w:bCs/>
        </w:rPr>
      </w:pPr>
      <w:r>
        <w:rPr>
          <w:rFonts w:cs="Calibri"/>
          <w:bCs/>
        </w:rPr>
        <w:t>See</w:t>
      </w:r>
      <w:r w:rsidR="000E6750">
        <w:rPr>
          <w:rFonts w:cs="Calibri"/>
          <w:bCs/>
        </w:rPr>
        <w:t xml:space="preserve"> </w:t>
      </w:r>
      <w:r w:rsidR="00202D75">
        <w:rPr>
          <w:rFonts w:cs="Calibri"/>
          <w:bCs/>
        </w:rPr>
        <w:t>data dictionary</w:t>
      </w:r>
      <w:r w:rsidR="000E6750">
        <w:rPr>
          <w:rFonts w:cs="Calibri"/>
          <w:bCs/>
        </w:rPr>
        <w:t xml:space="preserve"> </w:t>
      </w:r>
      <w:r w:rsidR="00EA3DDC">
        <w:rPr>
          <w:rFonts w:cs="Calibri"/>
          <w:bCs/>
        </w:rPr>
        <w:t>for</w:t>
      </w:r>
      <w:r>
        <w:rPr>
          <w:rFonts w:cs="Calibri"/>
          <w:bCs/>
        </w:rPr>
        <w:t xml:space="preserve"> specific codes and d</w:t>
      </w:r>
      <w:r w:rsidR="002952A2">
        <w:rPr>
          <w:rFonts w:cs="Calibri"/>
          <w:bCs/>
        </w:rPr>
        <w:t xml:space="preserve">efinitions for each risk factor, as well as risk factor frequencies and rate ratios. </w:t>
      </w:r>
    </w:p>
    <w:p w14:paraId="0A1E352E" w14:textId="77777777" w:rsidR="00AF2D68" w:rsidRDefault="00AF2D68" w:rsidP="009D3882">
      <w:pPr>
        <w:rPr>
          <w:rFonts w:cs="Calibri"/>
          <w:b/>
          <w:bCs/>
        </w:rPr>
      </w:pPr>
    </w:p>
    <w:p w14:paraId="0CABCFF4" w14:textId="4B912A0E" w:rsid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251F70">
        <w:rPr>
          <w:rFonts w:cs="Calibri"/>
          <w:bCs/>
        </w:rPr>
        <w:t xml:space="preserve">. </w:t>
      </w:r>
    </w:p>
    <w:p w14:paraId="27E8EF07" w14:textId="77777777" w:rsidR="00251F70" w:rsidRDefault="00251F70" w:rsidP="00251F7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Not applicable, this measure is risk-adjusted.</w:t>
      </w:r>
    </w:p>
    <w:p w14:paraId="50481C77" w14:textId="77777777" w:rsidR="00251F70" w:rsidRPr="009D3882" w:rsidRDefault="00251F70" w:rsidP="009D3882">
      <w:pPr>
        <w:rPr>
          <w:rFonts w:cstheme="minorHAnsi"/>
          <w:b/>
          <w:bCs/>
          <w:sz w:val="14"/>
        </w:rPr>
      </w:pPr>
    </w:p>
    <w:p w14:paraId="3937309F" w14:textId="77777777" w:rsidR="00C129BE" w:rsidRDefault="009C7513"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60034149" w14:textId="19D6F523"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4C3F21">
        <w:rPr>
          <w:rFonts w:cs="Calibri"/>
          <w:bCs/>
        </w:rPr>
        <w:t>The approach to risk adjustment was tailored to and appropriate for a publicly reported outcome measure, as articulated in the American Heart Association (AHA) Scientific Statement, “Standards for Statistical Models Used for Publi</w:t>
      </w:r>
      <w:r>
        <w:rPr>
          <w:rFonts w:cs="Calibri"/>
          <w:bCs/>
        </w:rPr>
        <w:t>c Reporting of Health Outcomes” [1]</w:t>
      </w:r>
      <w:r w:rsidR="00D07561">
        <w:rPr>
          <w:rFonts w:cs="Calibri"/>
          <w:bCs/>
        </w:rPr>
        <w:t>.</w:t>
      </w:r>
    </w:p>
    <w:p w14:paraId="0388A5EF" w14:textId="53ACD422" w:rsidR="0013763C" w:rsidRDefault="00074071"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074071">
        <w:rPr>
          <w:rFonts w:cs="Calibri"/>
          <w:bCs/>
        </w:rPr>
        <w:t xml:space="preserve">The overall goal of risk adjustment is to ensure that the measure fairly accounts for patient mix across MIPS providers. Guided by the conceptual framework described below, we identified potential candidate risk factors </w:t>
      </w:r>
      <w:proofErr w:type="gramStart"/>
      <w:r w:rsidRPr="00074071">
        <w:rPr>
          <w:rFonts w:cs="Calibri"/>
          <w:bCs/>
        </w:rPr>
        <w:t>through:</w:t>
      </w:r>
      <w:proofErr w:type="gramEnd"/>
      <w:r w:rsidRPr="00074071">
        <w:rPr>
          <w:rFonts w:cs="Calibri"/>
          <w:bCs/>
        </w:rPr>
        <w:t xml:space="preserve"> 1) prior work on related quality measures (specifically, the </w:t>
      </w:r>
      <w:r w:rsidR="00D07561">
        <w:rPr>
          <w:rFonts w:cs="Calibri"/>
          <w:bCs/>
        </w:rPr>
        <w:t>Multiple Chronic Conditions [</w:t>
      </w:r>
      <w:r w:rsidRPr="00074071">
        <w:rPr>
          <w:rFonts w:cs="Calibri"/>
          <w:bCs/>
        </w:rPr>
        <w:t>MCC</w:t>
      </w:r>
      <w:r w:rsidR="00D07561">
        <w:rPr>
          <w:rFonts w:cs="Calibri"/>
          <w:bCs/>
        </w:rPr>
        <w:t>]</w:t>
      </w:r>
      <w:r w:rsidRPr="00074071">
        <w:rPr>
          <w:rFonts w:cs="Calibri"/>
          <w:bCs/>
        </w:rPr>
        <w:t xml:space="preserve"> admission measure under development for the MIPS program, and the HF measure previously developed for ACOs), 2) a focused literature review, and 3) TEP, Clinician Committee, and CMS input.</w:t>
      </w:r>
    </w:p>
    <w:p w14:paraId="0341639E" w14:textId="77777777" w:rsidR="00DB754A" w:rsidRDefault="00DB754A"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p>
    <w:p w14:paraId="2C526C16" w14:textId="77777777"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Pr>
          <w:rFonts w:cs="Calibri"/>
          <w:bCs/>
          <w:u w:val="single"/>
        </w:rPr>
        <w:lastRenderedPageBreak/>
        <w:t>Conceptual Framework for Risk Adjustment</w:t>
      </w:r>
    </w:p>
    <w:p w14:paraId="401E87C0" w14:textId="692D54B5" w:rsidR="00DB754A" w:rsidRPr="00DB754A" w:rsidRDefault="00DB754A" w:rsidP="00DB754A">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B754A">
        <w:rPr>
          <w:rFonts w:cs="Calibri"/>
          <w:bCs/>
        </w:rPr>
        <w:t>Building on the conceptual framework we developed with CMS for</w:t>
      </w:r>
      <w:r w:rsidR="00074071">
        <w:rPr>
          <w:rFonts w:cs="Calibri"/>
          <w:bCs/>
        </w:rPr>
        <w:t xml:space="preserve"> the ACO HF admission measure,</w:t>
      </w:r>
      <w:r w:rsidRPr="00DB754A">
        <w:rPr>
          <w:rFonts w:cs="Calibri"/>
          <w:bCs/>
        </w:rPr>
        <w:t xml:space="preserve"> we defined and illustrated the potential relationships between different categories of risk factors and the outcome of ho</w:t>
      </w:r>
      <w:r w:rsidR="00074071">
        <w:rPr>
          <w:rFonts w:cs="Calibri"/>
          <w:bCs/>
        </w:rPr>
        <w:t>spital admissions</w:t>
      </w:r>
      <w:r w:rsidRPr="00DB754A">
        <w:rPr>
          <w:rFonts w:cs="Calibri"/>
          <w:bCs/>
        </w:rPr>
        <w:t xml:space="preserve">. This MIPS conceptual framework guided the selection of candidate risk factors. </w:t>
      </w:r>
    </w:p>
    <w:p w14:paraId="6E4AA198" w14:textId="39BF8949" w:rsidR="00DB754A" w:rsidRPr="00DB754A" w:rsidRDefault="00DB754A" w:rsidP="00DB754A">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B754A">
        <w:rPr>
          <w:rFonts w:cs="Calibri"/>
          <w:bCs/>
        </w:rPr>
        <w:t>We identified patient demographic factors and clinical variables that reflect the status of the patients at the start of the measurement year and are indepen</w:t>
      </w:r>
      <w:r w:rsidR="000E6750">
        <w:rPr>
          <w:rFonts w:cs="Calibri"/>
          <w:bCs/>
        </w:rPr>
        <w:t>dent of quality of care. Th</w:t>
      </w:r>
      <w:r w:rsidRPr="00DB754A">
        <w:rPr>
          <w:rFonts w:cs="Calibri"/>
          <w:bCs/>
        </w:rPr>
        <w:t xml:space="preserve">e potential clinical variables included </w:t>
      </w:r>
      <w:r w:rsidR="00A948D0">
        <w:rPr>
          <w:rFonts w:cs="Calibri"/>
          <w:bCs/>
        </w:rPr>
        <w:t xml:space="preserve">are </w:t>
      </w:r>
      <w:r w:rsidRPr="00DB754A">
        <w:rPr>
          <w:rFonts w:cs="Calibri"/>
          <w:bCs/>
        </w:rPr>
        <w:t xml:space="preserve">not only clinical comorbidities but </w:t>
      </w:r>
      <w:r w:rsidR="00A948D0">
        <w:rPr>
          <w:rFonts w:cs="Calibri"/>
          <w:bCs/>
        </w:rPr>
        <w:t xml:space="preserve">are </w:t>
      </w:r>
      <w:r w:rsidRPr="00DB754A">
        <w:rPr>
          <w:rFonts w:cs="Calibri"/>
          <w:bCs/>
        </w:rPr>
        <w:t>also measures of disease severity and frailty/functional status.</w:t>
      </w:r>
    </w:p>
    <w:p w14:paraId="4026440C" w14:textId="3E5FF71C" w:rsidR="00DB754A" w:rsidRPr="00DB754A" w:rsidRDefault="00DB754A" w:rsidP="00DB754A">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B754A">
        <w:rPr>
          <w:rFonts w:cs="Calibri"/>
          <w:bCs/>
        </w:rPr>
        <w:t>We also considered social risk factors that may influence patients’ risk of acute, unplanned cardiovascular admissions. There are many ways to conceptualize or categorize social risk factors. We adopted the framework of the National Academies of Sciences, Engineering, and Medicine (NASEM) comprehensive, expert report of 2017, in which they categorized social ris</w:t>
      </w:r>
      <w:r>
        <w:rPr>
          <w:rFonts w:cs="Calibri"/>
          <w:bCs/>
        </w:rPr>
        <w:t>k factors into the four domains [</w:t>
      </w:r>
      <w:r w:rsidRPr="00DB754A">
        <w:rPr>
          <w:rFonts w:cs="Calibri"/>
          <w:bCs/>
        </w:rPr>
        <w:t>2</w:t>
      </w:r>
      <w:r>
        <w:rPr>
          <w:rFonts w:cs="Calibri"/>
          <w:bCs/>
        </w:rPr>
        <w:t>]</w:t>
      </w:r>
      <w:r w:rsidR="00D07561">
        <w:rPr>
          <w:rFonts w:cs="Calibri"/>
          <w:bCs/>
        </w:rPr>
        <w:t>:</w:t>
      </w:r>
    </w:p>
    <w:p w14:paraId="170D55B5" w14:textId="77777777" w:rsidR="00DB754A" w:rsidRPr="00DB754A" w:rsidRDefault="00DB754A" w:rsidP="00DB754A">
      <w:pPr>
        <w:pStyle w:val="ListParagraph"/>
        <w:numPr>
          <w:ilvl w:val="0"/>
          <w:numId w:val="40"/>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450" w:hanging="450"/>
        <w:rPr>
          <w:rFonts w:cs="Calibri"/>
          <w:bCs/>
        </w:rPr>
      </w:pPr>
      <w:r w:rsidRPr="00DB754A">
        <w:rPr>
          <w:rFonts w:cs="Calibri"/>
          <w:bCs/>
        </w:rPr>
        <w:t xml:space="preserve">Socioeconomic </w:t>
      </w:r>
      <w:proofErr w:type="gramStart"/>
      <w:r w:rsidRPr="00DB754A">
        <w:rPr>
          <w:rFonts w:cs="Calibri"/>
          <w:bCs/>
        </w:rPr>
        <w:t>position;</w:t>
      </w:r>
      <w:proofErr w:type="gramEnd"/>
    </w:p>
    <w:p w14:paraId="759DAFF5" w14:textId="77777777" w:rsidR="00DB754A" w:rsidRPr="00DB754A" w:rsidRDefault="00DB754A" w:rsidP="00DB754A">
      <w:pPr>
        <w:pStyle w:val="ListParagraph"/>
        <w:numPr>
          <w:ilvl w:val="0"/>
          <w:numId w:val="40"/>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450" w:hanging="450"/>
        <w:rPr>
          <w:rFonts w:cs="Calibri"/>
          <w:bCs/>
        </w:rPr>
      </w:pPr>
      <w:r w:rsidRPr="00DB754A">
        <w:rPr>
          <w:rFonts w:cs="Calibri"/>
          <w:bCs/>
        </w:rPr>
        <w:t xml:space="preserve">Race, ethnicity, and cultural </w:t>
      </w:r>
      <w:proofErr w:type="gramStart"/>
      <w:r w:rsidRPr="00DB754A">
        <w:rPr>
          <w:rFonts w:cs="Calibri"/>
          <w:bCs/>
        </w:rPr>
        <w:t>factors;</w:t>
      </w:r>
      <w:proofErr w:type="gramEnd"/>
    </w:p>
    <w:p w14:paraId="3D74347A" w14:textId="77777777" w:rsidR="00DB754A" w:rsidRPr="00DB754A" w:rsidRDefault="00DB754A" w:rsidP="00DB754A">
      <w:pPr>
        <w:pStyle w:val="ListParagraph"/>
        <w:numPr>
          <w:ilvl w:val="0"/>
          <w:numId w:val="40"/>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450" w:hanging="450"/>
        <w:rPr>
          <w:rFonts w:cs="Calibri"/>
          <w:bCs/>
        </w:rPr>
      </w:pPr>
      <w:r w:rsidRPr="00DB754A">
        <w:rPr>
          <w:rFonts w:cs="Calibri"/>
          <w:bCs/>
        </w:rPr>
        <w:t>Social relationships; and</w:t>
      </w:r>
    </w:p>
    <w:p w14:paraId="2E0E0A82" w14:textId="08CF84CA" w:rsidR="00DB754A" w:rsidRPr="00DB754A" w:rsidRDefault="00DB754A" w:rsidP="00DB754A">
      <w:pPr>
        <w:pStyle w:val="ListParagraph"/>
        <w:numPr>
          <w:ilvl w:val="0"/>
          <w:numId w:val="40"/>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450" w:hanging="450"/>
        <w:rPr>
          <w:rFonts w:cs="Calibri"/>
          <w:bCs/>
        </w:rPr>
      </w:pPr>
      <w:r w:rsidRPr="00DB754A">
        <w:rPr>
          <w:rFonts w:cs="Calibri"/>
          <w:bCs/>
        </w:rPr>
        <w:t>Residential and community context.</w:t>
      </w:r>
    </w:p>
    <w:p w14:paraId="6BB5DD10" w14:textId="39A3B296" w:rsidR="00DB754A" w:rsidRPr="00DB754A" w:rsidRDefault="00DB754A" w:rsidP="00DB754A">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B754A">
        <w:rPr>
          <w:rFonts w:cs="Calibri"/>
          <w:bCs/>
        </w:rPr>
        <w:t xml:space="preserve">Variables in </w:t>
      </w:r>
      <w:proofErr w:type="gramStart"/>
      <w:r w:rsidRPr="00DB754A">
        <w:rPr>
          <w:rFonts w:cs="Calibri"/>
          <w:bCs/>
        </w:rPr>
        <w:t>all of</w:t>
      </w:r>
      <w:proofErr w:type="gramEnd"/>
      <w:r w:rsidRPr="00DB754A">
        <w:rPr>
          <w:rFonts w:cs="Calibri"/>
          <w:bCs/>
        </w:rPr>
        <w:t xml:space="preserve"> these domains are</w:t>
      </w:r>
      <w:r w:rsidR="00D07561">
        <w:rPr>
          <w:rFonts w:cs="Calibri"/>
          <w:bCs/>
        </w:rPr>
        <w:t>,</w:t>
      </w:r>
      <w:r w:rsidRPr="00DB754A">
        <w:rPr>
          <w:rFonts w:cs="Calibri"/>
          <w:bCs/>
        </w:rPr>
        <w:t xml:space="preserve"> or are hypothesized to be</w:t>
      </w:r>
      <w:r w:rsidR="00D07561">
        <w:rPr>
          <w:rFonts w:cs="Calibri"/>
          <w:bCs/>
        </w:rPr>
        <w:t>,</w:t>
      </w:r>
      <w:r w:rsidRPr="00DB754A">
        <w:rPr>
          <w:rFonts w:cs="Calibri"/>
          <w:bCs/>
        </w:rPr>
        <w:t xml:space="preserve"> associated with increased risk of admission. The domains differ, however, in the extent to which we expect an individual MIPS clinician or group of clinicians to be able to mitigate the risk conferred by such variables. These differences inform their potential use as risk adjusters, since adjusting for factors that can more easily be mitigated by higher quality care is more likely to mask low quality care.</w:t>
      </w:r>
    </w:p>
    <w:p w14:paraId="5F4B297C" w14:textId="36C41FC5" w:rsidR="0013763C" w:rsidRDefault="00DB754A" w:rsidP="00DB754A">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B754A">
        <w:rPr>
          <w:rFonts w:cs="Calibri"/>
          <w:bCs/>
        </w:rPr>
        <w:t xml:space="preserve">MIPS providers have the least ability to mitigate the risk of admission associated with residential and community factors, such as neighborhood deprivation and relative lack of access to primary and specialty medical care. In contrast, however, we expect that there is more, although not unlimited, ability for a MIPS provider to intervene to mitigate some or </w:t>
      </w:r>
      <w:proofErr w:type="gramStart"/>
      <w:r w:rsidRPr="00DB754A">
        <w:rPr>
          <w:rFonts w:cs="Calibri"/>
          <w:bCs/>
        </w:rPr>
        <w:t>all of</w:t>
      </w:r>
      <w:proofErr w:type="gramEnd"/>
      <w:r w:rsidRPr="00DB754A">
        <w:rPr>
          <w:rFonts w:cs="Calibri"/>
          <w:bCs/>
        </w:rPr>
        <w:t xml:space="preserve"> the risk conferred by the individual-level domains noted above</w:t>
      </w:r>
      <w:r>
        <w:rPr>
          <w:rFonts w:cs="Calibri"/>
          <w:bCs/>
        </w:rPr>
        <w:t>.</w:t>
      </w:r>
    </w:p>
    <w:p w14:paraId="61835E60" w14:textId="77777777"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Identification of Candidate Demographic and Clinical Variables</w:t>
      </w:r>
    </w:p>
    <w:p w14:paraId="65DA0F53" w14:textId="77777777" w:rsidR="00F203DE" w:rsidRPr="00F203DE" w:rsidRDefault="00F203DE" w:rsidP="00F203D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To represent demographic and clinical risk factors, the candidate variables were:</w:t>
      </w:r>
    </w:p>
    <w:p w14:paraId="798AD438" w14:textId="77777777" w:rsidR="00F203DE" w:rsidRPr="00F203DE" w:rsidRDefault="00F203DE" w:rsidP="00F203DE">
      <w:pPr>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proofErr w:type="gramStart"/>
      <w:r w:rsidRPr="00F203DE">
        <w:rPr>
          <w:rFonts w:cs="Calibri"/>
          <w:bCs/>
        </w:rPr>
        <w:t>Age;</w:t>
      </w:r>
      <w:proofErr w:type="gramEnd"/>
    </w:p>
    <w:p w14:paraId="5DFC5151" w14:textId="77777777" w:rsidR="00F203DE" w:rsidRPr="00F203DE" w:rsidRDefault="00F203DE" w:rsidP="00F203DE">
      <w:pPr>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 xml:space="preserve">Indicator variable for systolic </w:t>
      </w:r>
      <w:proofErr w:type="gramStart"/>
      <w:r w:rsidRPr="00F203DE">
        <w:rPr>
          <w:rFonts w:cs="Calibri"/>
          <w:bCs/>
        </w:rPr>
        <w:t>HF;</w:t>
      </w:r>
      <w:proofErr w:type="gramEnd"/>
    </w:p>
    <w:p w14:paraId="33C87CB3" w14:textId="77777777" w:rsidR="00F203DE" w:rsidRPr="00F203DE" w:rsidRDefault="00F203DE" w:rsidP="00F203DE">
      <w:pPr>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Clinical risk adjusters; and</w:t>
      </w:r>
    </w:p>
    <w:p w14:paraId="2D64A490" w14:textId="77777777" w:rsidR="00F203DE" w:rsidRPr="00F203DE" w:rsidRDefault="00F203DE" w:rsidP="00F203DE">
      <w:pPr>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 xml:space="preserve">Measures of frailty/disability based on: </w:t>
      </w:r>
    </w:p>
    <w:p w14:paraId="0909F15F" w14:textId="77777777" w:rsidR="00F203DE" w:rsidRPr="00F203DE" w:rsidRDefault="00F203DE" w:rsidP="003964C9">
      <w:pPr>
        <w:numPr>
          <w:ilvl w:val="1"/>
          <w:numId w:val="3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F203DE">
        <w:rPr>
          <w:rFonts w:cs="Calibri"/>
          <w:bCs/>
        </w:rPr>
        <w:t>Use of selected durable medical equipment (DME), and</w:t>
      </w:r>
    </w:p>
    <w:p w14:paraId="5D7D80CF" w14:textId="77777777" w:rsidR="00F203DE" w:rsidRPr="00F203DE" w:rsidRDefault="00F203DE" w:rsidP="003964C9">
      <w:pPr>
        <w:numPr>
          <w:ilvl w:val="1"/>
          <w:numId w:val="3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F203DE">
        <w:rPr>
          <w:rFonts w:cs="Calibri"/>
          <w:bCs/>
        </w:rPr>
        <w:t>Original reason for Medicare entitlement.</w:t>
      </w:r>
    </w:p>
    <w:p w14:paraId="32C360FD" w14:textId="77777777" w:rsidR="00F203DE" w:rsidRPr="00F203DE" w:rsidRDefault="00F203DE" w:rsidP="00F203D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Each of these sets of variables is described below. Specific Condition Categories (CC), ICD-10-CM, and Healthcare Common Procedure Coding System (HCPCS) codes are used to define the clinical variables.</w:t>
      </w:r>
    </w:p>
    <w:p w14:paraId="0C6C90F2" w14:textId="6D37E3CA" w:rsidR="00F203DE" w:rsidRPr="00F203DE" w:rsidRDefault="001F12A8" w:rsidP="00F203DE">
      <w:pPr>
        <w:numPr>
          <w:ilvl w:val="0"/>
          <w:numId w:val="37"/>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Age (one variable with four</w:t>
      </w:r>
      <w:r w:rsidR="00F203DE" w:rsidRPr="00F203DE">
        <w:rPr>
          <w:rFonts w:cs="Calibri"/>
          <w:bCs/>
          <w:u w:val="single"/>
        </w:rPr>
        <w:t xml:space="preserve"> levels)</w:t>
      </w:r>
    </w:p>
    <w:p w14:paraId="3C014EE2" w14:textId="349AAF95" w:rsidR="00F203DE" w:rsidRPr="00F203DE" w:rsidRDefault="00F203DE" w:rsidP="00F203D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 xml:space="preserve">We tested and included age but not sex or race, consistent with the rationale and approach taken for other CMS outcome measures. Studies suggest that sex- and race-based differences in outcomes are generally driven by age and comorbidities (which we include in the risk adjustment), as well as </w:t>
      </w:r>
      <w:r w:rsidRPr="00F203DE">
        <w:rPr>
          <w:rFonts w:cs="Calibri"/>
          <w:bCs/>
        </w:rPr>
        <w:lastRenderedPageBreak/>
        <w:t>disparities in care delivery (for example, women with diabetes and HF tend to receive less evidence-based treatment), and not by biological differences</w:t>
      </w:r>
      <w:r w:rsidR="00380E52">
        <w:rPr>
          <w:rFonts w:cs="Calibri"/>
          <w:bCs/>
        </w:rPr>
        <w:t xml:space="preserve"> [3-8]</w:t>
      </w:r>
      <w:r w:rsidRPr="00F203DE">
        <w:rPr>
          <w:rFonts w:cs="Calibri"/>
          <w:bCs/>
        </w:rPr>
        <w:t>.</w:t>
      </w:r>
    </w:p>
    <w:p w14:paraId="193C0C12" w14:textId="2DC45AEF" w:rsidR="00F203DE" w:rsidRPr="00F203DE" w:rsidRDefault="00F203DE" w:rsidP="00F203DE">
      <w:pPr>
        <w:numPr>
          <w:ilvl w:val="0"/>
          <w:numId w:val="37"/>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F203DE">
        <w:rPr>
          <w:rFonts w:cs="Calibri"/>
          <w:bCs/>
          <w:u w:val="single"/>
        </w:rPr>
        <w:t>Indicator variables for a H</w:t>
      </w:r>
      <w:r w:rsidR="001F12A8">
        <w:rPr>
          <w:rFonts w:cs="Calibri"/>
          <w:bCs/>
          <w:u w:val="single"/>
        </w:rPr>
        <w:t>F cohort-qualifying condition (one</w:t>
      </w:r>
      <w:r w:rsidRPr="00F203DE">
        <w:rPr>
          <w:rFonts w:cs="Calibri"/>
          <w:bCs/>
          <w:u w:val="single"/>
        </w:rPr>
        <w:t xml:space="preserve"> variable)</w:t>
      </w:r>
    </w:p>
    <w:p w14:paraId="2FA7CB75" w14:textId="77777777" w:rsidR="00F203DE" w:rsidRPr="00F203DE" w:rsidRDefault="00F203DE" w:rsidP="00F203D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We tested and included an indicator variable for systolic HF to adjust for differences in risk of admission between patients with systolic HF and other types of HF/cardiomyopathy who are lower risk.</w:t>
      </w:r>
    </w:p>
    <w:p w14:paraId="533514D4" w14:textId="77777777" w:rsidR="00F203DE" w:rsidRPr="00F203DE" w:rsidRDefault="00F203DE" w:rsidP="00F203DE">
      <w:pPr>
        <w:numPr>
          <w:ilvl w:val="0"/>
          <w:numId w:val="37"/>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F203DE">
        <w:rPr>
          <w:rFonts w:cs="Calibri"/>
          <w:bCs/>
          <w:u w:val="single"/>
        </w:rPr>
        <w:t>Clinical risk adjusters (34 candidate variables)</w:t>
      </w:r>
    </w:p>
    <w:p w14:paraId="366CF43D" w14:textId="3D78F326" w:rsidR="00F203DE" w:rsidRPr="00F203DE" w:rsidRDefault="00F203DE" w:rsidP="00F203D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F203DE">
        <w:rPr>
          <w:rFonts w:cs="Calibri"/>
          <w:bCs/>
        </w:rPr>
        <w:t>We tested and included a broad list of clinical comorbidities, most of which are captured in the ACO HF and MIPS MCC measures (specified using v22 Condition Categories</w:t>
      </w:r>
      <w:r w:rsidR="001F12A8">
        <w:rPr>
          <w:rFonts w:cs="Calibri"/>
          <w:bCs/>
        </w:rPr>
        <w:t xml:space="preserve"> [CCs]</w:t>
      </w:r>
      <w:r w:rsidRPr="00F203DE">
        <w:rPr>
          <w:rFonts w:cs="Calibri"/>
          <w:bCs/>
        </w:rPr>
        <w:t xml:space="preserve">). </w:t>
      </w:r>
    </w:p>
    <w:p w14:paraId="0CE29F3B" w14:textId="77777777" w:rsidR="00F203DE" w:rsidRPr="00F203DE" w:rsidRDefault="00F203DE" w:rsidP="00F203DE">
      <w:pPr>
        <w:numPr>
          <w:ilvl w:val="0"/>
          <w:numId w:val="37"/>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F203DE">
        <w:rPr>
          <w:rFonts w:cs="Calibri"/>
          <w:bCs/>
          <w:u w:val="single"/>
        </w:rPr>
        <w:t>Measures of frailty/disability</w:t>
      </w:r>
    </w:p>
    <w:p w14:paraId="6D035074" w14:textId="7EEE9FEA" w:rsidR="00F203DE" w:rsidRPr="00F203DE" w:rsidRDefault="001F12A8" w:rsidP="003964C9">
      <w:pPr>
        <w:numPr>
          <w:ilvl w:val="1"/>
          <w:numId w:val="39"/>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Pr>
          <w:rFonts w:cs="Calibri"/>
          <w:bCs/>
          <w:u w:val="single"/>
        </w:rPr>
        <w:t>Frailty based on DME (five</w:t>
      </w:r>
      <w:r w:rsidR="00F203DE" w:rsidRPr="00F203DE">
        <w:rPr>
          <w:rFonts w:cs="Calibri"/>
          <w:bCs/>
          <w:u w:val="single"/>
        </w:rPr>
        <w:t xml:space="preserve"> candidate variables)</w:t>
      </w:r>
      <w:r w:rsidR="00F203DE" w:rsidRPr="00F203DE">
        <w:rPr>
          <w:rFonts w:cs="Calibri"/>
          <w:bCs/>
        </w:rPr>
        <w:t>: Frail elderly patients are at increased risk of hospitalization</w:t>
      </w:r>
      <w:r w:rsidR="00380E52">
        <w:rPr>
          <w:rFonts w:cs="Calibri"/>
          <w:bCs/>
        </w:rPr>
        <w:t xml:space="preserve"> [9-10]</w:t>
      </w:r>
      <w:r w:rsidR="00F203DE" w:rsidRPr="00F203DE">
        <w:rPr>
          <w:rFonts w:cs="Calibri"/>
          <w:bCs/>
        </w:rPr>
        <w:t>.</w:t>
      </w:r>
      <w:r w:rsidR="00380E52">
        <w:rPr>
          <w:rFonts w:cs="Calibri"/>
          <w:bCs/>
        </w:rPr>
        <w:t xml:space="preserve"> </w:t>
      </w:r>
      <w:r w:rsidR="00F203DE" w:rsidRPr="00F203DE">
        <w:rPr>
          <w:rFonts w:cs="Calibri"/>
          <w:bCs/>
        </w:rPr>
        <w:t>The list of candidate clinical comorbidities already includes CC-defined diagnosis variables related to frailty, including “Marked disability/frailty” (CCs 21, 70, 71, 73, 157-161, 189, 190) and “Hip or vertebral fracture” (CCs 16</w:t>
      </w:r>
      <w:r w:rsidR="00380E52">
        <w:rPr>
          <w:rFonts w:cs="Calibri"/>
          <w:bCs/>
        </w:rPr>
        <w:t>9, 170). Based on recent studies [9-10]</w:t>
      </w:r>
      <w:r w:rsidR="00F203DE" w:rsidRPr="00F203DE">
        <w:rPr>
          <w:rFonts w:cs="Calibri"/>
          <w:bCs/>
        </w:rPr>
        <w:t xml:space="preserve"> that have examined claims-based proxy measures of frailty using HCPCS codes for DME, we also considered five variables capturing past-year use of walking aids, wheelchairs, home hospital beds, lifts, and home oxygen. We defined these variables using the Policy Group Map currently maintained by Palmetto GBA under contract to CMS</w:t>
      </w:r>
      <w:r w:rsidR="00380E52">
        <w:rPr>
          <w:rFonts w:cs="Calibri"/>
          <w:bCs/>
        </w:rPr>
        <w:t xml:space="preserve"> [11]</w:t>
      </w:r>
      <w:r w:rsidR="00F203DE" w:rsidRPr="00F203DE">
        <w:rPr>
          <w:rFonts w:cs="Calibri"/>
          <w:bCs/>
        </w:rPr>
        <w:t xml:space="preserve">. (See Tab </w:t>
      </w:r>
      <w:r w:rsidR="00860E9A">
        <w:rPr>
          <w:rFonts w:cs="Calibri"/>
          <w:bCs/>
        </w:rPr>
        <w:t>10</w:t>
      </w:r>
      <w:r w:rsidR="00F203DE" w:rsidRPr="00F203DE">
        <w:rPr>
          <w:rFonts w:cs="Calibri"/>
          <w:bCs/>
        </w:rPr>
        <w:t xml:space="preserve"> in the accompanying </w:t>
      </w:r>
      <w:r w:rsidR="00074071">
        <w:rPr>
          <w:rFonts w:cs="Calibri"/>
          <w:bCs/>
        </w:rPr>
        <w:t>data dictionary</w:t>
      </w:r>
      <w:r w:rsidR="00F203DE" w:rsidRPr="00F203DE">
        <w:rPr>
          <w:rFonts w:cs="Calibri"/>
          <w:bCs/>
        </w:rPr>
        <w:t xml:space="preserve"> for the codes used to define the variables).</w:t>
      </w:r>
    </w:p>
    <w:p w14:paraId="3122CE19" w14:textId="6A06508B" w:rsidR="00F203DE" w:rsidRPr="00074071" w:rsidRDefault="00F203DE" w:rsidP="00F203DE">
      <w:pPr>
        <w:numPr>
          <w:ilvl w:val="1"/>
          <w:numId w:val="39"/>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u w:val="single"/>
        </w:rPr>
      </w:pPr>
      <w:r w:rsidRPr="00F203DE">
        <w:rPr>
          <w:rFonts w:cs="Calibri"/>
          <w:bCs/>
          <w:u w:val="single"/>
        </w:rPr>
        <w:t>Original re</w:t>
      </w:r>
      <w:r w:rsidR="001F12A8">
        <w:rPr>
          <w:rFonts w:cs="Calibri"/>
          <w:bCs/>
          <w:u w:val="single"/>
        </w:rPr>
        <w:t>ason for Medicare entitlement (two</w:t>
      </w:r>
      <w:r w:rsidRPr="00F203DE">
        <w:rPr>
          <w:rFonts w:cs="Calibri"/>
          <w:bCs/>
          <w:u w:val="single"/>
        </w:rPr>
        <w:t xml:space="preserve"> candidate variables)</w:t>
      </w:r>
      <w:r w:rsidR="00074071">
        <w:rPr>
          <w:rFonts w:cs="Calibri"/>
          <w:bCs/>
        </w:rPr>
        <w:t xml:space="preserve">: </w:t>
      </w:r>
      <w:r w:rsidRPr="00074071">
        <w:rPr>
          <w:rFonts w:cs="Calibri"/>
          <w:bCs/>
        </w:rPr>
        <w:t>Individuals may enroll in Medicare before the age of 65 years if they qualify for disability insurance benefits (DIB) and/or have ESRD. Those whose original reason for Medicare entitlement was one or both conditions (as opposed to aging in) represent a particularly vulnerable, at-risk group. Thus, we additionally considered original entitlement reason as potential risk adjusters.</w:t>
      </w:r>
    </w:p>
    <w:p w14:paraId="6FDC84DC" w14:textId="30EBD64F" w:rsidR="0013763C" w:rsidRPr="00CB118B"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p>
    <w:p w14:paraId="79E1DE2F" w14:textId="77777777"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Identification of Candidate Social Risk Factors</w:t>
      </w:r>
    </w:p>
    <w:p w14:paraId="6915B16D" w14:textId="77777777"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i/>
        </w:rPr>
      </w:pPr>
      <w:r>
        <w:rPr>
          <w:rFonts w:cs="Calibri"/>
          <w:bCs/>
          <w:i/>
        </w:rPr>
        <w:t>Risk Adjusting for Social Risk Factors</w:t>
      </w:r>
    </w:p>
    <w:p w14:paraId="5C1741F2" w14:textId="5649021F" w:rsidR="00CC1774" w:rsidRPr="00CC1774" w:rsidRDefault="00CC1774" w:rsidP="3E03A94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CORE, with TEP input, tested </w:t>
      </w:r>
      <w:r w:rsidR="635B69FB" w:rsidRPr="50637D09">
        <w:rPr>
          <w:rFonts w:cs="Calibri"/>
        </w:rPr>
        <w:t>social risk factor</w:t>
      </w:r>
      <w:r w:rsidRPr="50637D09">
        <w:rPr>
          <w:rFonts w:cs="Calibri"/>
        </w:rPr>
        <w:t xml:space="preserve"> variables for inclusion in the risk-adjustment model based on a comprehensive literature review and the 2017 NASEM report to inform and develop the measure’s conceptual framework for risk adjustment. The conceptual framework reflects that patients with fewer personal and community social resources would have higher hospitalization rates. The conceptual model anticipates that patients living in communities with risk factors for worse outcomes – including high poverty rates and low disposable income, poor housing conditions, high unemployment and low education, fewer ambulatory healthcare services, fewer PCPs and specialists, and rural environments with fewer resources -- will be at greater risk of factors that exacerbate chronic conditions and less able to manage their health risks. As such, these patients are more likely to be admitted for acute exacerbation of </w:t>
      </w:r>
      <w:r w:rsidR="00CD40D2" w:rsidRPr="50637D09">
        <w:rPr>
          <w:rFonts w:cs="Calibri"/>
        </w:rPr>
        <w:t xml:space="preserve">HF </w:t>
      </w:r>
      <w:r w:rsidRPr="50637D09">
        <w:rPr>
          <w:rFonts w:cs="Calibri"/>
        </w:rPr>
        <w:t xml:space="preserve">or other acute </w:t>
      </w:r>
      <w:r w:rsidR="00CD40D2" w:rsidRPr="50637D09">
        <w:rPr>
          <w:rFonts w:cs="Calibri"/>
        </w:rPr>
        <w:t xml:space="preserve">cardiovascular </w:t>
      </w:r>
      <w:r w:rsidRPr="50637D09">
        <w:rPr>
          <w:rFonts w:cs="Calibri"/>
        </w:rPr>
        <w:t>conditions</w:t>
      </w:r>
      <w:r w:rsidR="00380E52" w:rsidRPr="50637D09">
        <w:rPr>
          <w:rFonts w:cs="Calibri"/>
        </w:rPr>
        <w:t xml:space="preserve"> [12]</w:t>
      </w:r>
      <w:r w:rsidRPr="50637D09">
        <w:rPr>
          <w:rFonts w:cs="Calibri"/>
        </w:rPr>
        <w:t xml:space="preserve">. Moreover, providers working in individual or small group practices (in contrast to those who are part of ACOs or integrated health systems), may have limited resources and a more limited ability to influence health system and community factors to mitigate any increased risk of admission for patients with </w:t>
      </w:r>
      <w:r w:rsidR="0B81EF0B" w:rsidRPr="50637D09">
        <w:rPr>
          <w:rFonts w:cs="Calibri"/>
        </w:rPr>
        <w:t>social risk factors</w:t>
      </w:r>
      <w:r w:rsidRPr="50637D09">
        <w:rPr>
          <w:rFonts w:cs="Calibri"/>
        </w:rPr>
        <w:t>.</w:t>
      </w:r>
    </w:p>
    <w:p w14:paraId="0349C7B8" w14:textId="0DF04A41" w:rsidR="00CC1774" w:rsidRPr="00CC1774" w:rsidRDefault="00CC1774"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In developing and evaluating </w:t>
      </w:r>
      <w:r w:rsidR="6FF025ED" w:rsidRPr="50637D09">
        <w:rPr>
          <w:rFonts w:cs="Calibri"/>
        </w:rPr>
        <w:t>social risk factors</w:t>
      </w:r>
      <w:r w:rsidRPr="50637D09">
        <w:rPr>
          <w:rFonts w:cs="Calibri"/>
        </w:rPr>
        <w:t xml:space="preserve"> for potential inclusion in the risk-adjustment model, we considered with CMS and stakeholders the program context and the pros and cons of adjusting for </w:t>
      </w:r>
      <w:r w:rsidR="78442EDE" w:rsidRPr="50637D09">
        <w:rPr>
          <w:rFonts w:cs="Calibri"/>
        </w:rPr>
        <w:t>social risk factors</w:t>
      </w:r>
      <w:r w:rsidRPr="50637D09">
        <w:rPr>
          <w:rFonts w:cs="Calibri"/>
        </w:rPr>
        <w:t xml:space="preserve">. There are several potential downsides to adjusting for </w:t>
      </w:r>
      <w:r w:rsidR="73CB98A4" w:rsidRPr="50637D09">
        <w:rPr>
          <w:rFonts w:cs="Calibri"/>
        </w:rPr>
        <w:t>social risk factors.</w:t>
      </w:r>
      <w:r w:rsidRPr="50637D09">
        <w:rPr>
          <w:rFonts w:cs="Calibri"/>
        </w:rPr>
        <w:t xml:space="preserve"> Statistically, adjusting will set different expected rates of admission for different patient groups (that is, higher expected admission rates for patients with </w:t>
      </w:r>
      <w:r w:rsidR="4398EAF9" w:rsidRPr="50637D09">
        <w:rPr>
          <w:rFonts w:cs="Calibri"/>
        </w:rPr>
        <w:t>social risk factors</w:t>
      </w:r>
      <w:r w:rsidRPr="50637D09">
        <w:rPr>
          <w:rFonts w:cs="Calibri"/>
        </w:rPr>
        <w:t xml:space="preserve">). This approach could contribute to greater </w:t>
      </w:r>
      <w:r w:rsidRPr="50637D09">
        <w:rPr>
          <w:rFonts w:cs="Calibri"/>
        </w:rPr>
        <w:lastRenderedPageBreak/>
        <w:t>acceptance of higher admission rates for people with s</w:t>
      </w:r>
      <w:r w:rsidR="78B2F788" w:rsidRPr="50637D09">
        <w:rPr>
          <w:rFonts w:cs="Calibri"/>
        </w:rPr>
        <w:t>ocial risk factors</w:t>
      </w:r>
      <w:r w:rsidRPr="50637D09">
        <w:rPr>
          <w:rFonts w:cs="Calibri"/>
        </w:rPr>
        <w:t xml:space="preserve">. Adjusting could also mask quality differences associated with the risk factor. </w:t>
      </w:r>
    </w:p>
    <w:p w14:paraId="407F9969" w14:textId="54D67033" w:rsidR="00CC1774" w:rsidRPr="00CC1774" w:rsidRDefault="00CC1774"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On the other hand, there are potential unintended consequences of not adjusting the risk model for </w:t>
      </w:r>
      <w:r w:rsidR="4056801A" w:rsidRPr="50637D09">
        <w:rPr>
          <w:rFonts w:cs="Calibri"/>
        </w:rPr>
        <w:t>social risk factors</w:t>
      </w:r>
      <w:r w:rsidRPr="50637D09">
        <w:rPr>
          <w:rFonts w:cs="Calibri"/>
        </w:rPr>
        <w:t xml:space="preserve">. In a mandatory program, such as MIPS, if these factors strongly influence the outcome, not adjusting for them could result in measure scores that translate into downward Medicare payment adjustments for providers serving patients with </w:t>
      </w:r>
      <w:r w:rsidR="7EA25882" w:rsidRPr="50637D09">
        <w:rPr>
          <w:rFonts w:cs="Calibri"/>
        </w:rPr>
        <w:t>social risk factors</w:t>
      </w:r>
      <w:r w:rsidRPr="50637D09">
        <w:rPr>
          <w:rFonts w:cs="Calibri"/>
        </w:rPr>
        <w:t xml:space="preserve">. If the lower scores reflected case mix rather than quality, it would not advance MIPS policy goals. Further, not adjusting might reduce resources among the providers already facing the largest resource constraints. Moreover, if providers anticipate a poor score on the measure may further reduce their Medicare payments, the measure could create an incentive to reduce access to care for vulnerable patients. </w:t>
      </w:r>
    </w:p>
    <w:p w14:paraId="7A2D3A7E" w14:textId="5B6E511D" w:rsidR="00CC1774" w:rsidRPr="00CC1774" w:rsidRDefault="00CC1774"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To inform further consideration of these tradeoffs, we examined the marginal effects </w:t>
      </w:r>
      <w:r w:rsidR="78C86100" w:rsidRPr="50637D09">
        <w:rPr>
          <w:rFonts w:cs="Calibri"/>
        </w:rPr>
        <w:t>social risk factors</w:t>
      </w:r>
      <w:r w:rsidRPr="50637D09">
        <w:rPr>
          <w:rFonts w:cs="Calibri"/>
        </w:rPr>
        <w:t xml:space="preserve"> have after adjusting for demographic, clinical, and frailty variables. If, after adjusting for demographic, comorbidity, and frailty/disability factors, </w:t>
      </w:r>
      <w:r w:rsidR="742DBAE6" w:rsidRPr="50637D09">
        <w:rPr>
          <w:rFonts w:cs="Calibri"/>
        </w:rPr>
        <w:t>social risk factors</w:t>
      </w:r>
      <w:r w:rsidRPr="50637D09">
        <w:rPr>
          <w:rFonts w:cs="Calibri"/>
        </w:rPr>
        <w:t xml:space="preserve"> still have an independent relationship to the outcome, the balance of these concerns may tip toward adjusting for </w:t>
      </w:r>
      <w:r w:rsidR="4200B372" w:rsidRPr="50637D09">
        <w:rPr>
          <w:rFonts w:cs="Calibri"/>
        </w:rPr>
        <w:t>them</w:t>
      </w:r>
      <w:r w:rsidRPr="50637D09">
        <w:rPr>
          <w:rFonts w:cs="Calibri"/>
        </w:rPr>
        <w:t xml:space="preserve"> in the context of a quality program assessing individual providers, especially for those </w:t>
      </w:r>
      <w:r w:rsidR="393D245B" w:rsidRPr="50637D09">
        <w:rPr>
          <w:rFonts w:cs="Calibri"/>
        </w:rPr>
        <w:t>social risk factors</w:t>
      </w:r>
      <w:r w:rsidRPr="50637D09">
        <w:rPr>
          <w:rFonts w:cs="Calibri"/>
        </w:rPr>
        <w:t xml:space="preserve"> that providers have less of an ability to address. We therefore developed candidate variables and explored the marginal effect of these variables after adjusting for other factors and presented the results to CMS.</w:t>
      </w:r>
    </w:p>
    <w:p w14:paraId="015D2972" w14:textId="322AAF2F" w:rsidR="0013763C" w:rsidRDefault="00CC1774"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For further context, we note that the MIPS program currently has a “complex patient” policy adjustment that may diminish the potential unintended consequences of not adjusting for </w:t>
      </w:r>
      <w:r w:rsidR="140252D0" w:rsidRPr="50637D09">
        <w:rPr>
          <w:rFonts w:cs="Calibri"/>
        </w:rPr>
        <w:t>social risk factors</w:t>
      </w:r>
      <w:r w:rsidRPr="50637D09">
        <w:rPr>
          <w:rFonts w:cs="Calibri"/>
        </w:rPr>
        <w:t xml:space="preserve"> in this measure; the policy adjustment raises the score used to calculate provider payment increases/decreases by up to </w:t>
      </w:r>
      <w:r w:rsidR="001F12A8" w:rsidRPr="50637D09">
        <w:rPr>
          <w:rFonts w:cs="Calibri"/>
        </w:rPr>
        <w:t>five</w:t>
      </w:r>
      <w:r w:rsidRPr="50637D09">
        <w:rPr>
          <w:rFonts w:cs="Calibri"/>
        </w:rPr>
        <w:t xml:space="preserve"> points (out of a 100 maximum). It allocates points based on each provider’s proportion of patients who are dual eligible and their patients’ average risk score (82 FR 53771 through 53776). </w:t>
      </w:r>
    </w:p>
    <w:p w14:paraId="6E0BB920" w14:textId="77777777" w:rsidR="0013763C" w:rsidRPr="000D6F33"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0D6F33">
        <w:rPr>
          <w:rFonts w:cs="Calibri"/>
          <w:bCs/>
          <w:u w:val="single"/>
        </w:rPr>
        <w:t>Development of Candidate Social Risk Factors</w:t>
      </w:r>
    </w:p>
    <w:p w14:paraId="52CA021A" w14:textId="2A8F7C43" w:rsidR="0013763C" w:rsidRPr="00D33A77" w:rsidRDefault="0013763C" w:rsidP="331BDD94">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bookmarkStart w:id="23" w:name="_Hlk5867958"/>
      <w:r w:rsidRPr="50637D09">
        <w:rPr>
          <w:rFonts w:cs="Calibri"/>
        </w:rPr>
        <w:t xml:space="preserve">As with the demographic and clinical variables above, we explored available data that could be used to operationalize candidate </w:t>
      </w:r>
      <w:r w:rsidR="539C06AA" w:rsidRPr="50637D09">
        <w:rPr>
          <w:rFonts w:cs="Calibri"/>
        </w:rPr>
        <w:t>social risk factors</w:t>
      </w:r>
      <w:r w:rsidRPr="50637D09">
        <w:rPr>
          <w:rFonts w:cs="Calibri"/>
        </w:rPr>
        <w:t xml:space="preserve"> guided by our conceptual framework. Based on our prior work and a focused literature review, we began with an initial list of 33 potential social risk factors, which we narrowed to five. We used the following considerations to help guide candidate variable construction:</w:t>
      </w:r>
    </w:p>
    <w:p w14:paraId="2ABF8008" w14:textId="77777777" w:rsidR="0013763C" w:rsidRPr="00D33A77" w:rsidRDefault="0013763C" w:rsidP="0013763C">
      <w:pPr>
        <w:numPr>
          <w:ilvl w:val="0"/>
          <w:numId w:val="32"/>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If an individual-level variable was not available, we considered whether a corresponding area-level variable may be a reasonable alternative.</w:t>
      </w:r>
    </w:p>
    <w:p w14:paraId="0F9F6B8E" w14:textId="77777777" w:rsidR="0013763C" w:rsidRPr="00D33A77" w:rsidRDefault="0013763C" w:rsidP="0013763C">
      <w:pPr>
        <w:numPr>
          <w:ilvl w:val="0"/>
          <w:numId w:val="32"/>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 xml:space="preserve">If a construct (for example, housing) could be defined using a range of variables and there was no clear rationale for why any </w:t>
      </w:r>
      <w:proofErr w:type="gramStart"/>
      <w:r w:rsidRPr="00D33A77">
        <w:rPr>
          <w:rFonts w:cs="Calibri"/>
          <w:bCs/>
        </w:rPr>
        <w:t>particular variable(s)</w:t>
      </w:r>
      <w:proofErr w:type="gramEnd"/>
      <w:r w:rsidRPr="00D33A77">
        <w:rPr>
          <w:rFonts w:cs="Calibri"/>
          <w:bCs/>
        </w:rPr>
        <w:t xml:space="preserve"> would be associated with increased risk of hospitalization, we favored using a summary variable that captures multiple aspects of the construct to avoid a multiple-comparisons problem and spurious findings.</w:t>
      </w:r>
    </w:p>
    <w:p w14:paraId="71EDE659" w14:textId="332705C7" w:rsidR="0013763C" w:rsidRPr="00D33A77" w:rsidRDefault="0013763C" w:rsidP="0013763C">
      <w:pPr>
        <w:numPr>
          <w:ilvl w:val="0"/>
          <w:numId w:val="32"/>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 xml:space="preserve">We focused on variables that would be expected to have a more direct impact on the outcome of interest. For example, social capital has been shown to be associated with a broad range of individual- and </w:t>
      </w:r>
      <w:r w:rsidR="001F12A8">
        <w:rPr>
          <w:rFonts w:cs="Calibri"/>
          <w:bCs/>
        </w:rPr>
        <w:t xml:space="preserve">community-level health outcomes </w:t>
      </w:r>
      <w:r w:rsidR="00380E52">
        <w:rPr>
          <w:rFonts w:cs="Calibri"/>
          <w:bCs/>
        </w:rPr>
        <w:t>[13</w:t>
      </w:r>
      <w:r>
        <w:rPr>
          <w:rFonts w:cs="Calibri"/>
          <w:bCs/>
        </w:rPr>
        <w:t>]</w:t>
      </w:r>
      <w:r w:rsidR="001F12A8">
        <w:rPr>
          <w:rFonts w:cs="Calibri"/>
          <w:bCs/>
        </w:rPr>
        <w:t>.</w:t>
      </w:r>
      <w:r w:rsidRPr="00D33A77">
        <w:rPr>
          <w:rFonts w:cs="Calibri"/>
          <w:bCs/>
        </w:rPr>
        <w:t xml:space="preserve"> However, there is no clear relationship with unplanned hospital admissions; any hypothesized or observed association would be mediated by intermediate factors.</w:t>
      </w:r>
    </w:p>
    <w:p w14:paraId="4EAAD446" w14:textId="3CA09BA4" w:rsidR="0013763C" w:rsidRPr="00D33A77"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Evaluating potential data sources and variables for</w:t>
      </w:r>
      <w:r w:rsidR="001F12A8">
        <w:rPr>
          <w:rFonts w:cs="Calibri"/>
          <w:bCs/>
        </w:rPr>
        <w:t xml:space="preserve"> each of these domains yielded five candidate variables:</w:t>
      </w:r>
    </w:p>
    <w:p w14:paraId="0A9E69A9" w14:textId="279D18EF" w:rsidR="0013763C" w:rsidRPr="00D33A77" w:rsidRDefault="001F12A8" w:rsidP="0013763C">
      <w:pPr>
        <w:numPr>
          <w:ilvl w:val="0"/>
          <w:numId w:val="33"/>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Socioeconomic position (one</w:t>
      </w:r>
      <w:r w:rsidR="0013763C" w:rsidRPr="00D33A77">
        <w:rPr>
          <w:rFonts w:cs="Calibri"/>
          <w:bCs/>
          <w:u w:val="single"/>
        </w:rPr>
        <w:t xml:space="preserve"> candidate variable)</w:t>
      </w:r>
    </w:p>
    <w:p w14:paraId="7A481EE8" w14:textId="5EF08288" w:rsidR="0013763C" w:rsidRPr="00D33A77" w:rsidRDefault="0013763C"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The focus of this domain is on individual-level measures of patients’ </w:t>
      </w:r>
      <w:r w:rsidR="1E7FD2DA" w:rsidRPr="50637D09">
        <w:rPr>
          <w:rFonts w:cs="Calibri"/>
        </w:rPr>
        <w:t>socio-economic status (</w:t>
      </w:r>
      <w:r w:rsidRPr="50637D09">
        <w:rPr>
          <w:rFonts w:cs="Calibri"/>
        </w:rPr>
        <w:t>SES</w:t>
      </w:r>
      <w:r w:rsidR="66B40126" w:rsidRPr="50637D09">
        <w:rPr>
          <w:rFonts w:cs="Calibri"/>
        </w:rPr>
        <w:t>)</w:t>
      </w:r>
      <w:r w:rsidRPr="50637D09">
        <w:rPr>
          <w:rFonts w:cs="Calibri"/>
        </w:rPr>
        <w:t xml:space="preserve">. Direct measures of Medicare beneficiaries’ income, wealth, and education are not available. Consistent with </w:t>
      </w:r>
      <w:r w:rsidRPr="50637D09">
        <w:rPr>
          <w:rFonts w:cs="Calibri"/>
        </w:rPr>
        <w:lastRenderedPageBreak/>
        <w:t xml:space="preserve">the NASEM model, we included the readily available and widely used dual-eligibility status variable as it is a marker of low income and assets. We defined Medicare beneficiaries as being </w:t>
      </w:r>
      <w:r w:rsidR="001F12A8" w:rsidRPr="50637D09">
        <w:rPr>
          <w:rFonts w:cs="Calibri"/>
        </w:rPr>
        <w:t>dual-</w:t>
      </w:r>
      <w:r w:rsidRPr="50637D09">
        <w:rPr>
          <w:rFonts w:cs="Calibri"/>
        </w:rPr>
        <w:t>eligible if they were enrolled in Medicaid w</w:t>
      </w:r>
      <w:r w:rsidR="001F12A8" w:rsidRPr="50637D09">
        <w:rPr>
          <w:rFonts w:cs="Calibri"/>
        </w:rPr>
        <w:t>ith full benefits for at least three</w:t>
      </w:r>
      <w:r w:rsidRPr="50637D09">
        <w:rPr>
          <w:rFonts w:cs="Calibri"/>
        </w:rPr>
        <w:t xml:space="preserve"> months duri</w:t>
      </w:r>
      <w:r w:rsidR="001F12A8" w:rsidRPr="50637D09">
        <w:rPr>
          <w:rFonts w:cs="Calibri"/>
        </w:rPr>
        <w:t>ng the measurement year or the six</w:t>
      </w:r>
      <w:r w:rsidRPr="50637D09">
        <w:rPr>
          <w:rFonts w:cs="Calibri"/>
        </w:rPr>
        <w:t xml:space="preserve"> months prior.</w:t>
      </w:r>
    </w:p>
    <w:p w14:paraId="3BD6920F" w14:textId="77777777" w:rsidR="0013763C" w:rsidRPr="00D33A77"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Note: Area-level measures of income, education, and assets (for example, home ownership) are available through the US Census and are discussed below under the residential and community context domain.</w:t>
      </w:r>
    </w:p>
    <w:p w14:paraId="31AE12F4" w14:textId="77777777" w:rsidR="0013763C" w:rsidRPr="00D33A77" w:rsidRDefault="0013763C" w:rsidP="0013763C">
      <w:pPr>
        <w:numPr>
          <w:ilvl w:val="0"/>
          <w:numId w:val="33"/>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D33A77">
        <w:rPr>
          <w:rFonts w:cs="Calibri"/>
          <w:bCs/>
          <w:u w:val="single"/>
        </w:rPr>
        <w:t>Race, ethnicity, and cultural factors (0 candidate variables)</w:t>
      </w:r>
    </w:p>
    <w:p w14:paraId="7E19FBBF" w14:textId="0331E5DF" w:rsidR="0013763C" w:rsidRPr="00D33A77"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We did not include any candidate variables from this domain. Except for race, data are not available for variables such as language, immigrant status, and acculturation. Lack of data notwithstanding, we do not want to adjust for factors associated with care quality. As not</w:t>
      </w:r>
      <w:r>
        <w:rPr>
          <w:rFonts w:cs="Calibri"/>
          <w:bCs/>
        </w:rPr>
        <w:t>ed in our conceptual framework</w:t>
      </w:r>
      <w:r w:rsidRPr="00D33A77">
        <w:rPr>
          <w:rFonts w:cs="Calibri"/>
          <w:bCs/>
        </w:rPr>
        <w:t xml:space="preserve">, we expect that there is an ability on the part of MIPS providers – at least to some extent – to intervene on the risk conferred by such variables. For example, high-quality care may be characterized as being more racially, linguistically, and culturally sensitive and informed. Moreover, consistent with guidance from our TEP and CMS, we did not consider race as a final candidate </w:t>
      </w:r>
      <w:r w:rsidR="00F67AEA">
        <w:rPr>
          <w:rFonts w:cs="Calibri"/>
          <w:bCs/>
        </w:rPr>
        <w:t>social risk factor</w:t>
      </w:r>
      <w:r w:rsidRPr="00D33A77">
        <w:rPr>
          <w:rFonts w:cs="Calibri"/>
          <w:bCs/>
        </w:rPr>
        <w:t xml:space="preserve"> to avoid setting different standards of care for different groups of patients.</w:t>
      </w:r>
    </w:p>
    <w:p w14:paraId="45DBB7D0" w14:textId="77777777" w:rsidR="0013763C" w:rsidRPr="00D33A77" w:rsidRDefault="0013763C" w:rsidP="0013763C">
      <w:pPr>
        <w:numPr>
          <w:ilvl w:val="0"/>
          <w:numId w:val="33"/>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D33A77">
        <w:rPr>
          <w:rFonts w:cs="Calibri"/>
          <w:bCs/>
          <w:u w:val="single"/>
        </w:rPr>
        <w:t>Social relationships (0 candidate variables)</w:t>
      </w:r>
    </w:p>
    <w:p w14:paraId="19276FEC" w14:textId="77777777" w:rsidR="0013763C" w:rsidRPr="00D33A77"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 xml:space="preserve">Similarly, we did not include any candidate variables from this domain. Individual-level measures of variables such as marital/partner status and social support are not available for Medicare beneficiaries. Although some area-level Census variables are available for related concepts (for example, percentage of residents never married or percentage living alone), they are not available at a more granular level (for example, 9-digit ZIP code level). </w:t>
      </w:r>
    </w:p>
    <w:p w14:paraId="18FD5D8B" w14:textId="51757052" w:rsidR="0013763C" w:rsidRPr="00D33A77" w:rsidRDefault="0013763C" w:rsidP="0013763C">
      <w:pPr>
        <w:numPr>
          <w:ilvl w:val="0"/>
          <w:numId w:val="33"/>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D33A77">
        <w:rPr>
          <w:rFonts w:cs="Calibri"/>
          <w:bCs/>
          <w:u w:val="single"/>
        </w:rPr>
        <w:t>Resi</w:t>
      </w:r>
      <w:r w:rsidR="001F12A8">
        <w:rPr>
          <w:rFonts w:cs="Calibri"/>
          <w:bCs/>
          <w:u w:val="single"/>
        </w:rPr>
        <w:t>dential and community context (four</w:t>
      </w:r>
      <w:r w:rsidRPr="00D33A77">
        <w:rPr>
          <w:rFonts w:cs="Calibri"/>
          <w:bCs/>
          <w:u w:val="single"/>
        </w:rPr>
        <w:t xml:space="preserve"> candidate variables)</w:t>
      </w:r>
    </w:p>
    <w:p w14:paraId="4AFA68CC" w14:textId="04B08167" w:rsidR="0013763C" w:rsidRPr="00D33A77"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D33A77">
        <w:rPr>
          <w:rFonts w:cs="Calibri"/>
          <w:bCs/>
        </w:rPr>
        <w:t xml:space="preserve">In contrast to the domains above, we conceptualized that there is less ability on the part of a MIPS provider to mitigate the risk of admission associated with broader residential and community </w:t>
      </w:r>
      <w:r w:rsidR="001F12A8">
        <w:rPr>
          <w:rFonts w:cs="Calibri"/>
          <w:bCs/>
        </w:rPr>
        <w:t>factors. In total, we included four</w:t>
      </w:r>
      <w:r w:rsidRPr="00D33A77">
        <w:rPr>
          <w:rFonts w:cs="Calibri"/>
          <w:bCs/>
        </w:rPr>
        <w:t xml:space="preserve"> candidate variables that reflect aspects of neighborhood deprivation (AHRQ SES Index), place of residence (rurality), and access to care (measures of PCP and specialist density).</w:t>
      </w:r>
    </w:p>
    <w:p w14:paraId="03934902" w14:textId="5395433D" w:rsidR="0013763C" w:rsidRPr="00D33A77" w:rsidRDefault="0013763C" w:rsidP="0013763C">
      <w:pPr>
        <w:numPr>
          <w:ilvl w:val="0"/>
          <w:numId w:val="34"/>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D33A77">
        <w:rPr>
          <w:rFonts w:cs="Calibri"/>
          <w:bCs/>
        </w:rPr>
        <w:t xml:space="preserve">The AHRQ SES Index is a widely used variable that summarizes area-level measures of employment, income, education, and housing. In our team’s previous work and the work of others, various aspects of income (for example, household income, poverty rate, income inequality) and housing (for example, value, ownership, crowding) have been examined in relation to quality measurement. Because there is no hypothesized reason specifically supporting the use of any </w:t>
      </w:r>
      <w:proofErr w:type="gramStart"/>
      <w:r w:rsidRPr="00D33A77">
        <w:rPr>
          <w:rFonts w:cs="Calibri"/>
          <w:bCs/>
        </w:rPr>
        <w:t>particular neighborhood</w:t>
      </w:r>
      <w:proofErr w:type="gramEnd"/>
      <w:r w:rsidRPr="00D33A77">
        <w:rPr>
          <w:rFonts w:cs="Calibri"/>
          <w:bCs/>
        </w:rPr>
        <w:t xml:space="preserve"> variable(s) for this measure of unplanned hospital visits, we favored the use of a composite variable that was more likely to capture relative SES across neighborhoods. Each of the index components is available at the census block level, which we then used to link to patients</w:t>
      </w:r>
      <w:r w:rsidR="005F658C">
        <w:rPr>
          <w:rFonts w:cs="Calibri"/>
          <w:bCs/>
        </w:rPr>
        <w:t>’</w:t>
      </w:r>
      <w:r w:rsidRPr="00D33A77">
        <w:rPr>
          <w:rFonts w:cs="Calibri"/>
          <w:bCs/>
        </w:rPr>
        <w:t xml:space="preserve"> residence using 9-digit ZIP code.</w:t>
      </w:r>
    </w:p>
    <w:p w14:paraId="44647E9C" w14:textId="77777777" w:rsidR="0013763C" w:rsidRPr="00D33A77" w:rsidRDefault="0013763C" w:rsidP="0013763C">
      <w:pPr>
        <w:numPr>
          <w:ilvl w:val="0"/>
          <w:numId w:val="34"/>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D33A77">
        <w:rPr>
          <w:rFonts w:cs="Calibri"/>
          <w:bCs/>
        </w:rPr>
        <w:t>Consistent with the NASEM model, we also categorized beneficiaries’ place of residence in terms of rurality, given its implications for timely receipt of care and concerns that individuals in more rural areas may suffer delays due to longer travel distance and time and relative lack of providers.</w:t>
      </w:r>
    </w:p>
    <w:p w14:paraId="5E59F8F1" w14:textId="77777777" w:rsidR="0013763C" w:rsidRPr="007045D5" w:rsidRDefault="0013763C" w:rsidP="0013763C">
      <w:pPr>
        <w:numPr>
          <w:ilvl w:val="0"/>
          <w:numId w:val="34"/>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D33A77">
        <w:rPr>
          <w:rFonts w:cs="Calibri"/>
          <w:bCs/>
        </w:rPr>
        <w:t xml:space="preserve">To </w:t>
      </w:r>
      <w:proofErr w:type="gramStart"/>
      <w:r w:rsidRPr="00D33A77">
        <w:rPr>
          <w:rFonts w:cs="Calibri"/>
          <w:bCs/>
        </w:rPr>
        <w:t>more fully and directly characterize access</w:t>
      </w:r>
      <w:proofErr w:type="gramEnd"/>
      <w:r w:rsidRPr="00D33A77">
        <w:rPr>
          <w:rFonts w:cs="Calibri"/>
          <w:bCs/>
        </w:rPr>
        <w:t xml:space="preserve"> to care, we additionally included as candidate variables two measures of provider density: </w:t>
      </w:r>
      <w:r>
        <w:rPr>
          <w:rFonts w:cs="Calibri"/>
          <w:bCs/>
        </w:rPr>
        <w:t xml:space="preserve">1) </w:t>
      </w:r>
      <w:r w:rsidRPr="007045D5">
        <w:rPr>
          <w:rFonts w:cs="Calibri"/>
          <w:bCs/>
        </w:rPr>
        <w:t>PCP density and</w:t>
      </w:r>
      <w:r>
        <w:rPr>
          <w:rFonts w:cs="Calibri"/>
          <w:bCs/>
        </w:rPr>
        <w:t xml:space="preserve"> 2) s</w:t>
      </w:r>
      <w:r w:rsidRPr="007045D5">
        <w:rPr>
          <w:rFonts w:cs="Calibri"/>
          <w:bCs/>
        </w:rPr>
        <w:t>pecialist density.</w:t>
      </w:r>
    </w:p>
    <w:bookmarkEnd w:id="23"/>
    <w:p w14:paraId="3CB02053" w14:textId="77777777"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p>
    <w:p w14:paraId="4BD4E3C6" w14:textId="77777777" w:rsidR="0013763C"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Final Risk Adjustment Variable Selection</w:t>
      </w:r>
    </w:p>
    <w:p w14:paraId="5D415019" w14:textId="14FCC3C5" w:rsidR="001B230B" w:rsidRPr="001B230B" w:rsidRDefault="001B230B" w:rsidP="001B230B">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1B230B">
        <w:rPr>
          <w:rFonts w:cs="Calibri"/>
          <w:bCs/>
        </w:rPr>
        <w:lastRenderedPageBreak/>
        <w:t>For development and testing of the patient-level model, we randomly split the October 1, 2017 – September 30, 2018 Medicare HF Full Sample into Development and Validation samples. The Development Sample included a random 50% sample, and the Validation Sample included the remaining 50% of HF patients not selected into the Development Sample.</w:t>
      </w:r>
    </w:p>
    <w:p w14:paraId="53948D28" w14:textId="328A0844" w:rsidR="001B230B" w:rsidRDefault="001B230B" w:rsidP="001B230B">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1B230B">
        <w:rPr>
          <w:rFonts w:cs="Calibri"/>
          <w:bCs/>
        </w:rPr>
        <w:t xml:space="preserve">Prior to model selection, we first evaluated the prevalence and bivariate relationship between each candidate risk variable and the outcome using the Medicare HF Full Sample. Candidate variables that were not significant (p&lt;0.05) were not considered for model selection. To select the final set of demographic and clinical variables to include in the risk-adjustment model, we performed stepwise variable selection on bootstrap samples. Briefly, 1,000 samples were selected with replacement from the Development Sample. For each of the 1,000 samples, a parsimonious negative binomial </w:t>
      </w:r>
      <w:r>
        <w:rPr>
          <w:rFonts w:cs="Calibri"/>
          <w:bCs/>
        </w:rPr>
        <w:t>regression model</w:t>
      </w:r>
      <w:r w:rsidRPr="001B230B">
        <w:rPr>
          <w:rFonts w:cs="Calibri"/>
          <w:bCs/>
        </w:rPr>
        <w:t xml:space="preserve"> was selected by iteratively removing non-significant candidate variables from the model using a stepwise selection approach. All variables significant at p&lt;0.05 were retained in the preliminary model. This approach yielded 1,000 models from which we then selected all variables that were retained in the model at least 90% of the time for inclusion in the measure’s preliminary risk model. The 90% cut-off was selected as a more conservative inclusion criterion due to the large sample size of the measure’s cohort. This method selects variables that reliably and consistently enter the model across the 1,000 bootstrap samples.</w:t>
      </w:r>
    </w:p>
    <w:p w14:paraId="1BE6B571" w14:textId="3FEF1F67" w:rsidR="0013763C" w:rsidRDefault="0013763C" w:rsidP="001B230B">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i/>
        </w:rPr>
      </w:pPr>
      <w:r>
        <w:rPr>
          <w:rFonts w:cs="Calibri"/>
          <w:bCs/>
          <w:i/>
        </w:rPr>
        <w:t>Evaluation of Social Risk Factors</w:t>
      </w:r>
    </w:p>
    <w:p w14:paraId="1609AF9A" w14:textId="7274F935" w:rsidR="001B230B" w:rsidRPr="001B230B" w:rsidRDefault="001B230B"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We examined the independent effects of adding each of the </w:t>
      </w:r>
      <w:r w:rsidR="1F4A1990" w:rsidRPr="50637D09">
        <w:rPr>
          <w:rFonts w:cs="Calibri"/>
        </w:rPr>
        <w:t>social risk factor</w:t>
      </w:r>
      <w:r w:rsidRPr="50637D09">
        <w:rPr>
          <w:rFonts w:cs="Calibri"/>
        </w:rPr>
        <w:t xml:space="preserve"> to the model, after adjusting for the selected demographic and clinical factors, using the Medicare HF Full Sample.</w:t>
      </w:r>
    </w:p>
    <w:p w14:paraId="0CA25C13" w14:textId="77777777" w:rsidR="001B230B" w:rsidRPr="001B230B" w:rsidRDefault="001B230B" w:rsidP="001B230B">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1B230B">
        <w:rPr>
          <w:rFonts w:cs="Calibri"/>
          <w:bCs/>
        </w:rPr>
        <w:t>For each of the continuous variables (AHRQ SES Index and the two provider density variables for PCPs and cardiologists), we first categorized the variable into deciles and examined the outcome rate by decile to determine whether its effect on admission rates was linear or non-linear and, if non-linear, where appropriate cut points would be. Based on this preliminary analysis, we dichotomized each variable as the lowest quartile (Q1) vs. above (Q2-Q4).</w:t>
      </w:r>
    </w:p>
    <w:p w14:paraId="4BB2F010" w14:textId="7101A4E6" w:rsidR="001B230B" w:rsidRPr="001B230B" w:rsidRDefault="001B230B" w:rsidP="001B230B">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1B230B">
        <w:rPr>
          <w:rFonts w:cs="Calibri"/>
          <w:bCs/>
        </w:rPr>
        <w:t xml:space="preserve">We then analyzed the five residential and community context variables and the individual-level variable of Medicaid dual eligibility using negative binomial regression </w:t>
      </w:r>
      <w:r>
        <w:rPr>
          <w:rFonts w:cs="Calibri"/>
          <w:bCs/>
        </w:rPr>
        <w:t>modeling:</w:t>
      </w:r>
    </w:p>
    <w:p w14:paraId="2AB06144" w14:textId="4ADB8EBC" w:rsidR="001B230B" w:rsidRPr="001B230B" w:rsidRDefault="001B230B"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u w:val="single"/>
        </w:rPr>
        <w:t>Step 1</w:t>
      </w:r>
      <w:r w:rsidRPr="50637D09">
        <w:rPr>
          <w:rFonts w:cs="Calibri"/>
        </w:rPr>
        <w:t xml:space="preserve">. For each </w:t>
      </w:r>
      <w:r w:rsidR="1A9334DE" w:rsidRPr="50637D09">
        <w:rPr>
          <w:rFonts w:cs="Calibri"/>
        </w:rPr>
        <w:t>social risk factor</w:t>
      </w:r>
      <w:r w:rsidRPr="50637D09">
        <w:rPr>
          <w:rFonts w:cs="Calibri"/>
        </w:rPr>
        <w:t xml:space="preserve">, we calculated its univariate rate ratio (RR), which reflects how much more the admission rate is for individuals with a given </w:t>
      </w:r>
      <w:r w:rsidR="16C40288" w:rsidRPr="50637D09">
        <w:rPr>
          <w:rFonts w:cs="Calibri"/>
        </w:rPr>
        <w:t>social risk factor</w:t>
      </w:r>
      <w:r w:rsidRPr="50637D09">
        <w:rPr>
          <w:rFonts w:cs="Calibri"/>
        </w:rPr>
        <w:t xml:space="preserve"> than those without the </w:t>
      </w:r>
      <w:r w:rsidR="25B0AFF4" w:rsidRPr="50637D09">
        <w:rPr>
          <w:rFonts w:cs="Calibri"/>
        </w:rPr>
        <w:t>social risk factor</w:t>
      </w:r>
      <w:r w:rsidRPr="50637D09">
        <w:rPr>
          <w:rFonts w:cs="Calibri"/>
        </w:rPr>
        <w:t>.</w:t>
      </w:r>
    </w:p>
    <w:p w14:paraId="4B90442C" w14:textId="77777777" w:rsidR="001B230B" w:rsidRPr="001B230B" w:rsidRDefault="001B230B" w:rsidP="001B230B">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1B230B">
        <w:rPr>
          <w:rFonts w:cs="Calibri"/>
          <w:bCs/>
          <w:u w:val="single"/>
        </w:rPr>
        <w:t>Step 2</w:t>
      </w:r>
      <w:r w:rsidRPr="001B230B">
        <w:rPr>
          <w:rFonts w:cs="Calibri"/>
          <w:bCs/>
        </w:rPr>
        <w:t>. We then calculated the RR adjusted for demographic and clinical variables.</w:t>
      </w:r>
    </w:p>
    <w:p w14:paraId="789416FC" w14:textId="5E2D125F" w:rsidR="001B230B" w:rsidRPr="001B230B" w:rsidRDefault="001B230B"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u w:val="single"/>
        </w:rPr>
        <w:t>Step 3</w:t>
      </w:r>
      <w:r w:rsidRPr="50637D09">
        <w:rPr>
          <w:rFonts w:cs="Calibri"/>
        </w:rPr>
        <w:t xml:space="preserve">. </w:t>
      </w:r>
      <w:r w:rsidR="458F11D4" w:rsidRPr="50637D09">
        <w:rPr>
          <w:rFonts w:cs="Calibri"/>
        </w:rPr>
        <w:t>Social risk factors</w:t>
      </w:r>
      <w:r w:rsidRPr="50637D09">
        <w:rPr>
          <w:rFonts w:cs="Calibri"/>
        </w:rPr>
        <w:t xml:space="preserve"> that were statistically significant with a p value &lt;0.05 were included in a multivariable model that included the </w:t>
      </w:r>
      <w:r w:rsidR="3D706B6E" w:rsidRPr="50637D09">
        <w:rPr>
          <w:rFonts w:cs="Calibri"/>
        </w:rPr>
        <w:t>social risk factors</w:t>
      </w:r>
      <w:r w:rsidRPr="50637D09">
        <w:rPr>
          <w:rFonts w:cs="Calibri"/>
        </w:rPr>
        <w:t xml:space="preserve"> and the demographic and clinical risk factors.</w:t>
      </w:r>
    </w:p>
    <w:p w14:paraId="6442BAEE" w14:textId="20525DD1" w:rsidR="001B230B" w:rsidRPr="001B230B" w:rsidRDefault="001B230B" w:rsidP="50637D0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u w:val="single"/>
        </w:rPr>
        <w:t>Step 4</w:t>
      </w:r>
      <w:r w:rsidRPr="50637D09">
        <w:rPr>
          <w:rFonts w:cs="Calibri"/>
        </w:rPr>
        <w:t xml:space="preserve">. If the </w:t>
      </w:r>
      <w:r w:rsidR="19D67DF8" w:rsidRPr="50637D09">
        <w:rPr>
          <w:rFonts w:cs="Calibri"/>
        </w:rPr>
        <w:t>social risk factor</w:t>
      </w:r>
      <w:r w:rsidRPr="50637D09">
        <w:rPr>
          <w:rFonts w:cs="Calibri"/>
        </w:rPr>
        <w:t xml:space="preserve"> was directionally consistent with the hypothesized disparity and continued to be statistically significant with a p value &lt;0.05, even after adjusting for all other variables in the multivariable model, we considered its use in the preliminary model given our conceptual model of providers’ ability to mitigate </w:t>
      </w:r>
      <w:r w:rsidR="3C846199" w:rsidRPr="50637D09">
        <w:rPr>
          <w:rFonts w:cs="Calibri"/>
        </w:rPr>
        <w:t>social risk factors</w:t>
      </w:r>
      <w:r w:rsidRPr="50637D09">
        <w:rPr>
          <w:rFonts w:cs="Calibri"/>
        </w:rPr>
        <w:t xml:space="preserve"> and the program context.</w:t>
      </w:r>
    </w:p>
    <w:p w14:paraId="093E0817" w14:textId="168ADE51" w:rsidR="0013763C" w:rsidRDefault="001B230B" w:rsidP="3E03A94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rPr>
      </w:pPr>
      <w:r w:rsidRPr="50637D09">
        <w:rPr>
          <w:rFonts w:cs="Calibri"/>
        </w:rPr>
        <w:t xml:space="preserve">Finally, to assess the impact on providers’ measure scores of including </w:t>
      </w:r>
      <w:r w:rsidR="2988CFA4" w:rsidRPr="50637D09">
        <w:rPr>
          <w:rFonts w:cs="Calibri"/>
        </w:rPr>
        <w:t>social risk factor</w:t>
      </w:r>
      <w:r w:rsidRPr="50637D09">
        <w:rPr>
          <w:rFonts w:cs="Calibri"/>
        </w:rPr>
        <w:t xml:space="preserve">s in the risk-adjustment model, we calculated the correlation in measure scores with and without the final set of </w:t>
      </w:r>
      <w:r w:rsidR="1124F124" w:rsidRPr="50637D09">
        <w:rPr>
          <w:rFonts w:cs="Calibri"/>
        </w:rPr>
        <w:t>social risk factors.</w:t>
      </w:r>
    </w:p>
    <w:p w14:paraId="2BC90C42" w14:textId="77777777" w:rsidR="0013763C" w:rsidRPr="000D6F33" w:rsidRDefault="0013763C"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0D6F33">
        <w:rPr>
          <w:rFonts w:cs="Calibri"/>
          <w:bCs/>
          <w:u w:val="single"/>
        </w:rPr>
        <w:t>Model Form</w:t>
      </w:r>
    </w:p>
    <w:p w14:paraId="71A2054F" w14:textId="24581C2E" w:rsidR="00CC1774" w:rsidRPr="00CC1774" w:rsidRDefault="00CC1774" w:rsidP="00CC1774">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CC1774">
        <w:rPr>
          <w:rFonts w:cs="Calibri"/>
          <w:bCs/>
        </w:rPr>
        <w:t>The measure calculates</w:t>
      </w:r>
      <w:r w:rsidR="001F12A8" w:rsidRPr="001F12A8">
        <w:t xml:space="preserve"> </w:t>
      </w:r>
      <w:r w:rsidR="001F12A8">
        <w:t>risk-standardized acute cardiovascular-related admission rates</w:t>
      </w:r>
      <w:r w:rsidRPr="00CC1774">
        <w:rPr>
          <w:rFonts w:cs="Calibri"/>
          <w:bCs/>
        </w:rPr>
        <w:t xml:space="preserve"> </w:t>
      </w:r>
      <w:r w:rsidR="001F12A8">
        <w:rPr>
          <w:rFonts w:cs="Calibri"/>
          <w:bCs/>
        </w:rPr>
        <w:t>(</w:t>
      </w:r>
      <w:r w:rsidRPr="00CC1774">
        <w:rPr>
          <w:rFonts w:cs="Calibri"/>
          <w:bCs/>
        </w:rPr>
        <w:t>RSCARs</w:t>
      </w:r>
      <w:r w:rsidR="001F12A8">
        <w:rPr>
          <w:rFonts w:cs="Calibri"/>
          <w:bCs/>
        </w:rPr>
        <w:t>)</w:t>
      </w:r>
      <w:r w:rsidRPr="00CC1774">
        <w:rPr>
          <w:rFonts w:cs="Calibri"/>
          <w:bCs/>
        </w:rPr>
        <w:t xml:space="preserve"> for MIPS providers (at either the individual clinician level or the TIN level) based on their HF patients’ unplanned cardiovascular-related hospital admissions during the measurement period. The RSCAR for </w:t>
      </w:r>
      <w:r w:rsidRPr="00CC1774">
        <w:rPr>
          <w:rFonts w:cs="Calibri"/>
          <w:bCs/>
        </w:rPr>
        <w:lastRenderedPageBreak/>
        <w:t>each MIPS provider is calculated as the ratio of the number of “predicted” to the number of “expected” admissions per 100 person-years, multiplied by the national rate of admissions among all attributed Medicare FFS patients with HF. The measure uses a hierarchical (two-level) negative binomial model with linear variance that adjusts for demographic, clinical, and social risk factors; accounts for the clustering of patients within MIPS providers; and accommodates the varying HF patient population size across MIPS providers.</w:t>
      </w:r>
    </w:p>
    <w:p w14:paraId="61355480" w14:textId="6FB2971D" w:rsidR="0013763C" w:rsidRDefault="00CC1774" w:rsidP="00CC1774">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CC1774">
        <w:rPr>
          <w:rFonts w:cs="Calibri"/>
          <w:bCs/>
        </w:rPr>
        <w:t>We selected the model form based on statistical considerations. Since the outcome of number of acute cardiovascular-related hospital admissions was over dispersed (variance of the outcome exceeded the mean), we considered five alternative models: 1) negative binomial with quadratic variance or NB-2, 2) negative binomial with linear variance or NB-1, 3) zero-inflated negative binomial, 4) generalized Poisson, and 5) Poisson inverse Gaussian models. For each model form, we examined fit through use of 1) an internal calibration plot that compared observed and predicted admission rates across deciles of admission risk and 2) goodness-of-fit statistics, including the Schwarz Bayesian criterion (BIC), using the Development Sample.</w:t>
      </w:r>
    </w:p>
    <w:p w14:paraId="55F7A1D8" w14:textId="5440C95F" w:rsidR="0013763C" w:rsidRPr="005C13EC" w:rsidRDefault="00433986" w:rsidP="0013763C">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References</w:t>
      </w:r>
    </w:p>
    <w:p w14:paraId="1808B22A" w14:textId="507D0AC9" w:rsidR="0013763C" w:rsidRPr="00243AFC" w:rsidRDefault="0013763C" w:rsidP="00243AFC">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proofErr w:type="spellStart"/>
      <w:r w:rsidRPr="00243AFC">
        <w:rPr>
          <w:rFonts w:cs="Calibri"/>
          <w:bCs/>
        </w:rPr>
        <w:t>Krumholz</w:t>
      </w:r>
      <w:proofErr w:type="spellEnd"/>
      <w:r w:rsidRPr="00243AFC">
        <w:rPr>
          <w:rFonts w:cs="Calibri"/>
          <w:bCs/>
        </w:rPr>
        <w:t xml:space="preserve"> HM, </w:t>
      </w:r>
      <w:proofErr w:type="spellStart"/>
      <w:r w:rsidRPr="00243AFC">
        <w:rPr>
          <w:rFonts w:cs="Calibri"/>
          <w:bCs/>
        </w:rPr>
        <w:t>Brindis</w:t>
      </w:r>
      <w:proofErr w:type="spellEnd"/>
      <w:r w:rsidRPr="00243AFC">
        <w:rPr>
          <w:rFonts w:cs="Calibri"/>
          <w:bCs/>
        </w:rPr>
        <w:t xml:space="preserve"> RG, Brush JE, et al. 2006. Standards for Statistical Models Used for Public Reporting of Health Outcomes: An American Heart As</w:t>
      </w:r>
      <w:r w:rsidR="001B230B" w:rsidRPr="00243AFC">
        <w:rPr>
          <w:rFonts w:cs="Calibri"/>
          <w:bCs/>
        </w:rPr>
        <w:t>sociation Scientific Statement f</w:t>
      </w:r>
      <w:r w:rsidRPr="00243AFC">
        <w:rPr>
          <w:rFonts w:cs="Calibri"/>
          <w:bCs/>
        </w:rPr>
        <w:t>rom the Quality of Care and Outcomes Research Interdisciplinary Writing Group: Cosponsored by the Council on Epidemiology and Prevention and the Stroke Council Endorsed by the American College of Cardiology Foundation. Circulation 113: 456-462.</w:t>
      </w:r>
    </w:p>
    <w:p w14:paraId="56273062" w14:textId="5FADE76D" w:rsidR="00243AFC" w:rsidRPr="00380E52" w:rsidRDefault="00380E52" w:rsidP="00243AFC">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proofErr w:type="spellStart"/>
      <w:r w:rsidRPr="001A593F">
        <w:t>Steinwac</w:t>
      </w:r>
      <w:r>
        <w:t>hs</w:t>
      </w:r>
      <w:proofErr w:type="spellEnd"/>
      <w:r>
        <w:t xml:space="preserve"> DM, Stratton, K., Kwan, L.Y.,</w:t>
      </w:r>
      <w:r w:rsidRPr="001A593F">
        <w:t xml:space="preserve"> </w:t>
      </w:r>
      <w:r w:rsidRPr="001A593F">
        <w:rPr>
          <w:i/>
        </w:rPr>
        <w:t xml:space="preserve">Accounting for Social Risk Factors in Medicare Payment. </w:t>
      </w:r>
      <w:r w:rsidRPr="001A593F">
        <w:t>Washington DC: 2017 by the National Academy of Sciences;2017.</w:t>
      </w:r>
    </w:p>
    <w:p w14:paraId="37BEF1B0"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Perreault L, Ma Y, </w:t>
      </w:r>
      <w:proofErr w:type="spellStart"/>
      <w:r w:rsidRPr="00380E52">
        <w:rPr>
          <w:rFonts w:cs="Calibri"/>
          <w:bCs/>
        </w:rPr>
        <w:t>Dagogo</w:t>
      </w:r>
      <w:proofErr w:type="spellEnd"/>
      <w:r w:rsidRPr="00380E52">
        <w:rPr>
          <w:rFonts w:cs="Calibri"/>
          <w:bCs/>
        </w:rPr>
        <w:t>-Jack S, et al. Sex differences in diabetes risk and the effect of intensive lifestyle modification in the Diabetes Prevention Program. Diabetes Care. 2008;31(7):1416-1421.</w:t>
      </w:r>
    </w:p>
    <w:p w14:paraId="334ACDAC"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proofErr w:type="spellStart"/>
      <w:r w:rsidRPr="00380E52">
        <w:rPr>
          <w:rFonts w:cs="Calibri"/>
          <w:bCs/>
        </w:rPr>
        <w:t>Vaccarino</w:t>
      </w:r>
      <w:proofErr w:type="spellEnd"/>
      <w:r w:rsidRPr="00380E52">
        <w:rPr>
          <w:rFonts w:cs="Calibri"/>
          <w:bCs/>
        </w:rPr>
        <w:t xml:space="preserve"> V, Chen YT, Wang Y, Radford MJ, Krumholz HM. Sex differences in the clinical care and outcomes of congestive heart failure in the elderly. Am Heart J. 1999;138(5 Pt 1):835-842.</w:t>
      </w:r>
    </w:p>
    <w:p w14:paraId="57C10611"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Wexler DJ, Grant RW, Meigs JB, Nathan DM, </w:t>
      </w:r>
      <w:proofErr w:type="spellStart"/>
      <w:r w:rsidRPr="00380E52">
        <w:rPr>
          <w:rFonts w:cs="Calibri"/>
          <w:bCs/>
        </w:rPr>
        <w:t>Cagliero</w:t>
      </w:r>
      <w:proofErr w:type="spellEnd"/>
      <w:r w:rsidRPr="00380E52">
        <w:rPr>
          <w:rFonts w:cs="Calibri"/>
          <w:bCs/>
        </w:rPr>
        <w:t xml:space="preserve"> E. Sex disparities in treatment of cardiac risk factors in patients with type 2 diabetes. Diabetes Care. 2005;28(3):514-520.</w:t>
      </w:r>
    </w:p>
    <w:p w14:paraId="23129810"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Young BA, Lin E, Von </w:t>
      </w:r>
      <w:proofErr w:type="spellStart"/>
      <w:r w:rsidRPr="00380E52">
        <w:rPr>
          <w:rFonts w:cs="Calibri"/>
          <w:bCs/>
        </w:rPr>
        <w:t>Korff</w:t>
      </w:r>
      <w:proofErr w:type="spellEnd"/>
      <w:r w:rsidRPr="00380E52">
        <w:rPr>
          <w:rFonts w:cs="Calibri"/>
          <w:bCs/>
        </w:rPr>
        <w:t xml:space="preserve"> M, et al. Diabetes complications severity index and risk of mortality, hospitalization, and healthcare utilization. Am J </w:t>
      </w:r>
      <w:proofErr w:type="spellStart"/>
      <w:r w:rsidRPr="00380E52">
        <w:rPr>
          <w:rFonts w:cs="Calibri"/>
          <w:bCs/>
        </w:rPr>
        <w:t>Manag</w:t>
      </w:r>
      <w:proofErr w:type="spellEnd"/>
      <w:r w:rsidRPr="00380E52">
        <w:rPr>
          <w:rFonts w:cs="Calibri"/>
          <w:bCs/>
        </w:rPr>
        <w:t xml:space="preserve"> Care. 2008;14(1):15-23.</w:t>
      </w:r>
    </w:p>
    <w:p w14:paraId="1B606825"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proofErr w:type="spellStart"/>
      <w:r w:rsidRPr="00380E52">
        <w:rPr>
          <w:rFonts w:cs="Calibri"/>
          <w:bCs/>
        </w:rPr>
        <w:t>Ziaeian</w:t>
      </w:r>
      <w:proofErr w:type="spellEnd"/>
      <w:r w:rsidRPr="00380E52">
        <w:rPr>
          <w:rFonts w:cs="Calibri"/>
          <w:bCs/>
        </w:rPr>
        <w:t xml:space="preserve"> B, Heidenreich PA, Xu H, et al. Medicare Expenditures by Race/Ethnicity After Hospitalization for Heart Failure with Preserved Ejection Fraction. JACC: Heart Failure. 2018:798.</w:t>
      </w:r>
    </w:p>
    <w:p w14:paraId="5C880E1C"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 </w:t>
      </w:r>
      <w:proofErr w:type="spellStart"/>
      <w:r w:rsidRPr="00380E52">
        <w:rPr>
          <w:rFonts w:cs="Calibri"/>
          <w:bCs/>
        </w:rPr>
        <w:t>Husaini</w:t>
      </w:r>
      <w:proofErr w:type="spellEnd"/>
      <w:r w:rsidRPr="00380E52">
        <w:rPr>
          <w:rFonts w:cs="Calibri"/>
          <w:bCs/>
        </w:rPr>
        <w:t xml:space="preserve"> BA, Mensah GA, Sawyer D, Cain VA, Samad Z, Hull PC, Levine RS, Sampson UK. Race, sex, and age differences in heart failure-related hospitalizations in a southern state: implications for prevention. Circulation: Heart Failure. 2011;4(2):161-169.</w:t>
      </w:r>
    </w:p>
    <w:p w14:paraId="6A922AA0"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Faurot KR, Jonsson Funk M, Pate V, et al. Using claims data to predict dependency in activities of daily living as a proxy for frailty. </w:t>
      </w:r>
      <w:proofErr w:type="spellStart"/>
      <w:r w:rsidRPr="00380E52">
        <w:rPr>
          <w:rFonts w:cs="Calibri"/>
          <w:bCs/>
        </w:rPr>
        <w:t>Pharmacoepidemiol</w:t>
      </w:r>
      <w:proofErr w:type="spellEnd"/>
      <w:r w:rsidRPr="00380E52">
        <w:rPr>
          <w:rFonts w:cs="Calibri"/>
          <w:bCs/>
        </w:rPr>
        <w:t xml:space="preserve"> Drug </w:t>
      </w:r>
      <w:proofErr w:type="spellStart"/>
      <w:r w:rsidRPr="00380E52">
        <w:rPr>
          <w:rFonts w:cs="Calibri"/>
          <w:bCs/>
        </w:rPr>
        <w:t>Saf</w:t>
      </w:r>
      <w:proofErr w:type="spellEnd"/>
      <w:r w:rsidRPr="00380E52">
        <w:rPr>
          <w:rFonts w:cs="Calibri"/>
          <w:bCs/>
        </w:rPr>
        <w:t>. 2015;24(1):59-66.</w:t>
      </w:r>
    </w:p>
    <w:p w14:paraId="047A2FE5"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Kim DH, </w:t>
      </w:r>
      <w:proofErr w:type="spellStart"/>
      <w:r w:rsidRPr="00380E52">
        <w:rPr>
          <w:rFonts w:cs="Calibri"/>
          <w:bCs/>
        </w:rPr>
        <w:t>Schneeweiss</w:t>
      </w:r>
      <w:proofErr w:type="spellEnd"/>
      <w:r w:rsidRPr="00380E52">
        <w:rPr>
          <w:rFonts w:cs="Calibri"/>
          <w:bCs/>
        </w:rPr>
        <w:t xml:space="preserve"> S, Glynn RJ, Lipsitz LA, Rockwood K, </w:t>
      </w:r>
      <w:proofErr w:type="spellStart"/>
      <w:r w:rsidRPr="00380E52">
        <w:rPr>
          <w:rFonts w:cs="Calibri"/>
          <w:bCs/>
        </w:rPr>
        <w:t>Avorn</w:t>
      </w:r>
      <w:proofErr w:type="spellEnd"/>
      <w:r w:rsidRPr="00380E52">
        <w:rPr>
          <w:rFonts w:cs="Calibri"/>
          <w:bCs/>
        </w:rPr>
        <w:t xml:space="preserve"> J. Measuring Frailty in Medicare Data: Development and Validation of a Claims-Based Frailty Index. J </w:t>
      </w:r>
      <w:proofErr w:type="spellStart"/>
      <w:r w:rsidRPr="00380E52">
        <w:rPr>
          <w:rFonts w:cs="Calibri"/>
          <w:bCs/>
        </w:rPr>
        <w:t>Gerontol</w:t>
      </w:r>
      <w:proofErr w:type="spellEnd"/>
      <w:r w:rsidRPr="00380E52">
        <w:rPr>
          <w:rFonts w:cs="Calibri"/>
          <w:bCs/>
        </w:rPr>
        <w:t xml:space="preserve"> </w:t>
      </w:r>
      <w:proofErr w:type="gramStart"/>
      <w:r w:rsidRPr="00380E52">
        <w:rPr>
          <w:rFonts w:cs="Calibri"/>
          <w:bCs/>
        </w:rPr>
        <w:t>A</w:t>
      </w:r>
      <w:proofErr w:type="gramEnd"/>
      <w:r w:rsidRPr="00380E52">
        <w:rPr>
          <w:rFonts w:cs="Calibri"/>
          <w:bCs/>
        </w:rPr>
        <w:t xml:space="preserve"> Biol Sci Med Sci. 2018;73(7):980-987.</w:t>
      </w:r>
    </w:p>
    <w:p w14:paraId="5E8C09A7"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Palmetto GBA. Policy Group Map Reports. 2019; https://www.dmepdac.com/palmetto/PDAC.nsf/DID/CVAIRKXWKW. Accessed June 17, 2019.</w:t>
      </w:r>
    </w:p>
    <w:p w14:paraId="3D5B44FA"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r w:rsidRPr="00380E52">
        <w:rPr>
          <w:rFonts w:cs="Calibri"/>
          <w:bCs/>
        </w:rPr>
        <w:t xml:space="preserve">Jencks SF, Schuster A, Dougherty GB, </w:t>
      </w:r>
      <w:proofErr w:type="spellStart"/>
      <w:r w:rsidRPr="00380E52">
        <w:rPr>
          <w:rFonts w:cs="Calibri"/>
          <w:bCs/>
        </w:rPr>
        <w:t>Gerovich</w:t>
      </w:r>
      <w:proofErr w:type="spellEnd"/>
      <w:r w:rsidRPr="00380E52">
        <w:rPr>
          <w:rFonts w:cs="Calibri"/>
          <w:bCs/>
        </w:rPr>
        <w:t xml:space="preserve"> S, Brock JE, Kind AJ. Safety-Net Hospitals, Neighborhood Disadvantage, and Readmissions Under Maryland's All-Payer Program: An Observational Study. Ann Intern Med. [</w:t>
      </w:r>
      <w:proofErr w:type="spellStart"/>
      <w:r w:rsidRPr="00380E52">
        <w:rPr>
          <w:rFonts w:cs="Calibri"/>
          <w:bCs/>
        </w:rPr>
        <w:t>Epub</w:t>
      </w:r>
      <w:proofErr w:type="spellEnd"/>
      <w:r w:rsidRPr="00380E52">
        <w:rPr>
          <w:rFonts w:cs="Calibri"/>
          <w:bCs/>
        </w:rPr>
        <w:t xml:space="preserve"> ahead of print 2 July 2019] </w:t>
      </w:r>
      <w:proofErr w:type="spellStart"/>
      <w:r w:rsidRPr="00380E52">
        <w:rPr>
          <w:rFonts w:cs="Calibri"/>
          <w:bCs/>
        </w:rPr>
        <w:t>doi</w:t>
      </w:r>
      <w:proofErr w:type="spellEnd"/>
      <w:r w:rsidRPr="00380E52">
        <w:rPr>
          <w:rFonts w:cs="Calibri"/>
          <w:bCs/>
        </w:rPr>
        <w:t>: 10.7326/M16-2671.</w:t>
      </w:r>
    </w:p>
    <w:p w14:paraId="71720794" w14:textId="77777777" w:rsidR="00380E52" w:rsidRPr="00380E52" w:rsidRDefault="00380E52" w:rsidP="00380E52">
      <w:pPr>
        <w:pStyle w:val="ListParagraph"/>
        <w:numPr>
          <w:ilvl w:val="0"/>
          <w:numId w:val="46"/>
        </w:num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ind w:left="360"/>
        <w:rPr>
          <w:rFonts w:cs="Calibri"/>
          <w:bCs/>
        </w:rPr>
      </w:pPr>
      <w:proofErr w:type="spellStart"/>
      <w:r w:rsidRPr="00380E52">
        <w:rPr>
          <w:rFonts w:cs="Calibri"/>
          <w:bCs/>
        </w:rPr>
        <w:t>Kawachi</w:t>
      </w:r>
      <w:proofErr w:type="spellEnd"/>
      <w:r w:rsidRPr="00380E52">
        <w:rPr>
          <w:rFonts w:cs="Calibri"/>
          <w:bCs/>
        </w:rPr>
        <w:t xml:space="preserve"> I. Social capital and community effects on population and individual health. Ann N Y </w:t>
      </w:r>
      <w:proofErr w:type="spellStart"/>
      <w:r w:rsidRPr="00380E52">
        <w:rPr>
          <w:rFonts w:cs="Calibri"/>
          <w:bCs/>
        </w:rPr>
        <w:t>Acad</w:t>
      </w:r>
      <w:proofErr w:type="spellEnd"/>
      <w:r w:rsidRPr="00380E52">
        <w:rPr>
          <w:rFonts w:cs="Calibri"/>
          <w:bCs/>
        </w:rPr>
        <w:t xml:space="preserve"> Sci. </w:t>
      </w:r>
      <w:proofErr w:type="gramStart"/>
      <w:r w:rsidRPr="00380E52">
        <w:rPr>
          <w:rFonts w:cs="Calibri"/>
          <w:bCs/>
        </w:rPr>
        <w:t>1999;896:120</w:t>
      </w:r>
      <w:proofErr w:type="gramEnd"/>
      <w:r w:rsidRPr="00380E52">
        <w:rPr>
          <w:rFonts w:cs="Calibri"/>
          <w:bCs/>
        </w:rPr>
        <w:t>-130.</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lastRenderedPageBreak/>
        <w:t xml:space="preserve">2b3.3b. How </w:t>
      </w:r>
      <w:proofErr w:type="gramStart"/>
      <w:r>
        <w:rPr>
          <w:rFonts w:cstheme="minorHAnsi"/>
          <w:b/>
          <w:bCs/>
        </w:rPr>
        <w:t>was</w:t>
      </w:r>
      <w:proofErr w:type="gramEnd"/>
      <w:r>
        <w:rPr>
          <w:rFonts w:cstheme="minorHAnsi"/>
          <w:b/>
          <w:bCs/>
        </w:rPr>
        <w:t xml:space="preserve">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775721F3" w:rsidR="00275563" w:rsidRPr="005232D6" w:rsidRDefault="006A529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shd w:val="clear" w:color="auto" w:fill="E6E6E6"/>
          </w:rPr>
          <w:id w:val="-319728797"/>
          <w14:checkbox>
            <w14:checked w14:val="1"/>
            <w14:checkedState w14:val="2612" w14:font="MS Gothic"/>
            <w14:uncheckedState w14:val="2610" w14:font="MS Gothic"/>
          </w14:checkbox>
        </w:sdtPr>
        <w:sdtContent>
          <w:r w:rsidR="00251F70">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6A529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shd w:val="clear" w:color="auto" w:fill="E6E6E6"/>
          </w:rPr>
          <w:id w:val="141836377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6A529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shd w:val="clear" w:color="auto" w:fill="E6E6E6"/>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6C675D66"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678D944D" w14:textId="247BEB26" w:rsidR="00CC1774" w:rsidRPr="00D702F0" w:rsidRDefault="00CC1774" w:rsidP="00CC177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Calibri" w:eastAsia="Calibri" w:hAnsi="Calibri" w:cs="Calibri"/>
          <w:color w:val="000000"/>
        </w:rPr>
      </w:pPr>
      <w:r w:rsidRPr="50637D09">
        <w:rPr>
          <w:rFonts w:ascii="Calibri" w:eastAsia="Calibri" w:hAnsi="Calibri" w:cs="Calibri"/>
          <w:color w:val="000000" w:themeColor="text1"/>
        </w:rPr>
        <w:t xml:space="preserve">We identified 43 candidate demographic and clinical risk factors. In total, we excluded 14 variables because they were not significant in bivariate analysis (other cancer), they were not significant in the multivariable model (dementia and major organ transplant status), or they did not meet the 90% threshold for inclusion based bootstrapping results (bone/joint/muscle infections/necrosis, dialysis status, gastrointestinal disease, hematological diseases, hip or vertebral fracture, infectious and immunologic diseases, lifts, original reason for Medicare entitlement: </w:t>
      </w:r>
      <w:r w:rsidR="000E6750" w:rsidRPr="50637D09">
        <w:rPr>
          <w:rFonts w:ascii="Calibri" w:eastAsia="Calibri" w:hAnsi="Calibri" w:cs="Calibri"/>
          <w:color w:val="000000" w:themeColor="text1"/>
        </w:rPr>
        <w:t>E</w:t>
      </w:r>
      <w:r w:rsidRPr="50637D09">
        <w:rPr>
          <w:rFonts w:ascii="Calibri" w:eastAsia="Calibri" w:hAnsi="Calibri" w:cs="Calibri"/>
          <w:color w:val="000000" w:themeColor="text1"/>
        </w:rPr>
        <w:t>SRD, pancreatic disease, and walking aids), or they became protective factors likely due to survival bias (sepsis/septicemia). Thus, the final risk-adjustment model included 29 demographic and clinical risk variables, including age, clinical comorbidities, and measures of frailty/disability based on use of selected durable medical equipment (DME) and original reason for Medicare entitlement (see Tab</w:t>
      </w:r>
      <w:r w:rsidR="00412EE6" w:rsidRPr="50637D09">
        <w:rPr>
          <w:rFonts w:ascii="Calibri" w:eastAsia="Calibri" w:hAnsi="Calibri" w:cs="Calibri"/>
          <w:color w:val="000000" w:themeColor="text1"/>
        </w:rPr>
        <w:t xml:space="preserve"> 8</w:t>
      </w:r>
      <w:r w:rsidR="1BDAF0A3" w:rsidRPr="50637D09">
        <w:rPr>
          <w:rFonts w:ascii="Calibri" w:eastAsia="Calibri" w:hAnsi="Calibri" w:cs="Calibri"/>
          <w:color w:val="000000" w:themeColor="text1"/>
        </w:rPr>
        <w:t xml:space="preserve"> </w:t>
      </w:r>
      <w:r w:rsidRPr="50637D09">
        <w:rPr>
          <w:rFonts w:ascii="Calibri" w:eastAsia="Calibri" w:hAnsi="Calibri" w:cs="Calibri"/>
          <w:color w:val="000000" w:themeColor="text1"/>
        </w:rPr>
        <w:t>in the accompanying data dictionary). Frequencies and adjusted rate ratios (RRs) and 95% confidence intervals (CIs) for the final set of 29 demographic and clinical variables were similar in the Development and Validation Samples.</w:t>
      </w:r>
    </w:p>
    <w:p w14:paraId="7BB5C1B1" w14:textId="0311CA3B" w:rsidR="3E03A949" w:rsidRDefault="3E03A949" w:rsidP="3E03A949">
      <w:pPr>
        <w:spacing w:after="0" w:line="240" w:lineRule="auto"/>
        <w:rPr>
          <w:rFonts w:ascii="Calibri" w:eastAsia="Calibri" w:hAnsi="Calibri" w:cs="Calibri"/>
          <w:color w:val="000000" w:themeColor="text1"/>
        </w:rPr>
      </w:pPr>
    </w:p>
    <w:p w14:paraId="0CABCFF9" w14:textId="753F12D6" w:rsidR="00C1695E" w:rsidRDefault="009C7513" w:rsidP="3E03A949">
      <w:pPr>
        <w:autoSpaceDE w:val="0"/>
        <w:autoSpaceDN w:val="0"/>
        <w:adjustRightInd w:val="0"/>
        <w:spacing w:after="0" w:line="240" w:lineRule="auto"/>
        <w:rPr>
          <w:b/>
          <w:bCs/>
        </w:rPr>
      </w:pPr>
      <w:r w:rsidRPr="50637D09">
        <w:rPr>
          <w:b/>
          <w:bCs/>
        </w:rPr>
        <w:t>2b3</w:t>
      </w:r>
      <w:r w:rsidR="00C1695E" w:rsidRPr="50637D09">
        <w:rPr>
          <w:b/>
          <w:bCs/>
        </w:rPr>
        <w:t xml:space="preserve">.4b. Describe the analyses and interpretation resulting in the decision to select </w:t>
      </w:r>
      <w:r w:rsidR="00AF2D68" w:rsidRPr="50637D09">
        <w:rPr>
          <w:b/>
          <w:bCs/>
        </w:rPr>
        <w:t>social risk</w:t>
      </w:r>
      <w:r w:rsidR="00C1695E" w:rsidRPr="50637D09">
        <w:rPr>
          <w:b/>
          <w:bCs/>
        </w:rPr>
        <w:t xml:space="preserve"> factors </w:t>
      </w:r>
      <w:r w:rsidR="00C1695E" w:rsidRPr="50637D09">
        <w:rPr>
          <w:i/>
          <w:iCs/>
        </w:rPr>
        <w:t>(</w:t>
      </w:r>
      <w:proofErr w:type="gramStart"/>
      <w:r w:rsidR="00C1695E" w:rsidRPr="50637D09">
        <w:rPr>
          <w:i/>
          <w:iCs/>
        </w:rPr>
        <w:t>e.g.</w:t>
      </w:r>
      <w:proofErr w:type="gramEnd"/>
      <w:r w:rsidR="00C1695E" w:rsidRPr="50637D09">
        <w:rPr>
          <w:i/>
          <w:iCs/>
        </w:rPr>
        <w:t xml:space="preserve"> prevalence of the factor across measured entities, empirical association with the outcome, contribution of unique variation in the outcome, assessment of between-unit effects and within-unit effects</w:t>
      </w:r>
      <w:r w:rsidR="00CE284E" w:rsidRPr="50637D09">
        <w:rPr>
          <w:i/>
          <w:iCs/>
        </w:rPr>
        <w:t xml:space="preserve">.)  </w:t>
      </w:r>
      <w:r w:rsidR="00CE284E" w:rsidRPr="50637D09">
        <w:rPr>
          <w:b/>
          <w:bCs/>
        </w:rPr>
        <w:t>Also describe the</w:t>
      </w:r>
      <w:r w:rsidR="00AF2D68" w:rsidRPr="50637D09">
        <w:rPr>
          <w:b/>
          <w:bCs/>
        </w:rPr>
        <w:t xml:space="preserve"> impact of adjusting for social risk (or not) on providers</w:t>
      </w:r>
      <w:r w:rsidR="00CE284E" w:rsidRPr="50637D09">
        <w:rPr>
          <w:b/>
          <w:bCs/>
        </w:rPr>
        <w:t xml:space="preserve"> at high or low extremes of risk.</w:t>
      </w:r>
    </w:p>
    <w:p w14:paraId="1A2833B2" w14:textId="771D2221" w:rsidR="00994FB5" w:rsidRDefault="00994FB5" w:rsidP="001B1235">
      <w:pPr>
        <w:pBdr>
          <w:top w:val="single" w:sz="4" w:space="1" w:color="auto"/>
          <w:left w:val="single" w:sz="4" w:space="30" w:color="auto"/>
          <w:bottom w:val="single" w:sz="4" w:space="1" w:color="auto"/>
          <w:right w:val="single" w:sz="4" w:space="4" w:color="auto"/>
        </w:pBdr>
      </w:pPr>
      <w:r>
        <w:t xml:space="preserve">Consistent with our conceptual framework and statistical approach to risk factor selection, we </w:t>
      </w:r>
      <w:r w:rsidRPr="00F9345F">
        <w:t>include</w:t>
      </w:r>
      <w:r w:rsidR="002823D2">
        <w:t>d</w:t>
      </w:r>
      <w:r w:rsidRPr="00F9345F">
        <w:t xml:space="preserve"> </w:t>
      </w:r>
      <w:r w:rsidR="00F9345F">
        <w:t>one</w:t>
      </w:r>
      <w:r w:rsidR="00CC1774" w:rsidRPr="00F9345F">
        <w:t xml:space="preserve"> social risk factor</w:t>
      </w:r>
      <w:r w:rsidRPr="00F9345F">
        <w:t xml:space="preserve"> in the risk-adjustment model: </w:t>
      </w:r>
      <w:r w:rsidR="00CC1774" w:rsidRPr="00F9345F">
        <w:t xml:space="preserve">the </w:t>
      </w:r>
      <w:r w:rsidRPr="00F9345F">
        <w:t>AHRQ SES Index.</w:t>
      </w:r>
    </w:p>
    <w:p w14:paraId="621635F5" w14:textId="64F15F61" w:rsidR="00CC1774" w:rsidRDefault="00CC1774" w:rsidP="001B1235">
      <w:pPr>
        <w:pBdr>
          <w:top w:val="single" w:sz="4" w:space="1" w:color="auto"/>
          <w:left w:val="single" w:sz="4" w:space="30" w:color="auto"/>
          <w:bottom w:val="single" w:sz="4" w:space="1" w:color="auto"/>
          <w:right w:val="single" w:sz="4" w:space="4" w:color="auto"/>
        </w:pBdr>
      </w:pPr>
      <w:r>
        <w:t>As noted in Section 2.6.4, we evaluated four residential and community context variables for possible inclusion in the risk-adjustment model: 1) the AHRQ SES Index, 2) rural residence, 3) PCP density, and 4) cardiologist density and one individual level v</w:t>
      </w:r>
      <w:r w:rsidR="000E6750">
        <w:t>ariable: Medicare-Medicaid dual-</w:t>
      </w:r>
      <w:r>
        <w:t>eligibility</w:t>
      </w:r>
      <w:r w:rsidR="00BD7E99">
        <w:t xml:space="preserve"> status</w:t>
      </w:r>
      <w:r>
        <w:t xml:space="preserve">. </w:t>
      </w:r>
    </w:p>
    <w:p w14:paraId="0920DB5D" w14:textId="0A414BDB" w:rsidR="00CC1774" w:rsidRDefault="00506DF4" w:rsidP="001B1235">
      <w:pPr>
        <w:pBdr>
          <w:top w:val="single" w:sz="4" w:space="1" w:color="auto"/>
          <w:left w:val="single" w:sz="4" w:space="30" w:color="auto"/>
          <w:bottom w:val="single" w:sz="4" w:space="1" w:color="auto"/>
          <w:right w:val="single" w:sz="4" w:space="4" w:color="auto"/>
        </w:pBdr>
      </w:pPr>
      <w:r>
        <w:t xml:space="preserve">See the table below for the results of our analyses. </w:t>
      </w:r>
      <w:r w:rsidR="00CC1774">
        <w:t>After adjusting for demographic, comorbidity, and frailty/disability variables in the model, we found:</w:t>
      </w:r>
    </w:p>
    <w:p w14:paraId="72545179" w14:textId="0FF78F07" w:rsidR="001B230B" w:rsidRDefault="001B230B" w:rsidP="001B1235">
      <w:pPr>
        <w:pBdr>
          <w:top w:val="single" w:sz="4" w:space="1" w:color="auto"/>
          <w:left w:val="single" w:sz="4" w:space="30" w:color="auto"/>
          <w:bottom w:val="single" w:sz="4" w:space="1" w:color="auto"/>
          <w:right w:val="single" w:sz="4" w:space="4" w:color="auto"/>
        </w:pBdr>
        <w:spacing w:after="0" w:line="240" w:lineRule="auto"/>
      </w:pPr>
      <w:r>
        <w:t xml:space="preserve">1. The AHRQ SES is </w:t>
      </w:r>
      <w:r w:rsidR="3D39E8FA">
        <w:t>associated with</w:t>
      </w:r>
      <w:r>
        <w:t xml:space="preserve"> a higher risk for hospitalization.</w:t>
      </w:r>
    </w:p>
    <w:p w14:paraId="27C694A2" w14:textId="4793A25E" w:rsidR="001B230B" w:rsidRDefault="00D702F0" w:rsidP="001B1235">
      <w:pPr>
        <w:pBdr>
          <w:top w:val="single" w:sz="4" w:space="1" w:color="auto"/>
          <w:left w:val="single" w:sz="4" w:space="30" w:color="auto"/>
          <w:bottom w:val="single" w:sz="4" w:space="1" w:color="auto"/>
          <w:right w:val="single" w:sz="4" w:space="4" w:color="auto"/>
        </w:pBdr>
        <w:spacing w:after="0" w:line="240" w:lineRule="auto"/>
      </w:pPr>
      <w:r>
        <w:t>2. Dual-</w:t>
      </w:r>
      <w:r w:rsidR="001B230B">
        <w:t>eligibility</w:t>
      </w:r>
      <w:r>
        <w:t xml:space="preserve"> status</w:t>
      </w:r>
      <w:r w:rsidR="001B230B">
        <w:t xml:space="preserve"> is also independently associated with hospitalization.</w:t>
      </w:r>
    </w:p>
    <w:p w14:paraId="0840C021" w14:textId="14BCD510" w:rsidR="001B230B" w:rsidRDefault="001B230B" w:rsidP="001B1235">
      <w:pPr>
        <w:pBdr>
          <w:top w:val="single" w:sz="4" w:space="1" w:color="auto"/>
          <w:left w:val="single" w:sz="4" w:space="30" w:color="auto"/>
          <w:bottom w:val="single" w:sz="4" w:space="1" w:color="auto"/>
          <w:right w:val="single" w:sz="4" w:space="4" w:color="auto"/>
        </w:pBdr>
        <w:spacing w:after="0" w:line="240" w:lineRule="auto"/>
      </w:pPr>
      <w:r>
        <w:t>3. Rurality was</w:t>
      </w:r>
      <w:r w:rsidR="00FE30A5">
        <w:t xml:space="preserve"> not</w:t>
      </w:r>
      <w:r>
        <w:t xml:space="preserve"> associated with </w:t>
      </w:r>
      <w:r w:rsidR="00710575">
        <w:t xml:space="preserve">higher rate of </w:t>
      </w:r>
      <w:r>
        <w:t xml:space="preserve">hospitalizations </w:t>
      </w:r>
      <w:r w:rsidR="00964237">
        <w:t>(</w:t>
      </w:r>
      <w:r>
        <w:t>i.e., no disparity detected</w:t>
      </w:r>
      <w:r w:rsidR="00964237">
        <w:t>)</w:t>
      </w:r>
      <w:r>
        <w:t>.</w:t>
      </w:r>
    </w:p>
    <w:p w14:paraId="37176B16" w14:textId="2B468814" w:rsidR="001B230B" w:rsidRDefault="001B230B" w:rsidP="001B1235">
      <w:pPr>
        <w:pBdr>
          <w:top w:val="single" w:sz="4" w:space="1" w:color="auto"/>
          <w:left w:val="single" w:sz="4" w:space="30" w:color="auto"/>
          <w:bottom w:val="single" w:sz="4" w:space="1" w:color="auto"/>
          <w:right w:val="single" w:sz="4" w:space="4" w:color="auto"/>
        </w:pBdr>
        <w:spacing w:after="0" w:line="240" w:lineRule="auto"/>
      </w:pPr>
      <w:r>
        <w:t xml:space="preserve">4. Lower density of cardiologists per 100,000 population was </w:t>
      </w:r>
      <w:r w:rsidR="00710575">
        <w:t xml:space="preserve">not </w:t>
      </w:r>
      <w:r>
        <w:t xml:space="preserve">associated with </w:t>
      </w:r>
      <w:r w:rsidR="00710575">
        <w:t xml:space="preserve">a higher rate of </w:t>
      </w:r>
      <w:r>
        <w:t xml:space="preserve">hospitalizations </w:t>
      </w:r>
      <w:r w:rsidR="00964237">
        <w:t>(</w:t>
      </w:r>
      <w:r>
        <w:t>i.e., no disparity detected</w:t>
      </w:r>
      <w:r w:rsidR="00964237">
        <w:t>)</w:t>
      </w:r>
      <w:r>
        <w:t>.</w:t>
      </w:r>
    </w:p>
    <w:p w14:paraId="53690242" w14:textId="4BDF22C2" w:rsidR="00CC1774" w:rsidRDefault="001B230B" w:rsidP="001B1235">
      <w:pPr>
        <w:pBdr>
          <w:top w:val="single" w:sz="4" w:space="1" w:color="auto"/>
          <w:left w:val="single" w:sz="4" w:space="30" w:color="auto"/>
          <w:bottom w:val="single" w:sz="4" w:space="1" w:color="auto"/>
          <w:right w:val="single" w:sz="4" w:space="4" w:color="auto"/>
        </w:pBdr>
        <w:spacing w:after="0" w:line="240" w:lineRule="auto"/>
      </w:pPr>
      <w:r>
        <w:t>5. Lower density of PCPs per 100,000 population</w:t>
      </w:r>
      <w:r w:rsidR="00710575">
        <w:t xml:space="preserve"> was likewise not</w:t>
      </w:r>
      <w:r>
        <w:t xml:space="preserve"> associated with </w:t>
      </w:r>
      <w:r w:rsidR="00710575">
        <w:t xml:space="preserve">a higher rate of </w:t>
      </w:r>
      <w:r>
        <w:t xml:space="preserve">hospitalizations </w:t>
      </w:r>
      <w:r w:rsidR="00964237">
        <w:t>(</w:t>
      </w:r>
      <w:r>
        <w:t>i.e., no disparity detected</w:t>
      </w:r>
      <w:r w:rsidR="00964237">
        <w:t>)</w:t>
      </w:r>
      <w:r>
        <w:t>.</w:t>
      </w:r>
    </w:p>
    <w:p w14:paraId="11EFAA9C" w14:textId="1D0CB27E" w:rsidR="50637D09" w:rsidRDefault="50637D09" w:rsidP="50637D09">
      <w:pPr>
        <w:spacing w:after="0" w:line="240" w:lineRule="auto"/>
      </w:pPr>
    </w:p>
    <w:p w14:paraId="50A5A8DB" w14:textId="6E0AAE77" w:rsidR="00CC1774" w:rsidRDefault="6EE46895" w:rsidP="001B1235">
      <w:pPr>
        <w:pBdr>
          <w:top w:val="single" w:sz="4" w:space="1" w:color="auto"/>
          <w:left w:val="single" w:sz="4" w:space="30" w:color="auto"/>
          <w:bottom w:val="single" w:sz="4" w:space="1" w:color="auto"/>
          <w:right w:val="single" w:sz="4" w:space="4" w:color="auto"/>
        </w:pBdr>
        <w:spacing w:after="0" w:line="240" w:lineRule="auto"/>
      </w:pPr>
      <w:r w:rsidRPr="50637D09">
        <w:rPr>
          <w:rFonts w:ascii="Calibri" w:eastAsia="Calibri" w:hAnsi="Calibri" w:cs="Calibri"/>
          <w:color w:val="000000" w:themeColor="text1"/>
        </w:rPr>
        <w:t xml:space="preserve">In addition, </w:t>
      </w:r>
      <w:r>
        <w:t xml:space="preserve">risk-standardized acute cardiovascular-related </w:t>
      </w:r>
      <w:r w:rsidR="0286F46C">
        <w:t xml:space="preserve">hospital </w:t>
      </w:r>
      <w:r>
        <w:t>admission rates</w:t>
      </w:r>
      <w:r w:rsidRPr="50637D09">
        <w:rPr>
          <w:rFonts w:ascii="Calibri" w:eastAsia="Calibri" w:hAnsi="Calibri" w:cs="Calibri"/>
          <w:color w:val="000000" w:themeColor="text1"/>
        </w:rPr>
        <w:t xml:space="preserve"> (RSCARs) calculated when adjusted for demographic and clinical variables only versus RSCARs adjust</w:t>
      </w:r>
      <w:r w:rsidR="645B9E8D" w:rsidRPr="50637D09">
        <w:rPr>
          <w:rFonts w:ascii="Calibri" w:eastAsia="Calibri" w:hAnsi="Calibri" w:cs="Calibri"/>
          <w:color w:val="000000" w:themeColor="text1"/>
        </w:rPr>
        <w:t>ed</w:t>
      </w:r>
      <w:r w:rsidRPr="50637D09">
        <w:rPr>
          <w:rFonts w:ascii="Calibri" w:eastAsia="Calibri" w:hAnsi="Calibri" w:cs="Calibri"/>
          <w:color w:val="000000" w:themeColor="text1"/>
        </w:rPr>
        <w:t xml:space="preserve"> for these variables and the AHRQ SES Index variable were highly correlated at the TIN level (r=0.996).</w:t>
      </w:r>
    </w:p>
    <w:p w14:paraId="3965BDB3" w14:textId="2ACE7CB7" w:rsidR="00CC1774" w:rsidRDefault="00CC1774" w:rsidP="001B1235">
      <w:pPr>
        <w:pBdr>
          <w:top w:val="single" w:sz="4" w:space="1" w:color="auto"/>
          <w:left w:val="single" w:sz="4" w:space="30" w:color="auto"/>
          <w:bottom w:val="single" w:sz="4" w:space="1" w:color="auto"/>
          <w:right w:val="single" w:sz="4" w:space="4" w:color="auto"/>
        </w:pBdr>
        <w:spacing w:after="0" w:line="240" w:lineRule="auto"/>
      </w:pPr>
      <w:r>
        <w:lastRenderedPageBreak/>
        <w:t>CMS considered the two</w:t>
      </w:r>
      <w:r w:rsidR="002823D2">
        <w:t xml:space="preserve"> </w:t>
      </w:r>
      <w:r w:rsidR="00787381">
        <w:t>social risk factor</w:t>
      </w:r>
      <w:r>
        <w:t xml:space="preserve"> variables that </w:t>
      </w:r>
      <w:r w:rsidR="002823D2">
        <w:t xml:space="preserve">were associated with higher rate of hospitalizations (AHRQ SES Index and </w:t>
      </w:r>
      <w:r w:rsidR="108B3CF7">
        <w:t>dual eligibility</w:t>
      </w:r>
      <w:r w:rsidR="002823D2">
        <w:t>)</w:t>
      </w:r>
      <w:r>
        <w:t xml:space="preserve"> for inclusion in the model. CMS weighed the pros and cons of ad</w:t>
      </w:r>
      <w:r w:rsidR="000E6750">
        <w:t xml:space="preserve">justing </w:t>
      </w:r>
      <w:r w:rsidR="002823D2">
        <w:t>in the context of the MIPS</w:t>
      </w:r>
      <w:r w:rsidR="000E6750">
        <w:t xml:space="preserve"> program</w:t>
      </w:r>
      <w:r>
        <w:t xml:space="preserve">. In addition, CMS considered recent stakeholder input from the national TEP, the national Clinician Committee, and from stakeholder feedback received during the MIPS MCC measure’s recent public comment period (May 2019). </w:t>
      </w:r>
    </w:p>
    <w:tbl>
      <w:tblPr>
        <w:tblpPr w:leftFromText="180" w:rightFromText="180" w:vertAnchor="text" w:horzAnchor="margin" w:tblpXSpec="center" w:tblpY="149"/>
        <w:tblW w:w="11553" w:type="dxa"/>
        <w:tblLook w:val="04A0" w:firstRow="1" w:lastRow="0" w:firstColumn="1" w:lastColumn="0" w:noHBand="0" w:noVBand="1"/>
      </w:tblPr>
      <w:tblGrid>
        <w:gridCol w:w="1728"/>
        <w:gridCol w:w="1677"/>
        <w:gridCol w:w="1645"/>
        <w:gridCol w:w="1592"/>
        <w:gridCol w:w="1676"/>
        <w:gridCol w:w="1615"/>
        <w:gridCol w:w="1620"/>
      </w:tblGrid>
      <w:tr w:rsidR="006A5297" w:rsidRPr="0025390C" w14:paraId="2CD38B03" w14:textId="77777777" w:rsidTr="006A5297">
        <w:trPr>
          <w:cantSplit/>
          <w:trHeight w:val="1406"/>
          <w:tblHeader/>
        </w:trPr>
        <w:tc>
          <w:tcPr>
            <w:tcW w:w="3405"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99D623A" w14:textId="77777777" w:rsidR="006A5297" w:rsidRPr="0025390C" w:rsidRDefault="006A5297" w:rsidP="006A5297">
            <w:pPr>
              <w:spacing w:after="0" w:line="240" w:lineRule="auto"/>
              <w:rPr>
                <w:rFonts w:ascii="Calibri" w:eastAsia="Times New Roman" w:hAnsi="Calibri" w:cs="Times New Roman"/>
                <w:b/>
                <w:bCs/>
                <w:color w:val="000000"/>
                <w:sz w:val="20"/>
                <w:szCs w:val="20"/>
              </w:rPr>
            </w:pPr>
            <w:bookmarkStart w:id="24" w:name="_Hlk42627514"/>
            <w:bookmarkStart w:id="25" w:name="_Hlk42626429"/>
            <w:r w:rsidRPr="0025390C">
              <w:rPr>
                <w:rFonts w:ascii="Calibri" w:eastAsia="Times New Roman" w:hAnsi="Calibri" w:cs="Times New Roman"/>
                <w:b/>
                <w:bCs/>
                <w:color w:val="000000"/>
                <w:sz w:val="20"/>
                <w:szCs w:val="20"/>
              </w:rPr>
              <w:t>Social risk factor (SRF)</w:t>
            </w:r>
          </w:p>
        </w:tc>
        <w:tc>
          <w:tcPr>
            <w:tcW w:w="1645" w:type="dxa"/>
            <w:tcBorders>
              <w:top w:val="single" w:sz="4" w:space="0" w:color="auto"/>
              <w:left w:val="single" w:sz="4" w:space="0" w:color="auto"/>
              <w:bottom w:val="single" w:sz="4" w:space="0" w:color="auto"/>
              <w:right w:val="single" w:sz="4" w:space="0" w:color="auto"/>
            </w:tcBorders>
            <w:shd w:val="clear" w:color="000000" w:fill="DDEBF7"/>
            <w:noWrap/>
            <w:hideMark/>
          </w:tcPr>
          <w:p w14:paraId="05CE2BE2" w14:textId="77777777" w:rsidR="006A5297" w:rsidRPr="0025390C" w:rsidRDefault="006A5297" w:rsidP="006A5297">
            <w:pPr>
              <w:spacing w:after="0" w:line="240" w:lineRule="auto"/>
              <w:jc w:val="center"/>
              <w:rPr>
                <w:rFonts w:ascii="Calibri" w:eastAsia="Times New Roman" w:hAnsi="Calibri" w:cs="Times New Roman"/>
                <w:b/>
                <w:bCs/>
                <w:color w:val="000000"/>
                <w:sz w:val="20"/>
                <w:szCs w:val="20"/>
              </w:rPr>
            </w:pPr>
            <w:r w:rsidRPr="0025390C">
              <w:rPr>
                <w:rFonts w:ascii="Calibri" w:eastAsia="Times New Roman" w:hAnsi="Calibri" w:cs="Times New Roman"/>
                <w:b/>
                <w:bCs/>
                <w:color w:val="000000"/>
                <w:sz w:val="20"/>
                <w:szCs w:val="20"/>
              </w:rPr>
              <w:t xml:space="preserve">% of patients with SRF </w:t>
            </w:r>
          </w:p>
        </w:tc>
        <w:tc>
          <w:tcPr>
            <w:tcW w:w="1592" w:type="dxa"/>
            <w:tcBorders>
              <w:top w:val="single" w:sz="4" w:space="0" w:color="auto"/>
              <w:left w:val="single" w:sz="4" w:space="0" w:color="auto"/>
              <w:bottom w:val="single" w:sz="4" w:space="0" w:color="auto"/>
              <w:right w:val="single" w:sz="4" w:space="0" w:color="auto"/>
            </w:tcBorders>
            <w:shd w:val="clear" w:color="000000" w:fill="DDEBF7"/>
            <w:hideMark/>
          </w:tcPr>
          <w:p w14:paraId="5176244A" w14:textId="77777777" w:rsidR="006A5297" w:rsidRPr="0025390C" w:rsidRDefault="006A5297" w:rsidP="006A5297">
            <w:pPr>
              <w:spacing w:after="0" w:line="240" w:lineRule="auto"/>
              <w:jc w:val="center"/>
              <w:rPr>
                <w:rFonts w:ascii="Calibri" w:eastAsia="Times New Roman" w:hAnsi="Calibri" w:cs="Times New Roman"/>
                <w:b/>
                <w:bCs/>
                <w:color w:val="000000"/>
                <w:sz w:val="20"/>
                <w:szCs w:val="20"/>
              </w:rPr>
            </w:pPr>
            <w:r w:rsidRPr="0025390C">
              <w:rPr>
                <w:rFonts w:ascii="Calibri" w:eastAsia="Times New Roman" w:hAnsi="Calibri" w:cs="Times New Roman"/>
                <w:b/>
                <w:bCs/>
                <w:color w:val="000000"/>
                <w:sz w:val="20"/>
                <w:szCs w:val="20"/>
              </w:rPr>
              <w:t>Unadjusted</w:t>
            </w:r>
            <w:r w:rsidRPr="0025390C">
              <w:rPr>
                <w:rFonts w:ascii="Calibri" w:eastAsia="Times New Roman" w:hAnsi="Calibri" w:cs="Times New Roman"/>
                <w:b/>
                <w:bCs/>
                <w:color w:val="000000"/>
                <w:sz w:val="20"/>
                <w:szCs w:val="20"/>
              </w:rPr>
              <w:br/>
              <w:t>RR* (95% CI)</w:t>
            </w:r>
          </w:p>
        </w:tc>
        <w:tc>
          <w:tcPr>
            <w:tcW w:w="1676" w:type="dxa"/>
            <w:tcBorders>
              <w:top w:val="single" w:sz="4" w:space="0" w:color="auto"/>
              <w:left w:val="single" w:sz="4" w:space="0" w:color="auto"/>
              <w:bottom w:val="single" w:sz="4" w:space="0" w:color="auto"/>
              <w:right w:val="single" w:sz="4" w:space="0" w:color="auto"/>
            </w:tcBorders>
            <w:shd w:val="clear" w:color="000000" w:fill="DDEBF7"/>
            <w:hideMark/>
          </w:tcPr>
          <w:p w14:paraId="3C5B04A6" w14:textId="77777777" w:rsidR="006A5297" w:rsidRPr="0025390C" w:rsidRDefault="006A5297" w:rsidP="006A5297">
            <w:pPr>
              <w:spacing w:after="0" w:line="240" w:lineRule="auto"/>
              <w:jc w:val="center"/>
              <w:rPr>
                <w:rFonts w:ascii="Calibri" w:eastAsia="Times New Roman" w:hAnsi="Calibri" w:cs="Times New Roman"/>
                <w:b/>
                <w:bCs/>
                <w:color w:val="000000"/>
                <w:sz w:val="20"/>
                <w:szCs w:val="20"/>
              </w:rPr>
            </w:pPr>
            <w:r w:rsidRPr="0025390C">
              <w:rPr>
                <w:rFonts w:ascii="Calibri" w:eastAsia="Times New Roman" w:hAnsi="Calibri" w:cs="Times New Roman"/>
                <w:b/>
                <w:bCs/>
                <w:color w:val="000000"/>
                <w:sz w:val="20"/>
                <w:szCs w:val="20"/>
              </w:rPr>
              <w:t xml:space="preserve">Adjusted for age, clinical </w:t>
            </w:r>
            <w:proofErr w:type="gramStart"/>
            <w:r w:rsidRPr="0025390C">
              <w:rPr>
                <w:rFonts w:ascii="Calibri" w:eastAsia="Times New Roman" w:hAnsi="Calibri" w:cs="Times New Roman"/>
                <w:b/>
                <w:bCs/>
                <w:color w:val="000000"/>
                <w:sz w:val="20"/>
                <w:szCs w:val="20"/>
              </w:rPr>
              <w:t>comorbidities</w:t>
            </w:r>
            <w:proofErr w:type="gramEnd"/>
            <w:r w:rsidRPr="0025390C">
              <w:rPr>
                <w:rFonts w:ascii="Calibri" w:eastAsia="Times New Roman" w:hAnsi="Calibri" w:cs="Times New Roman"/>
                <w:b/>
                <w:bCs/>
                <w:color w:val="000000"/>
                <w:sz w:val="20"/>
                <w:szCs w:val="20"/>
              </w:rPr>
              <w:t xml:space="preserve"> and frailty</w:t>
            </w:r>
            <w:r w:rsidRPr="0025390C">
              <w:rPr>
                <w:rFonts w:ascii="Calibri" w:eastAsia="Times New Roman" w:hAnsi="Calibri" w:cs="Times New Roman"/>
                <w:b/>
                <w:bCs/>
                <w:color w:val="000000"/>
                <w:sz w:val="20"/>
                <w:szCs w:val="20"/>
              </w:rPr>
              <w:br/>
              <w:t>RR* (95% CI)</w:t>
            </w:r>
          </w:p>
        </w:tc>
        <w:tc>
          <w:tcPr>
            <w:tcW w:w="1615" w:type="dxa"/>
            <w:tcBorders>
              <w:top w:val="single" w:sz="4" w:space="0" w:color="auto"/>
              <w:left w:val="single" w:sz="4" w:space="0" w:color="auto"/>
              <w:bottom w:val="single" w:sz="4" w:space="0" w:color="auto"/>
              <w:right w:val="single" w:sz="4" w:space="0" w:color="auto"/>
            </w:tcBorders>
            <w:shd w:val="clear" w:color="000000" w:fill="DDEBF7"/>
            <w:hideMark/>
          </w:tcPr>
          <w:p w14:paraId="0ACE1F03" w14:textId="77777777" w:rsidR="006A5297" w:rsidRPr="0025390C" w:rsidRDefault="006A5297" w:rsidP="006A5297">
            <w:pPr>
              <w:spacing w:after="0" w:line="240" w:lineRule="auto"/>
              <w:jc w:val="center"/>
              <w:rPr>
                <w:rFonts w:ascii="Calibri" w:eastAsia="Times New Roman" w:hAnsi="Calibri" w:cs="Times New Roman"/>
                <w:b/>
                <w:bCs/>
                <w:color w:val="000000"/>
                <w:sz w:val="20"/>
                <w:szCs w:val="20"/>
              </w:rPr>
            </w:pPr>
            <w:r w:rsidRPr="0025390C">
              <w:rPr>
                <w:rFonts w:ascii="Calibri" w:eastAsia="Times New Roman" w:hAnsi="Calibri" w:cs="Times New Roman"/>
                <w:b/>
                <w:bCs/>
                <w:color w:val="000000"/>
                <w:sz w:val="20"/>
                <w:szCs w:val="20"/>
              </w:rPr>
              <w:t xml:space="preserve">AHRQ SES and dual, age, clinical </w:t>
            </w:r>
            <w:proofErr w:type="gramStart"/>
            <w:r w:rsidRPr="0025390C">
              <w:rPr>
                <w:rFonts w:ascii="Calibri" w:eastAsia="Times New Roman" w:hAnsi="Calibri" w:cs="Times New Roman"/>
                <w:b/>
                <w:bCs/>
                <w:color w:val="000000"/>
                <w:sz w:val="20"/>
                <w:szCs w:val="20"/>
              </w:rPr>
              <w:t>comorbidities</w:t>
            </w:r>
            <w:proofErr w:type="gramEnd"/>
            <w:r w:rsidRPr="0025390C">
              <w:rPr>
                <w:rFonts w:ascii="Calibri" w:eastAsia="Times New Roman" w:hAnsi="Calibri" w:cs="Times New Roman"/>
                <w:b/>
                <w:bCs/>
                <w:color w:val="000000"/>
                <w:sz w:val="20"/>
                <w:szCs w:val="20"/>
              </w:rPr>
              <w:t xml:space="preserve"> and frailty in the model</w:t>
            </w:r>
            <w:r w:rsidRPr="0025390C">
              <w:rPr>
                <w:rFonts w:ascii="Calibri" w:eastAsia="Times New Roman" w:hAnsi="Calibri" w:cs="Times New Roman"/>
                <w:b/>
                <w:bCs/>
                <w:color w:val="000000"/>
                <w:sz w:val="20"/>
                <w:szCs w:val="20"/>
              </w:rPr>
              <w:br/>
              <w:t>RR* (95% CI)</w:t>
            </w:r>
          </w:p>
        </w:tc>
        <w:tc>
          <w:tcPr>
            <w:tcW w:w="1620" w:type="dxa"/>
            <w:tcBorders>
              <w:top w:val="single" w:sz="4" w:space="0" w:color="auto"/>
              <w:left w:val="single" w:sz="4" w:space="0" w:color="auto"/>
              <w:bottom w:val="single" w:sz="4" w:space="0" w:color="auto"/>
              <w:right w:val="single" w:sz="4" w:space="0" w:color="auto"/>
            </w:tcBorders>
            <w:shd w:val="clear" w:color="000000" w:fill="DDEBF7"/>
            <w:hideMark/>
          </w:tcPr>
          <w:p w14:paraId="20886D3D" w14:textId="77777777" w:rsidR="006A5297" w:rsidRPr="0025390C" w:rsidRDefault="006A5297" w:rsidP="006A5297">
            <w:pPr>
              <w:spacing w:after="0" w:line="240" w:lineRule="auto"/>
              <w:jc w:val="center"/>
              <w:rPr>
                <w:rFonts w:ascii="Calibri" w:eastAsia="Times New Roman" w:hAnsi="Calibri" w:cs="Times New Roman"/>
                <w:b/>
                <w:bCs/>
                <w:color w:val="000000"/>
                <w:sz w:val="20"/>
                <w:szCs w:val="20"/>
              </w:rPr>
            </w:pPr>
            <w:r w:rsidRPr="0025390C">
              <w:rPr>
                <w:rFonts w:ascii="Calibri" w:eastAsia="Times New Roman" w:hAnsi="Calibri" w:cs="Times New Roman"/>
                <w:b/>
                <w:bCs/>
                <w:color w:val="000000"/>
                <w:sz w:val="20"/>
                <w:szCs w:val="20"/>
              </w:rPr>
              <w:t xml:space="preserve">AHRQ SES, age, clinical </w:t>
            </w:r>
            <w:proofErr w:type="gramStart"/>
            <w:r w:rsidRPr="0025390C">
              <w:rPr>
                <w:rFonts w:ascii="Calibri" w:eastAsia="Times New Roman" w:hAnsi="Calibri" w:cs="Times New Roman"/>
                <w:b/>
                <w:bCs/>
                <w:color w:val="000000"/>
                <w:sz w:val="20"/>
                <w:szCs w:val="20"/>
              </w:rPr>
              <w:t>comorbidities</w:t>
            </w:r>
            <w:proofErr w:type="gramEnd"/>
            <w:r w:rsidRPr="0025390C">
              <w:rPr>
                <w:rFonts w:ascii="Calibri" w:eastAsia="Times New Roman" w:hAnsi="Calibri" w:cs="Times New Roman"/>
                <w:b/>
                <w:bCs/>
                <w:color w:val="000000"/>
                <w:sz w:val="20"/>
                <w:szCs w:val="20"/>
              </w:rPr>
              <w:t xml:space="preserve"> and frailty in the model</w:t>
            </w:r>
            <w:r w:rsidRPr="0025390C">
              <w:rPr>
                <w:rFonts w:ascii="Calibri" w:eastAsia="Times New Roman" w:hAnsi="Calibri" w:cs="Times New Roman"/>
                <w:b/>
                <w:bCs/>
                <w:color w:val="000000"/>
                <w:sz w:val="20"/>
                <w:szCs w:val="20"/>
              </w:rPr>
              <w:br/>
              <w:t>RR* (95% CI)</w:t>
            </w:r>
          </w:p>
        </w:tc>
      </w:tr>
      <w:bookmarkEnd w:id="24"/>
      <w:tr w:rsidR="006A5297" w:rsidRPr="0025390C" w14:paraId="6B751BC5" w14:textId="77777777" w:rsidTr="006A5297">
        <w:trPr>
          <w:cantSplit/>
          <w:trHeight w:val="280"/>
        </w:trPr>
        <w:tc>
          <w:tcPr>
            <w:tcW w:w="1728" w:type="dxa"/>
            <w:vMerge w:val="restart"/>
            <w:tcBorders>
              <w:top w:val="single" w:sz="4" w:space="0" w:color="auto"/>
              <w:left w:val="single" w:sz="4" w:space="0" w:color="auto"/>
              <w:bottom w:val="single" w:sz="4" w:space="0" w:color="auto"/>
              <w:right w:val="nil"/>
            </w:tcBorders>
            <w:shd w:val="clear" w:color="000000" w:fill="FFFFFF"/>
            <w:noWrap/>
            <w:vAlign w:val="center"/>
            <w:hideMark/>
          </w:tcPr>
          <w:p w14:paraId="4A88C15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AHRQ SES Index</w:t>
            </w: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EED5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High (Q2-Q4)</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50E28"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1,505,187 (81.5%)</w:t>
            </w:r>
            <w:r w:rsidRPr="0025390C" w:rsidDel="00F858D8">
              <w:rPr>
                <w:rFonts w:ascii="Calibri" w:eastAsia="Times New Roman" w:hAnsi="Calibri" w:cs="Times New Roman"/>
                <w:color w:val="000000"/>
                <w:sz w:val="20"/>
                <w:szCs w:val="20"/>
              </w:rPr>
              <w:t xml:space="preserve"> </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CFAA9"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REF</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8EEF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REF</w:t>
            </w:r>
          </w:p>
        </w:tc>
        <w:tc>
          <w:tcPr>
            <w:tcW w:w="16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4AE87"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REF</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87CB5"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REF</w:t>
            </w:r>
          </w:p>
        </w:tc>
      </w:tr>
      <w:tr w:rsidR="006A5297" w:rsidRPr="0025390C" w14:paraId="3AC99D5B" w14:textId="77777777" w:rsidTr="006A5297">
        <w:trPr>
          <w:cantSplit/>
          <w:trHeight w:val="280"/>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06B7439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9990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Low (Q1)</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5F9354"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341,006 (18.5%)</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3E0CC"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sz w:val="20"/>
                <w:szCs w:val="20"/>
              </w:rPr>
              <w:t>1.15 (1.14, 1.16)</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3BF6F"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sz w:val="20"/>
                <w:szCs w:val="20"/>
              </w:rPr>
              <w:t>1.12 (1.11, 1.13)</w:t>
            </w:r>
          </w:p>
        </w:tc>
        <w:tc>
          <w:tcPr>
            <w:tcW w:w="16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F08C"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sz w:val="20"/>
                <w:szCs w:val="20"/>
              </w:rPr>
              <w:t>1.10 (1.09, 1.10)</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00200"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sz w:val="20"/>
                <w:szCs w:val="20"/>
              </w:rPr>
              <w:t>1.12 (1.11, 1.13)</w:t>
            </w:r>
          </w:p>
        </w:tc>
      </w:tr>
      <w:tr w:rsidR="006A5297" w:rsidRPr="0025390C" w14:paraId="006326F8" w14:textId="77777777" w:rsidTr="006A5297">
        <w:trPr>
          <w:cantSplit/>
          <w:trHeight w:val="280"/>
        </w:trPr>
        <w:tc>
          <w:tcPr>
            <w:tcW w:w="172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6805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RUCA 3-level</w:t>
            </w: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6E3C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Urban</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DE08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1,547,507 (83.7%)</w:t>
            </w:r>
          </w:p>
        </w:tc>
        <w:tc>
          <w:tcPr>
            <w:tcW w:w="1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8C5A17"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1.04 (1.02, 1.05)</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8E82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1.02 (1.01, 1.03)</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39F7BD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85F7046"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40C2CB2F" w14:textId="77777777" w:rsidTr="006A5297">
        <w:trPr>
          <w:cantSplit/>
          <w:trHeight w:val="280"/>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76DA9D2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CEA8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Large Rural City/Town</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EAFE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156,299 (8.4%)</w:t>
            </w:r>
          </w:p>
        </w:tc>
        <w:tc>
          <w:tcPr>
            <w:tcW w:w="1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BE65B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1.00 (0.99, 1.02)</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0030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1.00 (0.98, 1.02)</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791FC10"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67FD2B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33A303F0" w14:textId="77777777" w:rsidTr="006A5297">
        <w:trPr>
          <w:cantSplit/>
          <w:trHeight w:val="280"/>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0BF99FB9"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120E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Small and Isolated Small Rural Town</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8D7B9"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146,116 (7.9%)</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8B3D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7411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7F8625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EE0DDA0"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3D07E37E" w14:textId="77777777" w:rsidTr="006A5297">
        <w:trPr>
          <w:cantSplit/>
          <w:trHeight w:val="280"/>
        </w:trPr>
        <w:tc>
          <w:tcPr>
            <w:tcW w:w="172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AEC9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PCP density 3-level</w:t>
            </w: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37E5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Q1</w:t>
            </w:r>
            <w:r>
              <w:rPr>
                <w:rFonts w:ascii="Calibri" w:eastAsia="Times New Roman" w:hAnsi="Calibri" w:cs="Times New Roman"/>
                <w:color w:val="000000"/>
                <w:sz w:val="20"/>
                <w:szCs w:val="20"/>
              </w:rPr>
              <w:t xml:space="preserve"> (low density)</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220B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137,593 (7.4%</w:t>
            </w:r>
          </w:p>
        </w:tc>
        <w:tc>
          <w:tcPr>
            <w:tcW w:w="1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AD581C"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9DEFF"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98CB8A7"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694943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6D034F9A" w14:textId="77777777" w:rsidTr="006A5297">
        <w:trPr>
          <w:cantSplit/>
          <w:trHeight w:val="280"/>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72AF320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E83B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Q2-Q3</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0E42C"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876,528 (47.3%)</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2E1EC9"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0.97 (0.95, 0.98)</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FE4B4"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0.96 (0.95, 0.97)</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9D5A595"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43E16F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72C9BD35" w14:textId="77777777" w:rsidTr="006A5297">
        <w:trPr>
          <w:cantSplit/>
          <w:trHeight w:val="280"/>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3311B34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810E6"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Q4</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D1A6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840,354 (45.3%</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B9D65"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1.01 (1.00, 1.03)</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1DE58"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1.00 (0.99, 1.01)</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04BA7B7"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16DF7D8"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0049EEDE" w14:textId="77777777" w:rsidTr="006A5297">
        <w:trPr>
          <w:cantSplit/>
          <w:trHeight w:val="280"/>
        </w:trPr>
        <w:tc>
          <w:tcPr>
            <w:tcW w:w="1728" w:type="dxa"/>
            <w:vMerge w:val="restart"/>
            <w:tcBorders>
              <w:top w:val="nil"/>
              <w:left w:val="single" w:sz="4" w:space="0" w:color="auto"/>
              <w:bottom w:val="single" w:sz="4" w:space="0" w:color="000000"/>
              <w:right w:val="nil"/>
            </w:tcBorders>
            <w:shd w:val="clear" w:color="000000" w:fill="FFFFFF"/>
            <w:noWrap/>
            <w:vAlign w:val="center"/>
            <w:hideMark/>
          </w:tcPr>
          <w:p w14:paraId="406C8CBF"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Cardiologist density 3-level</w:t>
            </w:r>
          </w:p>
        </w:tc>
        <w:tc>
          <w:tcPr>
            <w:tcW w:w="1677" w:type="dxa"/>
            <w:tcBorders>
              <w:top w:val="single" w:sz="4" w:space="0" w:color="auto"/>
              <w:left w:val="single" w:sz="4" w:space="0" w:color="auto"/>
              <w:bottom w:val="single" w:sz="4" w:space="0" w:color="auto"/>
              <w:right w:val="nil"/>
            </w:tcBorders>
            <w:shd w:val="clear" w:color="000000" w:fill="FFFFFF"/>
            <w:noWrap/>
            <w:vAlign w:val="center"/>
            <w:hideMark/>
          </w:tcPr>
          <w:p w14:paraId="1F604F62"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Q1</w:t>
            </w:r>
            <w:r>
              <w:rPr>
                <w:rFonts w:ascii="Calibri" w:eastAsia="Times New Roman" w:hAnsi="Calibri" w:cs="Times New Roman"/>
                <w:color w:val="000000"/>
                <w:sz w:val="20"/>
                <w:szCs w:val="20"/>
              </w:rPr>
              <w:t xml:space="preserve"> (low density)</w:t>
            </w:r>
          </w:p>
        </w:tc>
        <w:tc>
          <w:tcPr>
            <w:tcW w:w="1645" w:type="dxa"/>
            <w:tcBorders>
              <w:top w:val="single" w:sz="4" w:space="0" w:color="auto"/>
              <w:left w:val="single" w:sz="4" w:space="0" w:color="auto"/>
              <w:bottom w:val="single" w:sz="4" w:space="0" w:color="auto"/>
              <w:right w:val="nil"/>
            </w:tcBorders>
            <w:shd w:val="clear" w:color="000000" w:fill="FFFFFF"/>
            <w:noWrap/>
            <w:vAlign w:val="center"/>
            <w:hideMark/>
          </w:tcPr>
          <w:p w14:paraId="4CD22DD4"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310,614 (16.7%)</w:t>
            </w:r>
          </w:p>
        </w:tc>
        <w:tc>
          <w:tcPr>
            <w:tcW w:w="1592" w:type="dxa"/>
            <w:tcBorders>
              <w:top w:val="single" w:sz="4" w:space="0" w:color="auto"/>
              <w:left w:val="single" w:sz="4" w:space="0" w:color="auto"/>
              <w:bottom w:val="single" w:sz="4" w:space="0" w:color="auto"/>
              <w:right w:val="nil"/>
            </w:tcBorders>
            <w:shd w:val="clear" w:color="000000" w:fill="FFFFFF"/>
            <w:vAlign w:val="center"/>
            <w:hideMark/>
          </w:tcPr>
          <w:p w14:paraId="363505F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1C5E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F829A45"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nil"/>
              <w:bottom w:val="single" w:sz="4" w:space="0" w:color="auto"/>
              <w:right w:val="single" w:sz="4" w:space="0" w:color="auto"/>
            </w:tcBorders>
            <w:shd w:val="clear" w:color="000000" w:fill="BFBFBF"/>
            <w:noWrap/>
            <w:vAlign w:val="center"/>
            <w:hideMark/>
          </w:tcPr>
          <w:p w14:paraId="406510FF"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54B3483E" w14:textId="77777777" w:rsidTr="006A5297">
        <w:trPr>
          <w:cantSplit/>
          <w:trHeight w:val="280"/>
        </w:trPr>
        <w:tc>
          <w:tcPr>
            <w:tcW w:w="1728" w:type="dxa"/>
            <w:vMerge/>
            <w:tcBorders>
              <w:top w:val="nil"/>
              <w:left w:val="single" w:sz="4" w:space="0" w:color="auto"/>
              <w:bottom w:val="single" w:sz="4" w:space="0" w:color="000000"/>
              <w:right w:val="nil"/>
            </w:tcBorders>
            <w:vAlign w:val="center"/>
            <w:hideMark/>
          </w:tcPr>
          <w:p w14:paraId="2F5D612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nil"/>
            </w:tcBorders>
            <w:shd w:val="clear" w:color="000000" w:fill="FFFFFF"/>
            <w:noWrap/>
            <w:vAlign w:val="center"/>
            <w:hideMark/>
          </w:tcPr>
          <w:p w14:paraId="2C6549AC"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Q2-Q3</w:t>
            </w:r>
          </w:p>
        </w:tc>
        <w:tc>
          <w:tcPr>
            <w:tcW w:w="1645" w:type="dxa"/>
            <w:tcBorders>
              <w:top w:val="single" w:sz="4" w:space="0" w:color="auto"/>
              <w:left w:val="single" w:sz="4" w:space="0" w:color="auto"/>
              <w:bottom w:val="single" w:sz="4" w:space="0" w:color="auto"/>
              <w:right w:val="nil"/>
            </w:tcBorders>
            <w:shd w:val="clear" w:color="000000" w:fill="FFFFFF"/>
            <w:noWrap/>
            <w:vAlign w:val="center"/>
            <w:hideMark/>
          </w:tcPr>
          <w:p w14:paraId="44C8234D"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295,939 (16.0%)</w:t>
            </w:r>
          </w:p>
        </w:tc>
        <w:tc>
          <w:tcPr>
            <w:tcW w:w="1592" w:type="dxa"/>
            <w:tcBorders>
              <w:top w:val="single" w:sz="4" w:space="0" w:color="auto"/>
              <w:left w:val="single" w:sz="4" w:space="0" w:color="auto"/>
              <w:bottom w:val="single" w:sz="4" w:space="0" w:color="auto"/>
              <w:right w:val="nil"/>
            </w:tcBorders>
            <w:shd w:val="clear" w:color="000000" w:fill="FFFFFF"/>
            <w:noWrap/>
            <w:vAlign w:val="center"/>
            <w:hideMark/>
          </w:tcPr>
          <w:p w14:paraId="4CFF165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1.00 (0.99, 1.01)</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7F6F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1.00 (0.99, 1.01)</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99B58BF"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nil"/>
              <w:bottom w:val="single" w:sz="4" w:space="0" w:color="auto"/>
              <w:right w:val="single" w:sz="4" w:space="0" w:color="auto"/>
            </w:tcBorders>
            <w:shd w:val="clear" w:color="000000" w:fill="BFBFBF"/>
            <w:noWrap/>
            <w:vAlign w:val="center"/>
            <w:hideMark/>
          </w:tcPr>
          <w:p w14:paraId="37A8759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422EE762" w14:textId="77777777" w:rsidTr="006A5297">
        <w:trPr>
          <w:cantSplit/>
          <w:trHeight w:val="280"/>
        </w:trPr>
        <w:tc>
          <w:tcPr>
            <w:tcW w:w="1728" w:type="dxa"/>
            <w:vMerge/>
            <w:tcBorders>
              <w:top w:val="nil"/>
              <w:left w:val="single" w:sz="4" w:space="0" w:color="auto"/>
              <w:bottom w:val="single" w:sz="4" w:space="0" w:color="000000"/>
              <w:right w:val="nil"/>
            </w:tcBorders>
            <w:vAlign w:val="center"/>
            <w:hideMark/>
          </w:tcPr>
          <w:p w14:paraId="7CE7431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nil"/>
            </w:tcBorders>
            <w:shd w:val="clear" w:color="000000" w:fill="FFFFFF"/>
            <w:noWrap/>
            <w:vAlign w:val="center"/>
            <w:hideMark/>
          </w:tcPr>
          <w:p w14:paraId="4F04ED7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Q4</w:t>
            </w:r>
          </w:p>
        </w:tc>
        <w:tc>
          <w:tcPr>
            <w:tcW w:w="1645" w:type="dxa"/>
            <w:tcBorders>
              <w:top w:val="single" w:sz="4" w:space="0" w:color="auto"/>
              <w:left w:val="single" w:sz="4" w:space="0" w:color="auto"/>
              <w:bottom w:val="single" w:sz="4" w:space="0" w:color="auto"/>
              <w:right w:val="nil"/>
            </w:tcBorders>
            <w:shd w:val="clear" w:color="000000" w:fill="FFFFFF"/>
            <w:noWrap/>
            <w:vAlign w:val="center"/>
            <w:hideMark/>
          </w:tcPr>
          <w:p w14:paraId="0B17E09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1,247,922 (67.3%)</w:t>
            </w:r>
          </w:p>
        </w:tc>
        <w:tc>
          <w:tcPr>
            <w:tcW w:w="1592" w:type="dxa"/>
            <w:tcBorders>
              <w:top w:val="single" w:sz="4" w:space="0" w:color="auto"/>
              <w:left w:val="single" w:sz="4" w:space="0" w:color="auto"/>
              <w:bottom w:val="single" w:sz="4" w:space="0" w:color="auto"/>
              <w:right w:val="nil"/>
            </w:tcBorders>
            <w:shd w:val="clear" w:color="000000" w:fill="FFFFFF"/>
            <w:noWrap/>
            <w:vAlign w:val="center"/>
            <w:hideMark/>
          </w:tcPr>
          <w:p w14:paraId="2E104804"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1.01 (1.00, 1.02)</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793A6"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1.00 (0.99, 1.01)</w:t>
            </w:r>
          </w:p>
        </w:tc>
        <w:tc>
          <w:tcPr>
            <w:tcW w:w="161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4D82B1C"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c>
          <w:tcPr>
            <w:tcW w:w="1620" w:type="dxa"/>
            <w:tcBorders>
              <w:top w:val="single" w:sz="4" w:space="0" w:color="auto"/>
              <w:left w:val="nil"/>
              <w:bottom w:val="single" w:sz="4" w:space="0" w:color="auto"/>
              <w:right w:val="single" w:sz="4" w:space="0" w:color="auto"/>
            </w:tcBorders>
            <w:shd w:val="clear" w:color="000000" w:fill="BFBFBF"/>
            <w:noWrap/>
            <w:vAlign w:val="center"/>
            <w:hideMark/>
          </w:tcPr>
          <w:p w14:paraId="03FAA8E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w:t>
            </w:r>
          </w:p>
        </w:tc>
      </w:tr>
      <w:tr w:rsidR="006A5297" w:rsidRPr="0025390C" w14:paraId="560522A9" w14:textId="77777777" w:rsidTr="006A5297">
        <w:trPr>
          <w:cantSplit/>
          <w:trHeight w:val="280"/>
        </w:trPr>
        <w:tc>
          <w:tcPr>
            <w:tcW w:w="1728" w:type="dxa"/>
            <w:vMerge w:val="restart"/>
            <w:tcBorders>
              <w:top w:val="nil"/>
              <w:left w:val="single" w:sz="4" w:space="0" w:color="auto"/>
              <w:bottom w:val="single" w:sz="4" w:space="0" w:color="000000"/>
              <w:right w:val="nil"/>
            </w:tcBorders>
            <w:shd w:val="clear" w:color="000000" w:fill="FFFFFF"/>
            <w:vAlign w:val="center"/>
            <w:hideMark/>
          </w:tcPr>
          <w:p w14:paraId="1C6F744B"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Dual Eligible (&gt;=3 months between 04/2017-09/2018)</w:t>
            </w:r>
          </w:p>
        </w:tc>
        <w:tc>
          <w:tcPr>
            <w:tcW w:w="1677" w:type="dxa"/>
            <w:tcBorders>
              <w:top w:val="single" w:sz="4" w:space="0" w:color="auto"/>
              <w:left w:val="single" w:sz="4" w:space="0" w:color="auto"/>
              <w:bottom w:val="single" w:sz="4" w:space="0" w:color="auto"/>
              <w:right w:val="nil"/>
            </w:tcBorders>
            <w:shd w:val="clear" w:color="000000" w:fill="FFFFFF"/>
            <w:noWrap/>
            <w:vAlign w:val="center"/>
            <w:hideMark/>
          </w:tcPr>
          <w:p w14:paraId="7ACD24F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No</w:t>
            </w:r>
          </w:p>
        </w:tc>
        <w:tc>
          <w:tcPr>
            <w:tcW w:w="1645" w:type="dxa"/>
            <w:tcBorders>
              <w:top w:val="single" w:sz="4" w:space="0" w:color="auto"/>
              <w:left w:val="single" w:sz="4" w:space="0" w:color="auto"/>
              <w:bottom w:val="single" w:sz="4" w:space="0" w:color="auto"/>
              <w:right w:val="nil"/>
            </w:tcBorders>
            <w:shd w:val="clear" w:color="000000" w:fill="FFFFFF"/>
            <w:noWrap/>
            <w:vAlign w:val="center"/>
            <w:hideMark/>
          </w:tcPr>
          <w:p w14:paraId="2B1092D1"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1,525,738 (82.2%)</w:t>
            </w:r>
          </w:p>
        </w:tc>
        <w:tc>
          <w:tcPr>
            <w:tcW w:w="1592" w:type="dxa"/>
            <w:tcBorders>
              <w:top w:val="single" w:sz="4" w:space="0" w:color="auto"/>
              <w:left w:val="single" w:sz="4" w:space="0" w:color="auto"/>
              <w:bottom w:val="single" w:sz="4" w:space="0" w:color="auto"/>
              <w:right w:val="nil"/>
            </w:tcBorders>
            <w:shd w:val="clear" w:color="000000" w:fill="FFFFFF"/>
            <w:vAlign w:val="center"/>
            <w:hideMark/>
          </w:tcPr>
          <w:p w14:paraId="35DD297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8D0717"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5A1B2"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REF</w:t>
            </w:r>
          </w:p>
        </w:tc>
        <w:tc>
          <w:tcPr>
            <w:tcW w:w="1620" w:type="dxa"/>
            <w:tcBorders>
              <w:top w:val="single" w:sz="4" w:space="0" w:color="auto"/>
              <w:left w:val="nil"/>
              <w:bottom w:val="single" w:sz="4" w:space="0" w:color="auto"/>
              <w:right w:val="single" w:sz="4" w:space="0" w:color="auto"/>
            </w:tcBorders>
            <w:shd w:val="clear" w:color="000000" w:fill="BFBFBF"/>
            <w:noWrap/>
            <w:vAlign w:val="center"/>
            <w:hideMark/>
          </w:tcPr>
          <w:p w14:paraId="1929072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r>
      <w:tr w:rsidR="006A5297" w:rsidRPr="0025390C" w14:paraId="3E1C1D07" w14:textId="77777777" w:rsidTr="006A5297">
        <w:trPr>
          <w:cantSplit/>
          <w:trHeight w:val="280"/>
        </w:trPr>
        <w:tc>
          <w:tcPr>
            <w:tcW w:w="1728" w:type="dxa"/>
            <w:vMerge/>
            <w:tcBorders>
              <w:top w:val="nil"/>
              <w:left w:val="single" w:sz="4" w:space="0" w:color="auto"/>
              <w:bottom w:val="single" w:sz="4" w:space="0" w:color="000000"/>
              <w:right w:val="nil"/>
            </w:tcBorders>
            <w:vAlign w:val="center"/>
            <w:hideMark/>
          </w:tcPr>
          <w:p w14:paraId="1E0F9B04" w14:textId="77777777" w:rsidR="006A5297" w:rsidRPr="0025390C" w:rsidRDefault="006A5297" w:rsidP="006A5297">
            <w:pPr>
              <w:spacing w:after="0" w:line="240" w:lineRule="auto"/>
              <w:rPr>
                <w:rFonts w:ascii="Calibri" w:eastAsia="Times New Roman" w:hAnsi="Calibri" w:cs="Times New Roman"/>
                <w:color w:val="000000"/>
                <w:sz w:val="20"/>
                <w:szCs w:val="20"/>
              </w:rPr>
            </w:pPr>
          </w:p>
        </w:tc>
        <w:tc>
          <w:tcPr>
            <w:tcW w:w="1677" w:type="dxa"/>
            <w:tcBorders>
              <w:top w:val="single" w:sz="4" w:space="0" w:color="auto"/>
              <w:left w:val="single" w:sz="4" w:space="0" w:color="auto"/>
              <w:bottom w:val="single" w:sz="4" w:space="0" w:color="auto"/>
              <w:right w:val="nil"/>
            </w:tcBorders>
            <w:shd w:val="clear" w:color="000000" w:fill="FFFFFF"/>
            <w:noWrap/>
            <w:vAlign w:val="center"/>
            <w:hideMark/>
          </w:tcPr>
          <w:p w14:paraId="57BAB853"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Times New Roman" w:hAnsi="Calibri" w:cs="Times New Roman"/>
                <w:color w:val="000000"/>
                <w:sz w:val="20"/>
                <w:szCs w:val="20"/>
              </w:rPr>
              <w:t>Yes</w:t>
            </w:r>
          </w:p>
        </w:tc>
        <w:tc>
          <w:tcPr>
            <w:tcW w:w="1645" w:type="dxa"/>
            <w:tcBorders>
              <w:top w:val="single" w:sz="4" w:space="0" w:color="auto"/>
              <w:left w:val="single" w:sz="4" w:space="0" w:color="auto"/>
              <w:bottom w:val="single" w:sz="4" w:space="0" w:color="auto"/>
              <w:right w:val="nil"/>
            </w:tcBorders>
            <w:shd w:val="clear" w:color="000000" w:fill="FFFFFF"/>
            <w:noWrap/>
            <w:vAlign w:val="center"/>
            <w:hideMark/>
          </w:tcPr>
          <w:p w14:paraId="313E3A1F"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Times New Roman"/>
                <w:color w:val="000000"/>
                <w:sz w:val="20"/>
                <w:szCs w:val="20"/>
              </w:rPr>
              <w:t>330,203 (17.8%)</w:t>
            </w:r>
          </w:p>
        </w:tc>
        <w:tc>
          <w:tcPr>
            <w:tcW w:w="1592" w:type="dxa"/>
            <w:tcBorders>
              <w:top w:val="single" w:sz="4" w:space="0" w:color="auto"/>
              <w:left w:val="single" w:sz="4" w:space="0" w:color="auto"/>
              <w:bottom w:val="single" w:sz="4" w:space="0" w:color="auto"/>
              <w:right w:val="nil"/>
            </w:tcBorders>
            <w:shd w:val="clear" w:color="000000" w:fill="FFFFFF"/>
            <w:noWrap/>
            <w:vAlign w:val="center"/>
            <w:hideMark/>
          </w:tcPr>
          <w:p w14:paraId="3B48754E"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1.25 (1.24, 1.26)</w:t>
            </w:r>
          </w:p>
        </w:tc>
        <w:tc>
          <w:tcPr>
            <w:tcW w:w="16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8F418"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1.14 (1.12, 1.15)</w:t>
            </w:r>
          </w:p>
        </w:tc>
        <w:tc>
          <w:tcPr>
            <w:tcW w:w="16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936DA"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r w:rsidRPr="0025390C">
              <w:rPr>
                <w:rFonts w:ascii="Calibri" w:eastAsia="Calibri" w:hAnsi="Calibri" w:cs="Calibri"/>
                <w:color w:val="000000"/>
                <w:sz w:val="20"/>
                <w:szCs w:val="20"/>
              </w:rPr>
              <w:t>1.11 (1.10, 1.12)</w:t>
            </w:r>
          </w:p>
        </w:tc>
        <w:tc>
          <w:tcPr>
            <w:tcW w:w="1620" w:type="dxa"/>
            <w:tcBorders>
              <w:top w:val="single" w:sz="4" w:space="0" w:color="auto"/>
              <w:left w:val="nil"/>
              <w:bottom w:val="single" w:sz="4" w:space="0" w:color="auto"/>
              <w:right w:val="single" w:sz="4" w:space="0" w:color="auto"/>
            </w:tcBorders>
            <w:shd w:val="clear" w:color="000000" w:fill="BFBFBF"/>
            <w:noWrap/>
            <w:vAlign w:val="center"/>
            <w:hideMark/>
          </w:tcPr>
          <w:p w14:paraId="38CA25E2" w14:textId="77777777" w:rsidR="006A5297" w:rsidRPr="0025390C" w:rsidRDefault="006A5297" w:rsidP="006A5297">
            <w:pPr>
              <w:spacing w:after="0" w:line="240" w:lineRule="auto"/>
              <w:jc w:val="center"/>
              <w:rPr>
                <w:rFonts w:ascii="Calibri" w:eastAsia="Times New Roman" w:hAnsi="Calibri" w:cs="Times New Roman"/>
                <w:color w:val="000000"/>
                <w:sz w:val="20"/>
                <w:szCs w:val="20"/>
              </w:rPr>
            </w:pPr>
          </w:p>
        </w:tc>
      </w:tr>
      <w:bookmarkEnd w:id="25"/>
    </w:tbl>
    <w:p w14:paraId="4E95567D" w14:textId="5223E947" w:rsidR="00CC1774" w:rsidRDefault="00CC1774" w:rsidP="001B1235">
      <w:pPr>
        <w:pBdr>
          <w:top w:val="single" w:sz="4" w:space="1" w:color="auto"/>
          <w:left w:val="single" w:sz="4" w:space="30" w:color="auto"/>
          <w:bottom w:val="single" w:sz="4" w:space="1" w:color="auto"/>
          <w:right w:val="single" w:sz="4" w:space="4" w:color="auto"/>
        </w:pBdr>
        <w:spacing w:after="0" w:line="240" w:lineRule="auto"/>
      </w:pPr>
    </w:p>
    <w:p w14:paraId="3132BF51" w14:textId="4A454EDB" w:rsidR="00CC1774" w:rsidRDefault="00CC1774" w:rsidP="001B1235">
      <w:pPr>
        <w:pBdr>
          <w:top w:val="single" w:sz="4" w:space="1" w:color="auto"/>
          <w:left w:val="single" w:sz="4" w:space="30" w:color="auto"/>
          <w:bottom w:val="single" w:sz="4" w:space="1" w:color="auto"/>
          <w:right w:val="single" w:sz="4" w:space="4" w:color="auto"/>
        </w:pBdr>
        <w:spacing w:after="0" w:line="240" w:lineRule="auto"/>
      </w:pPr>
      <w:r>
        <w:t>Given our conceptual model and these empiric findings, along with feedback we received from our national TEP and Clinician Committee, CMS has decided to adjust for the AHRQ SES Index variable alone in the risk</w:t>
      </w:r>
      <w:r w:rsidR="00F81991">
        <w:t>-</w:t>
      </w:r>
      <w:r>
        <w:t xml:space="preserve">adjustment model. </w:t>
      </w:r>
    </w:p>
    <w:p w14:paraId="7258FEE4" w14:textId="77777777" w:rsidR="00CC1774" w:rsidRDefault="00CC1774" w:rsidP="001B1235">
      <w:pPr>
        <w:pBdr>
          <w:top w:val="single" w:sz="4" w:space="1" w:color="auto"/>
          <w:left w:val="single" w:sz="4" w:space="30" w:color="auto"/>
          <w:bottom w:val="single" w:sz="4" w:space="1" w:color="auto"/>
          <w:right w:val="single" w:sz="4" w:space="4" w:color="auto"/>
        </w:pBdr>
        <w:spacing w:after="0" w:line="240" w:lineRule="auto"/>
      </w:pPr>
    </w:p>
    <w:p w14:paraId="5485A3C5" w14:textId="0DF8884D" w:rsidR="00092B44" w:rsidRDefault="00092B44" w:rsidP="00092B44">
      <w:pPr>
        <w:pBdr>
          <w:top w:val="single" w:sz="4" w:space="1" w:color="auto"/>
          <w:left w:val="single" w:sz="4" w:space="30" w:color="auto"/>
          <w:bottom w:val="single" w:sz="4" w:space="1" w:color="auto"/>
          <w:right w:val="single" w:sz="4" w:space="4" w:color="auto"/>
        </w:pBdr>
        <w:spacing w:after="0" w:line="240" w:lineRule="auto"/>
      </w:pPr>
      <w:r>
        <w:t xml:space="preserve">While dual-eligible beneficiaries are likely to have fewer available health/healthcare supports, and may also have other unmeasured </w:t>
      </w:r>
      <w:r w:rsidR="00754473">
        <w:t>social risk factors</w:t>
      </w:r>
      <w:r w:rsidR="00D702F0">
        <w:t xml:space="preserve"> </w:t>
      </w:r>
      <w:r>
        <w:t>(</w:t>
      </w:r>
      <w:r w:rsidR="00754473">
        <w:t>for example</w:t>
      </w:r>
      <w:r>
        <w:t>, low health literacy), CMS is not adjusting the measure for dual eligibility because:</w:t>
      </w:r>
    </w:p>
    <w:p w14:paraId="4FBA1328" w14:textId="77777777" w:rsidR="0014441E" w:rsidRDefault="0014441E" w:rsidP="00092B44">
      <w:pPr>
        <w:pBdr>
          <w:top w:val="single" w:sz="4" w:space="1" w:color="auto"/>
          <w:left w:val="single" w:sz="4" w:space="30" w:color="auto"/>
          <w:bottom w:val="single" w:sz="4" w:space="1" w:color="auto"/>
          <w:right w:val="single" w:sz="4" w:space="4" w:color="auto"/>
        </w:pBdr>
        <w:spacing w:after="0" w:line="240" w:lineRule="auto"/>
      </w:pPr>
    </w:p>
    <w:p w14:paraId="69B35053" w14:textId="2C8A61BD" w:rsidR="00092B44" w:rsidRDefault="00092B44" w:rsidP="00092B44">
      <w:pPr>
        <w:pStyle w:val="ListParagraph"/>
        <w:numPr>
          <w:ilvl w:val="0"/>
          <w:numId w:val="43"/>
        </w:numPr>
        <w:pBdr>
          <w:top w:val="single" w:sz="4" w:space="1" w:color="auto"/>
          <w:left w:val="single" w:sz="4" w:space="30" w:color="auto"/>
          <w:bottom w:val="single" w:sz="4" w:space="1" w:color="auto"/>
          <w:right w:val="single" w:sz="4" w:space="4" w:color="auto"/>
        </w:pBdr>
        <w:spacing w:after="0" w:line="240" w:lineRule="auto"/>
        <w:ind w:left="360"/>
      </w:pPr>
      <w:r>
        <w:t>Adjusting for dual eligibility can mask disparities in care for dual-eligible beneficiaries as acknowledged by one provider</w:t>
      </w:r>
      <w:r w:rsidR="00D702F0">
        <w:t xml:space="preserve"> association in public comment.</w:t>
      </w:r>
    </w:p>
    <w:p w14:paraId="1F1D7531" w14:textId="3BE49B9D" w:rsidR="00092B44" w:rsidRDefault="00092B44" w:rsidP="00092B44">
      <w:pPr>
        <w:pStyle w:val="ListParagraph"/>
        <w:numPr>
          <w:ilvl w:val="0"/>
          <w:numId w:val="43"/>
        </w:numPr>
        <w:pBdr>
          <w:top w:val="single" w:sz="4" w:space="1" w:color="auto"/>
          <w:left w:val="single" w:sz="4" w:space="30" w:color="auto"/>
          <w:bottom w:val="single" w:sz="4" w:space="1" w:color="auto"/>
          <w:right w:val="single" w:sz="4" w:space="4" w:color="auto"/>
        </w:pBdr>
        <w:spacing w:after="0" w:line="240" w:lineRule="auto"/>
        <w:ind w:left="360"/>
      </w:pPr>
      <w:r>
        <w:t>Clinicians may have more ability to mitigate s</w:t>
      </w:r>
      <w:r w:rsidR="00D702F0">
        <w:t xml:space="preserve">ocial risk associated with dual </w:t>
      </w:r>
      <w:r>
        <w:t>eligibility, especially if a dual-eligible beneficiary is living in a non-socially deprived community.</w:t>
      </w:r>
    </w:p>
    <w:p w14:paraId="4825A800" w14:textId="23634D89" w:rsidR="00092B44" w:rsidRDefault="00092B44" w:rsidP="00092B44">
      <w:pPr>
        <w:pStyle w:val="ListParagraph"/>
        <w:numPr>
          <w:ilvl w:val="0"/>
          <w:numId w:val="43"/>
        </w:numPr>
        <w:pBdr>
          <w:top w:val="single" w:sz="4" w:space="1" w:color="auto"/>
          <w:left w:val="single" w:sz="4" w:space="30" w:color="auto"/>
          <w:bottom w:val="single" w:sz="4" w:space="1" w:color="auto"/>
          <w:right w:val="single" w:sz="4" w:space="4" w:color="auto"/>
        </w:pBdr>
        <w:spacing w:after="0" w:line="240" w:lineRule="auto"/>
        <w:ind w:left="360"/>
      </w:pPr>
      <w:r>
        <w:t xml:space="preserve">Not adjusting for dual eligibility is aligned with the conceptual model for the measure; the model developed with the TEP emphasizes adjusting for community not individual risk factors because patients living within very under-resourced areas pose challenges that are particularly hard for </w:t>
      </w:r>
      <w:r>
        <w:lastRenderedPageBreak/>
        <w:t xml:space="preserve">clinicians to address (e.g., lack of community services, transportation, poor housing, and/or low education). </w:t>
      </w:r>
    </w:p>
    <w:p w14:paraId="67AAE19D" w14:textId="0A4F8AA8" w:rsidR="00092B44" w:rsidRDefault="180CCC1F" w:rsidP="00092B44">
      <w:pPr>
        <w:pStyle w:val="ListParagraph"/>
        <w:numPr>
          <w:ilvl w:val="0"/>
          <w:numId w:val="43"/>
        </w:numPr>
        <w:pBdr>
          <w:top w:val="single" w:sz="4" w:space="1" w:color="auto"/>
          <w:left w:val="single" w:sz="4" w:space="30" w:color="auto"/>
          <w:bottom w:val="single" w:sz="4" w:space="1" w:color="auto"/>
          <w:right w:val="single" w:sz="4" w:space="4" w:color="auto"/>
        </w:pBdr>
        <w:spacing w:after="0" w:line="240" w:lineRule="auto"/>
        <w:ind w:left="360"/>
      </w:pPr>
      <w:r>
        <w:t xml:space="preserve">Dual eligibility enrollment criteria vary on a state-to-state basis, although in the 65 and older population included in this measure </w:t>
      </w:r>
      <w:r w:rsidR="39BC613C">
        <w:t>the criteria are uniform across 40 states and vary among 10 states</w:t>
      </w:r>
      <w:r w:rsidR="00E4588D">
        <w:t xml:space="preserve"> [1]</w:t>
      </w:r>
      <w:r w:rsidR="39BC613C">
        <w:t xml:space="preserve">. </w:t>
      </w:r>
      <w:r w:rsidR="00092B44">
        <w:t xml:space="preserve">TEP members supported including only the AHRQ SES Index </w:t>
      </w:r>
      <w:r w:rsidR="00D702F0">
        <w:t>SRF</w:t>
      </w:r>
      <w:r w:rsidR="00092B44">
        <w:t xml:space="preserve"> in the model given these factors and the program context. </w:t>
      </w:r>
    </w:p>
    <w:p w14:paraId="00372767" w14:textId="542082AA" w:rsidR="00092B44" w:rsidRDefault="00092B44" w:rsidP="00092B44">
      <w:pPr>
        <w:pStyle w:val="ListParagraph"/>
        <w:numPr>
          <w:ilvl w:val="0"/>
          <w:numId w:val="43"/>
        </w:numPr>
        <w:pBdr>
          <w:top w:val="single" w:sz="4" w:space="1" w:color="auto"/>
          <w:left w:val="single" w:sz="4" w:space="30" w:color="auto"/>
          <w:bottom w:val="single" w:sz="4" w:space="1" w:color="auto"/>
          <w:right w:val="single" w:sz="4" w:space="4" w:color="auto"/>
        </w:pBdr>
        <w:spacing w:after="0" w:line="240" w:lineRule="auto"/>
        <w:ind w:left="360"/>
      </w:pPr>
      <w:proofErr w:type="gramStart"/>
      <w:r>
        <w:t>The majority of</w:t>
      </w:r>
      <w:proofErr w:type="gramEnd"/>
      <w:r>
        <w:t xml:space="preserve"> Clinician Committee members supported including only the AHRQ SES Index </w:t>
      </w:r>
      <w:r w:rsidR="00F62A41">
        <w:t>SRF</w:t>
      </w:r>
      <w:r>
        <w:t xml:space="preserve"> in the model.</w:t>
      </w:r>
    </w:p>
    <w:p w14:paraId="6B245C64" w14:textId="7114CC69" w:rsidR="00E4588D" w:rsidRDefault="00092B44" w:rsidP="00E4588D">
      <w:pPr>
        <w:pStyle w:val="ListParagraph"/>
        <w:numPr>
          <w:ilvl w:val="0"/>
          <w:numId w:val="43"/>
        </w:numPr>
        <w:pBdr>
          <w:top w:val="single" w:sz="4" w:space="1" w:color="auto"/>
          <w:left w:val="single" w:sz="4" w:space="30" w:color="auto"/>
          <w:bottom w:val="single" w:sz="4" w:space="1" w:color="auto"/>
          <w:right w:val="single" w:sz="4" w:space="4" w:color="auto"/>
        </w:pBdr>
        <w:spacing w:after="0" w:line="240" w:lineRule="auto"/>
        <w:ind w:left="360"/>
      </w:pPr>
      <w:r>
        <w:t>The marginal impact of including dual eligibility is attenuated after accounting for demographic, clinical, and frailty risk factors, as well as the AHRQ SES Index.</w:t>
      </w:r>
    </w:p>
    <w:p w14:paraId="613B4DA3" w14:textId="77777777" w:rsidR="003F1E52" w:rsidRDefault="003F1E52" w:rsidP="003F1E52">
      <w:pPr>
        <w:pBdr>
          <w:top w:val="single" w:sz="4" w:space="1" w:color="auto"/>
          <w:left w:val="single" w:sz="4" w:space="30" w:color="auto"/>
          <w:bottom w:val="single" w:sz="4" w:space="1" w:color="auto"/>
          <w:right w:val="single" w:sz="4" w:space="4" w:color="auto"/>
        </w:pBdr>
        <w:spacing w:after="0" w:line="240" w:lineRule="auto"/>
      </w:pPr>
    </w:p>
    <w:p w14:paraId="0FD2E68C" w14:textId="6976F468" w:rsidR="00E4588D" w:rsidRPr="00407810" w:rsidRDefault="003F1E52" w:rsidP="006D039C">
      <w:pPr>
        <w:pBdr>
          <w:top w:val="single" w:sz="4" w:space="1" w:color="auto"/>
          <w:left w:val="single" w:sz="4" w:space="30" w:color="auto"/>
          <w:bottom w:val="single" w:sz="4" w:space="1" w:color="auto"/>
          <w:right w:val="single" w:sz="4" w:space="4" w:color="auto"/>
        </w:pBdr>
        <w:spacing w:after="0" w:line="240" w:lineRule="auto"/>
        <w:ind w:left="-540"/>
      </w:pPr>
      <w:r w:rsidRPr="003F1E52">
        <w:t>1.</w:t>
      </w:r>
      <w:r>
        <w:t xml:space="preserve"> </w:t>
      </w:r>
      <w:r w:rsidR="00AF4544">
        <w:t>U.S. Department of Health and Human Service</w:t>
      </w:r>
      <w:r w:rsidR="00A93E4F">
        <w:t>s</w:t>
      </w:r>
      <w:r w:rsidR="00457A90">
        <w:t xml:space="preserve">, Office </w:t>
      </w:r>
      <w:r w:rsidR="00FD6CE0">
        <w:t>of the Assistant Secretary for Planning and Evaluation.</w:t>
      </w:r>
      <w:r w:rsidR="00A93E4F">
        <w:t xml:space="preserve"> </w:t>
      </w:r>
      <w:r w:rsidR="0016763B">
        <w:t xml:space="preserve">(2020). </w:t>
      </w:r>
      <w:r w:rsidR="00484788">
        <w:rPr>
          <w:i/>
          <w:iCs/>
        </w:rPr>
        <w:t xml:space="preserve">Social Risk Factors and </w:t>
      </w:r>
      <w:r w:rsidR="006B693B">
        <w:rPr>
          <w:i/>
          <w:iCs/>
        </w:rPr>
        <w:t xml:space="preserve">Performance in Medicare’s </w:t>
      </w:r>
      <w:r w:rsidR="00407810">
        <w:rPr>
          <w:i/>
          <w:iCs/>
        </w:rPr>
        <w:t>Value-Based Purchasing Program</w:t>
      </w:r>
      <w:r w:rsidR="00407810">
        <w:t xml:space="preserve">. </w:t>
      </w:r>
    </w:p>
    <w:p w14:paraId="137BA77F" w14:textId="461F7DD0" w:rsidR="00994FB5" w:rsidRPr="00001D73" w:rsidRDefault="00994FB5" w:rsidP="00001D73">
      <w:pPr>
        <w:autoSpaceDE w:val="0"/>
        <w:autoSpaceDN w:val="0"/>
        <w:adjustRightInd w:val="0"/>
        <w:spacing w:after="0" w:line="240" w:lineRule="auto"/>
        <w:rPr>
          <w:rFonts w:cstheme="minorHAnsi"/>
          <w:b/>
          <w:bCs/>
        </w:rPr>
      </w:pPr>
    </w:p>
    <w:p w14:paraId="0CABCFFA" w14:textId="0C8E7B3C" w:rsidR="0009256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E6346E">
        <w:rPr>
          <w:rFonts w:cstheme="minorHAnsi"/>
          <w:bCs/>
        </w:rPr>
        <w:t>)</w:t>
      </w:r>
    </w:p>
    <w:p w14:paraId="43C4D36E" w14:textId="5655586E"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bookmarkStart w:id="26" w:name="_Hlk5800631"/>
      <w:r>
        <w:t xml:space="preserve">We assessed adequacy of the demographic and clinical risk-adjustment model first in the Development Sample and then evaluated model performance in the Validation Sample. The measure uses the number of acute unplanned </w:t>
      </w:r>
      <w:r w:rsidR="004C6062">
        <w:t xml:space="preserve">cardiovascular-related </w:t>
      </w:r>
      <w:r>
        <w:t xml:space="preserve">hospital admissions per person-year at risk for admission as the outcome. Because the outcome is a count of hospital admissions – rather than a binary outcome, such as </w:t>
      </w:r>
      <w:r w:rsidR="567A349E">
        <w:t>whether</w:t>
      </w:r>
      <w:r>
        <w:t xml:space="preserve"> a patient has been admitted</w:t>
      </w:r>
      <w:r w:rsidR="65B6F2F4">
        <w:t xml:space="preserve"> or not</w:t>
      </w:r>
      <w:r>
        <w:t xml:space="preserve"> – several routinely used metrics of model performance cannot be applied (for example, we cannot use a c-statistic).</w:t>
      </w:r>
    </w:p>
    <w:p w14:paraId="70F007AA"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bdr w:val="single" w:sz="4" w:space="0" w:color="auto" w:frame="1"/>
        </w:rPr>
      </w:pPr>
    </w:p>
    <w:p w14:paraId="4362EEDB"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We computed two summary statistics for assessing the risk-adjustment model performance: 1) goodness-of-fit statistic (deviance R-squared) using both the Development and Validation Samples and 2) overfitting indices (Validation Sample only). We then compared the deviance R-squared in both the Development and Validation Samples. For the overfitting indices (</w:t>
      </w:r>
      <w:r>
        <w:rPr>
          <w:rFonts w:ascii="Symbol" w:hAnsi="Symbol"/>
        </w:rPr>
        <w:t></w:t>
      </w:r>
      <w:r>
        <w:rPr>
          <w:rFonts w:cstheme="minorHAnsi"/>
          <w:vertAlign w:val="subscript"/>
        </w:rPr>
        <w:t>0</w:t>
      </w:r>
      <w:r>
        <w:t xml:space="preserve">, </w:t>
      </w:r>
      <w:r>
        <w:rPr>
          <w:rFonts w:ascii="Symbol" w:hAnsi="Symbol"/>
        </w:rPr>
        <w:t></w:t>
      </w:r>
      <w:r>
        <w:rPr>
          <w:rFonts w:cstheme="minorHAnsi"/>
          <w:vertAlign w:val="subscript"/>
        </w:rPr>
        <w:t>1</w:t>
      </w:r>
      <w:r>
        <w:t xml:space="preserve">), we investigated how far the estimated value of </w:t>
      </w:r>
      <w:r>
        <w:rPr>
          <w:rFonts w:ascii="Symbol" w:hAnsi="Symbol"/>
        </w:rPr>
        <w:t></w:t>
      </w:r>
      <w:r>
        <w:rPr>
          <w:rFonts w:cstheme="minorHAnsi"/>
          <w:vertAlign w:val="subscript"/>
        </w:rPr>
        <w:t>0</w:t>
      </w:r>
      <w:r>
        <w:t xml:space="preserve"> was from 0 and the estimated value of </w:t>
      </w:r>
      <w:r>
        <w:rPr>
          <w:rFonts w:ascii="Symbol" w:hAnsi="Symbol"/>
        </w:rPr>
        <w:t></w:t>
      </w:r>
      <w:r>
        <w:rPr>
          <w:rFonts w:cstheme="minorHAnsi"/>
          <w:vertAlign w:val="subscript"/>
        </w:rPr>
        <w:t>1</w:t>
      </w:r>
      <w:r>
        <w:t xml:space="preserve"> was 1, using the Validation Sample. </w:t>
      </w:r>
    </w:p>
    <w:p w14:paraId="45722931"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7A30A47"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Using the Full Sample, we also compared the deviance R-squared between the risk models with and without adjustment for the social risk factors.</w:t>
      </w:r>
    </w:p>
    <w:p w14:paraId="54CE1896"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019227AF"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Pr>
          <w:u w:val="single"/>
        </w:rPr>
        <w:t>Deviance R-squared (model discrimination)</w:t>
      </w:r>
    </w:p>
    <w:p w14:paraId="5F091B58"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 xml:space="preserve">We calculated deviance R-squared using the deviance residual defined by Cameron [1]. The deviance R-squared evaluates how successful the fit is in explaining the variation of the data. Deviance R-squared can take on any value between 0 and 1, with a value closer to 1 indicating that a greater proportion of deviance is accounted for by the model. For example, a deviance R-squared value of 0.12 means that the fit explains 12% of the total deviance. </w:t>
      </w:r>
    </w:p>
    <w:p w14:paraId="7B6AF6B4"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518746BC"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Pr>
          <w:u w:val="single"/>
        </w:rPr>
        <w:t>Overfitting indices (model calibration)</w:t>
      </w:r>
    </w:p>
    <w:p w14:paraId="4DB17123"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 xml:space="preserve">Overfitting refers to the phenomenon in which a model accurately describes the relationship between the predictive variables and the outcome in the development dataset but fails to provide valid predictions in new patients. </w:t>
      </w:r>
      <w:bookmarkStart w:id="27" w:name="_Hlk7096343"/>
      <w:r>
        <w:t>We calculated overfitting indices of γ</w:t>
      </w:r>
      <w:r>
        <w:rPr>
          <w:sz w:val="14"/>
          <w:szCs w:val="14"/>
        </w:rPr>
        <w:t>0</w:t>
      </w:r>
      <w:r>
        <w:t xml:space="preserve"> and γ</w:t>
      </w:r>
      <w:r>
        <w:rPr>
          <w:sz w:val="14"/>
          <w:szCs w:val="14"/>
        </w:rPr>
        <w:t>1</w:t>
      </w:r>
      <w:r>
        <w:t>. Estimated values of γ</w:t>
      </w:r>
      <w:r>
        <w:rPr>
          <w:sz w:val="14"/>
          <w:szCs w:val="14"/>
        </w:rPr>
        <w:t xml:space="preserve">0 </w:t>
      </w:r>
      <w:r>
        <w:t>far from 0 and estimated values of γ</w:t>
      </w:r>
      <w:r>
        <w:rPr>
          <w:sz w:val="14"/>
          <w:szCs w:val="14"/>
        </w:rPr>
        <w:t xml:space="preserve">1 </w:t>
      </w:r>
      <w:r>
        <w:t xml:space="preserve">far from 1 provide evidence of overfitting. </w:t>
      </w:r>
      <w:bookmarkEnd w:id="27"/>
    </w:p>
    <w:p w14:paraId="2B4E3990"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730307BA" w14:textId="77777777" w:rsidR="00E6346E" w:rsidRDefault="00E6346E" w:rsidP="00E6346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Pr>
          <w:u w:val="single"/>
        </w:rPr>
        <w:t>Model performance among patients at different risk of admission (model calibration)</w:t>
      </w:r>
      <w:r>
        <w:t xml:space="preserve"> </w:t>
      </w:r>
    </w:p>
    <w:p w14:paraId="7E6D63D7" w14:textId="77777777" w:rsidR="00E2708E" w:rsidRDefault="00E6346E" w:rsidP="00E2708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roofErr w:type="gramStart"/>
      <w:r>
        <w:lastRenderedPageBreak/>
        <w:t>In order to</w:t>
      </w:r>
      <w:proofErr w:type="gramEnd"/>
      <w:r>
        <w:t xml:space="preserve"> determine whether the model performs well across groups of patients at different risk of admission, the sample was divided into quartiles of predicted admission rate. We then assessed the predicted probability of the number of admissions derived from the model compared with the observed probability of the number of admissions. The predicted probability for a group of patients is the average probability of observing 0, 1, 2, …n hospital admissions, given these patients’ risk factors for admission. The observed probability of each count of admissions for a group of patients is the proportion of these patients admitted to the hospital 0, 1, 2, …n times.</w:t>
      </w:r>
      <w:bookmarkEnd w:id="26"/>
    </w:p>
    <w:p w14:paraId="1099A070" w14:textId="77777777" w:rsidR="00E2708E" w:rsidRDefault="00E2708E" w:rsidP="00E2708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071A67B" w14:textId="3345E472" w:rsidR="00E2708E" w:rsidRPr="00E2708E" w:rsidRDefault="00E2708E" w:rsidP="00E2708E">
      <w:pPr>
        <w:pStyle w:val="ListParagraph"/>
        <w:numPr>
          <w:ilvl w:val="0"/>
          <w:numId w:val="4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360"/>
      </w:pPr>
      <w:bookmarkStart w:id="28" w:name="_Hlk57965869"/>
      <w:r w:rsidRPr="005A6406">
        <w:t xml:space="preserve">Cameron AC, </w:t>
      </w:r>
      <w:proofErr w:type="spellStart"/>
      <w:r w:rsidRPr="005A6406">
        <w:t>Windmeijer</w:t>
      </w:r>
      <w:proofErr w:type="spellEnd"/>
      <w:r w:rsidRPr="005A6406">
        <w:t xml:space="preserve"> FAG. R-Squared Measures fo</w:t>
      </w:r>
      <w:r>
        <w:t>r Count Data Regression Models w</w:t>
      </w:r>
      <w:r w:rsidRPr="005A6406">
        <w:t xml:space="preserve">ith Applications to Health-Care Utilization. </w:t>
      </w:r>
      <w:r w:rsidRPr="00E2708E">
        <w:rPr>
          <w:i/>
        </w:rPr>
        <w:t xml:space="preserve">Journal of Business &amp; Economic Statistics. </w:t>
      </w:r>
      <w:r w:rsidRPr="005A6406">
        <w:t>1996;14(2):209-220.</w:t>
      </w:r>
    </w:p>
    <w:bookmarkEnd w:id="28"/>
    <w:p w14:paraId="310B72FD" w14:textId="77777777" w:rsidR="00E6346E" w:rsidRPr="00A25024" w:rsidRDefault="00E6346E"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21ACBAD7" w:rsid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01705B98" w14:textId="538DDEC0" w:rsidR="0025390C" w:rsidRPr="00E6346E" w:rsidRDefault="0025390C" w:rsidP="0025390C">
      <w:pPr>
        <w:pBdr>
          <w:top w:val="single" w:sz="4" w:space="1" w:color="auto"/>
          <w:left w:val="single" w:sz="4" w:space="0" w:color="auto"/>
          <w:bottom w:val="single" w:sz="4" w:space="1" w:color="auto"/>
          <w:right w:val="single" w:sz="4" w:space="4" w:color="auto"/>
        </w:pBdr>
        <w:spacing w:line="240" w:lineRule="auto"/>
      </w:pPr>
      <w:r w:rsidRPr="0025390C">
        <w:t>The deviance R-squared for the model with demographic and clinical risk factors was 0.073</w:t>
      </w:r>
      <w:r w:rsidR="008D72AA">
        <w:t xml:space="preserve"> in the Development HF Full Sample</w:t>
      </w:r>
      <w:r w:rsidRPr="0025390C">
        <w:t xml:space="preserve"> and 0.072 in the Validation HF Full Sample, indicating that the model explains 7.3% and 7.2% of the variation, respectively, in admission rates. </w:t>
      </w:r>
      <w:r>
        <w:t xml:space="preserve">The Q4 2017 – Q3 2018 Medicare HF Full Sample deviance R-squared was unchanged after adding the AHRQ SES Index to the </w:t>
      </w:r>
      <w:r w:rsidRPr="00F9345F">
        <w:t>model (0.</w:t>
      </w:r>
      <w:r w:rsidR="001943F1" w:rsidRPr="00F9345F">
        <w:t>0</w:t>
      </w:r>
      <w:r w:rsidR="001943F1">
        <w:t>73</w:t>
      </w:r>
      <w:r w:rsidRPr="00F9345F">
        <w:t>).</w:t>
      </w:r>
    </w:p>
    <w:p w14:paraId="0CABCFFE" w14:textId="1D275381"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w:t>
      </w:r>
      <w:r w:rsidR="00E6346E">
        <w:rPr>
          <w:rFonts w:cstheme="minorHAnsi"/>
          <w:bCs/>
        </w:rPr>
        <w:t xml:space="preserve">  </w:t>
      </w:r>
    </w:p>
    <w:p w14:paraId="7EACDC6E" w14:textId="3457C85B" w:rsidR="0025390C" w:rsidRPr="00E6346E" w:rsidRDefault="0025390C" w:rsidP="000E6750">
      <w:pPr>
        <w:pBdr>
          <w:top w:val="single" w:sz="4" w:space="1" w:color="auto"/>
          <w:left w:val="single" w:sz="4" w:space="4" w:color="auto"/>
          <w:bottom w:val="single" w:sz="4" w:space="1" w:color="auto"/>
          <w:right w:val="single" w:sz="4" w:space="4" w:color="auto"/>
        </w:pBdr>
        <w:spacing w:line="240" w:lineRule="auto"/>
      </w:pPr>
      <w:r>
        <w:t>In the Validation Sample, the over-fitting index of γ</w:t>
      </w:r>
      <w:r w:rsidRPr="331BDD94">
        <w:rPr>
          <w:vertAlign w:val="subscript"/>
        </w:rPr>
        <w:t>0</w:t>
      </w:r>
      <w:r>
        <w:t xml:space="preserve"> was close to 0 (-0.007) and γ</w:t>
      </w:r>
      <w:r w:rsidRPr="331BDD94">
        <w:rPr>
          <w:vertAlign w:val="subscript"/>
        </w:rPr>
        <w:t>1</w:t>
      </w:r>
      <w:r>
        <w:t xml:space="preserve"> was close to 1 (0.993),</w:t>
      </w:r>
      <w:r w:rsidR="7960F5DE">
        <w:t xml:space="preserve"> </w:t>
      </w:r>
      <w:r>
        <w:t>indicating good calibration of the demographic and clinical risk model.</w:t>
      </w:r>
    </w:p>
    <w:p w14:paraId="0CABCFFF" w14:textId="0A9F21EE" w:rsidR="00743E46" w:rsidRDefault="009C7513" w:rsidP="000E6750">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F3DF9ED" w14:textId="77777777" w:rsidR="004C6062" w:rsidRDefault="004C6062" w:rsidP="000E6750">
      <w:pPr>
        <w:pBdr>
          <w:top w:val="single" w:sz="4" w:space="1" w:color="auto"/>
          <w:left w:val="single" w:sz="4" w:space="4" w:color="auto"/>
          <w:bottom w:val="single" w:sz="4" w:space="1" w:color="auto"/>
          <w:right w:val="single" w:sz="4" w:space="4" w:color="auto"/>
        </w:pBdr>
        <w:spacing w:line="240" w:lineRule="auto"/>
      </w:pPr>
      <w:r>
        <w:t>The plots of observed and predicted probabilities for each number of hospital admissions (0, 1, 2, …, 10) across quartiles of risk showed that the model performs well across a broad range of risk. In the highest-risk group, we found that the observed and predicted probabilities for zero and one admission differed slightly. However, these differences were small and somewhat expected among the highest-risk group of patients.</w:t>
      </w:r>
    </w:p>
    <w:p w14:paraId="42E10C49" w14:textId="4EC61BBF" w:rsidR="007A1F94" w:rsidRDefault="0025390C" w:rsidP="007A1F9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color w:val="000000"/>
          <w:bdr w:val="single" w:sz="4" w:space="0" w:color="auto" w:frame="1"/>
        </w:rPr>
      </w:pPr>
      <w:r>
        <w:rPr>
          <w:noProof/>
        </w:rPr>
        <w:lastRenderedPageBreak/>
        <w:drawing>
          <wp:inline distT="0" distB="0" distL="0" distR="0" wp14:anchorId="212357D0" wp14:editId="53420967">
            <wp:extent cx="5943600" cy="5745482"/>
            <wp:effectExtent l="0" t="0" r="0" b="7620"/>
            <wp:docPr id="3" name="Picture 1" descr="The SGPanel Procedure.&#10;This figure shows the risk decile plots of observed and predicted probabilities for each number of hospital admissions across quartiles of risk (lowest predicted admission group, second lowest predicted admission group, second highest predicted admission group, and highest predicted admission group). This shows that the model performs well across a broad range of ri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The SGPanel Procedure.&#10;This figure shows the risk decile plots of observed and predicted probabilities for each number of hospital admissions across quartiles of risk (lowest predicted admission group, second lowest predicted admission group, second highest predicted admission group, and highest predicted admission group). This shows that the model performs well across a broad range of risk."/>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F4F6D8F6-F50C-498F-9CF2-C10176FE8419}"/>
                        </a:ext>
                      </a:extLst>
                    </a:blip>
                    <a:stretch>
                      <a:fillRect/>
                    </a:stretch>
                  </pic:blipFill>
                  <pic:spPr>
                    <a:xfrm>
                      <a:off x="0" y="0"/>
                      <a:ext cx="5943600" cy="5745482"/>
                    </a:xfrm>
                    <a:prstGeom prst="rect">
                      <a:avLst/>
                    </a:prstGeom>
                  </pic:spPr>
                </pic:pic>
              </a:graphicData>
            </a:graphic>
          </wp:inline>
        </w:drawing>
      </w:r>
    </w:p>
    <w:p w14:paraId="4EA137D1" w14:textId="77777777" w:rsidR="007A1F94" w:rsidRDefault="007A1F94" w:rsidP="007A1F9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color w:val="000000"/>
          <w:bdr w:val="single" w:sz="4" w:space="0" w:color="auto" w:frame="1"/>
        </w:rPr>
      </w:pPr>
    </w:p>
    <w:p w14:paraId="15E54FED" w14:textId="77777777" w:rsidR="00E6346E" w:rsidRDefault="00E6346E"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9" w:name="question2b49"/>
      <w:bookmarkEnd w:id="29"/>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55EBF904" w:rsidR="00092566" w:rsidRPr="00A25024" w:rsidRDefault="00826A89" w:rsidP="00865F1B">
      <w:pPr>
        <w:pStyle w:val="ListParagraph"/>
        <w:pBdr>
          <w:top w:val="single" w:sz="4" w:space="1" w:color="auto"/>
          <w:left w:val="single" w:sz="4" w:space="31" w:color="auto"/>
          <w:bottom w:val="single" w:sz="4" w:space="1" w:color="auto"/>
          <w:right w:val="single" w:sz="4" w:space="4" w:color="auto"/>
          <w:between w:val="single" w:sz="4" w:space="1" w:color="auto"/>
          <w:bar w:val="single" w:sz="4" w:color="auto"/>
        </w:pBdr>
        <w:ind w:left="630"/>
        <w:rPr>
          <w:rFonts w:cstheme="minorHAnsi"/>
          <w:bCs/>
        </w:rPr>
      </w:pPr>
      <w:r>
        <w:rPr>
          <w:rFonts w:cstheme="minorHAnsi"/>
          <w:bCs/>
        </w:rPr>
        <w:t>Not applicable.  This measure is not risk stratified.</w:t>
      </w:r>
    </w:p>
    <w:p w14:paraId="0CABD002" w14:textId="757E5420"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7A1F94">
        <w:rPr>
          <w:rFonts w:cstheme="minorHAnsi"/>
          <w:bCs/>
        </w:rPr>
        <w:t>)</w:t>
      </w:r>
    </w:p>
    <w:p w14:paraId="6373D3A7" w14:textId="77777777" w:rsidR="007A1F94" w:rsidRDefault="007A1F94" w:rsidP="007A1F94">
      <w:pPr>
        <w:pBdr>
          <w:top w:val="single" w:sz="4" w:space="1" w:color="auto"/>
          <w:left w:val="single" w:sz="4" w:space="4" w:color="auto"/>
          <w:bottom w:val="single" w:sz="4" w:space="1" w:color="auto"/>
          <w:right w:val="single" w:sz="4" w:space="4" w:color="auto"/>
        </w:pBdr>
      </w:pPr>
      <w:r>
        <w:t xml:space="preserve">The results demonstrate the risk-adjustment model adequately controls for differences in patient characteristics. </w:t>
      </w:r>
    </w:p>
    <w:p w14:paraId="6D8B9D62" w14:textId="77777777" w:rsidR="007A1F94" w:rsidRDefault="007A1F94" w:rsidP="000E6750">
      <w:pPr>
        <w:pBdr>
          <w:top w:val="single" w:sz="4" w:space="1" w:color="auto"/>
          <w:left w:val="single" w:sz="4" w:space="4" w:color="auto"/>
          <w:bottom w:val="single" w:sz="4" w:space="1" w:color="auto"/>
          <w:right w:val="single" w:sz="4" w:space="4" w:color="auto"/>
        </w:pBdr>
        <w:spacing w:line="240" w:lineRule="auto"/>
      </w:pPr>
      <w:r>
        <w:t xml:space="preserve">Discrimination statistics: Model performance was similar in the Development and Validation Samples, with good model discrimination and fit. This held with adjustment for clinical, demographic, and social risk factors. </w:t>
      </w:r>
    </w:p>
    <w:p w14:paraId="2021B223" w14:textId="77777777" w:rsidR="007A1F94" w:rsidRDefault="007A1F94" w:rsidP="000E6750">
      <w:pPr>
        <w:pBdr>
          <w:top w:val="single" w:sz="4" w:space="1" w:color="auto"/>
          <w:left w:val="single" w:sz="4" w:space="4" w:color="auto"/>
          <w:bottom w:val="single" w:sz="4" w:space="1" w:color="auto"/>
          <w:right w:val="single" w:sz="4" w:space="4" w:color="auto"/>
        </w:pBdr>
        <w:spacing w:line="240" w:lineRule="auto"/>
      </w:pPr>
      <w:r>
        <w:lastRenderedPageBreak/>
        <w:t>Calibration statistics: The calibration indices of γ</w:t>
      </w:r>
      <w:r>
        <w:rPr>
          <w:sz w:val="14"/>
          <w:szCs w:val="14"/>
        </w:rPr>
        <w:t>0</w:t>
      </w:r>
      <w:r>
        <w:t xml:space="preserve"> and γ</w:t>
      </w:r>
      <w:r>
        <w:rPr>
          <w:sz w:val="14"/>
          <w:szCs w:val="14"/>
        </w:rPr>
        <w:t>1</w:t>
      </w:r>
      <w:r>
        <w:t xml:space="preserve"> had values close to 0 and 1, respectively, indicating good calibration of the model with little evidence of overfitting.</w:t>
      </w:r>
    </w:p>
    <w:p w14:paraId="47BBB42B" w14:textId="77777777" w:rsidR="007A1F94" w:rsidRDefault="007A1F94" w:rsidP="000E6750">
      <w:pPr>
        <w:pBdr>
          <w:top w:val="single" w:sz="4" w:space="1" w:color="auto"/>
          <w:left w:val="single" w:sz="4" w:space="4" w:color="auto"/>
          <w:bottom w:val="single" w:sz="4" w:space="1" w:color="auto"/>
          <w:right w:val="single" w:sz="4" w:space="4" w:color="auto"/>
        </w:pBdr>
        <w:spacing w:line="240" w:lineRule="auto"/>
      </w:pPr>
      <w:r>
        <w:t>Risk decile plots: The plots, which showed that the predicted risk closely approximated the observed risk in most deciles, suggest reasonable calibration.</w:t>
      </w:r>
    </w:p>
    <w:p w14:paraId="0CABD003" w14:textId="0FCBB7FA" w:rsidR="00092566" w:rsidRPr="007A1F94" w:rsidRDefault="007A1F94" w:rsidP="000E6750">
      <w:pPr>
        <w:pBdr>
          <w:top w:val="single" w:sz="4" w:space="1" w:color="auto"/>
          <w:left w:val="single" w:sz="4" w:space="4" w:color="auto"/>
          <w:bottom w:val="single" w:sz="4" w:space="1" w:color="auto"/>
          <w:right w:val="single" w:sz="4" w:space="4" w:color="auto"/>
        </w:pBdr>
        <w:spacing w:line="240" w:lineRule="auto"/>
      </w:pPr>
      <w:r>
        <w:t xml:space="preserve">Overall interpretation: </w:t>
      </w:r>
      <w:r>
        <w:rPr>
          <w:rFonts w:cstheme="minorHAnsi"/>
          <w:bCs/>
        </w:rPr>
        <w:t>Interpreted together, our diagnostic results demonstrate the risk-adjustment model adequately controls for differences in patient characteristics (case mix).</w:t>
      </w:r>
    </w:p>
    <w:p w14:paraId="3095A5E4" w14:textId="77777777" w:rsidR="007A1F94" w:rsidRPr="00A25024" w:rsidRDefault="007A1F94"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4385941E" w:rsidR="003755CB" w:rsidRDefault="003755CB" w:rsidP="00D61410">
      <w:pPr>
        <w:autoSpaceDE w:val="0"/>
        <w:autoSpaceDN w:val="0"/>
        <w:adjustRightInd w:val="0"/>
        <w:spacing w:after="0" w:line="240" w:lineRule="auto"/>
        <w:rPr>
          <w:rFonts w:cstheme="minorHAnsi"/>
          <w:b/>
          <w:bCs/>
        </w:rPr>
      </w:pPr>
    </w:p>
    <w:p w14:paraId="1E81568F" w14:textId="124FFB1A" w:rsidR="007A1F94" w:rsidRDefault="007A1F94" w:rsidP="000E6750">
      <w:pPr>
        <w:pBdr>
          <w:top w:val="single" w:sz="4" w:space="1" w:color="auto"/>
          <w:left w:val="single" w:sz="4" w:space="4" w:color="auto"/>
          <w:bottom w:val="single" w:sz="4" w:space="1" w:color="auto"/>
          <w:right w:val="single" w:sz="4" w:space="4" w:color="auto"/>
        </w:pBdr>
        <w:spacing w:line="240" w:lineRule="auto"/>
      </w:pPr>
      <w:r>
        <w:t xml:space="preserve">We found comparable risk factor frequencies and </w:t>
      </w:r>
      <w:r w:rsidR="00B91A9B">
        <w:t>RRs</w:t>
      </w:r>
      <w:r>
        <w:t xml:space="preserve"> in the Development and Validation Samples.</w:t>
      </w:r>
    </w:p>
    <w:p w14:paraId="769008CE" w14:textId="77777777" w:rsidR="007A1F94" w:rsidRDefault="007A1F94" w:rsidP="000E6750">
      <w:pPr>
        <w:autoSpaceDE w:val="0"/>
        <w:autoSpaceDN w:val="0"/>
        <w:adjustRightInd w:val="0"/>
        <w:spacing w:after="0" w:line="240" w:lineRule="auto"/>
        <w:rPr>
          <w:rFonts w:cstheme="minorHAnsi"/>
          <w:b/>
          <w:bCs/>
        </w:rPr>
      </w:pPr>
    </w:p>
    <w:p w14:paraId="0CABD006" w14:textId="77777777" w:rsidR="00D61410" w:rsidRPr="00A25024" w:rsidRDefault="00D61410" w:rsidP="000E675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0E6750">
      <w:pPr>
        <w:autoSpaceDE w:val="0"/>
        <w:autoSpaceDN w:val="0"/>
        <w:adjustRightInd w:val="0"/>
        <w:spacing w:after="0" w:line="240" w:lineRule="auto"/>
        <w:rPr>
          <w:rFonts w:cstheme="minorHAnsi"/>
          <w:b/>
          <w:bCs/>
        </w:rPr>
      </w:pPr>
      <w:bookmarkStart w:id="30" w:name="section2b5"/>
      <w:bookmarkEnd w:id="30"/>
      <w:r>
        <w:rPr>
          <w:rFonts w:cstheme="minorHAnsi"/>
          <w:b/>
          <w:bCs/>
        </w:rPr>
        <w:t>2b4</w:t>
      </w:r>
      <w:r w:rsidR="00D61410" w:rsidRPr="00A25024">
        <w:rPr>
          <w:rFonts w:cstheme="minorHAnsi"/>
          <w:b/>
          <w:bCs/>
        </w:rPr>
        <w:t>. IDENTIFICATION OF STATISTICALLY SIGNIFICANT &amp; MEANINGFUL DIFFERENCES IN PERFORMANCE</w:t>
      </w:r>
    </w:p>
    <w:p w14:paraId="0CABD008" w14:textId="30B7B676" w:rsidR="00D61410" w:rsidRPr="00A25024" w:rsidRDefault="009C7513" w:rsidP="000E675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610E1D7E" w14:textId="26BC9354" w:rsidR="00650DCD" w:rsidRDefault="00650DCD" w:rsidP="50637D09">
      <w:pPr>
        <w:pBdr>
          <w:top w:val="single" w:sz="4" w:space="1" w:color="auto"/>
          <w:left w:val="single" w:sz="4" w:space="1" w:color="auto"/>
          <w:bottom w:val="single" w:sz="4" w:space="1" w:color="auto"/>
          <w:right w:val="single" w:sz="4" w:space="1" w:color="auto"/>
        </w:pBdr>
        <w:spacing w:line="240" w:lineRule="auto"/>
      </w:pPr>
      <w:bookmarkStart w:id="31" w:name="_Hlk6220595"/>
      <w:r>
        <w:t xml:space="preserve">The measure score is a TIN-level </w:t>
      </w:r>
      <w:r w:rsidR="72361D09">
        <w:t>risk-standardized acute cardiovascular-related hospital admission rate (</w:t>
      </w:r>
      <w:r w:rsidR="004C6062">
        <w:t>RSC</w:t>
      </w:r>
      <w:r>
        <w:t>AR</w:t>
      </w:r>
      <w:r w:rsidR="2068E2BE">
        <w:t>)</w:t>
      </w:r>
      <w:r>
        <w:t>. We characterize the degree of variability by r</w:t>
      </w:r>
      <w:r w:rsidR="004C6062">
        <w:t>eporting the distribution of RSC</w:t>
      </w:r>
      <w:r>
        <w:t xml:space="preserve">ARs across TINs and by </w:t>
      </w:r>
      <w:r w:rsidRPr="50637D09">
        <w:t>providing the median</w:t>
      </w:r>
      <w:r w:rsidR="004C6062" w:rsidRPr="50637D09">
        <w:t xml:space="preserve"> incidence rate ratio (I</w:t>
      </w:r>
      <w:r w:rsidRPr="50637D09">
        <w:t>RR) [1]</w:t>
      </w:r>
      <w:r>
        <w:t xml:space="preserve">. </w:t>
      </w:r>
      <w:r w:rsidRPr="50637D09">
        <w:t xml:space="preserve">The median </w:t>
      </w:r>
      <w:r w:rsidR="00F81991" w:rsidRPr="50637D09">
        <w:t>IRR</w:t>
      </w:r>
      <w:r w:rsidRPr="50637D09">
        <w:t xml:space="preserve"> represents the median increase in rate of acute unplanned </w:t>
      </w:r>
      <w:r w:rsidR="004C6062" w:rsidRPr="50637D09">
        <w:t xml:space="preserve">cardiovascular-related </w:t>
      </w:r>
      <w:r w:rsidRPr="50637D09">
        <w:t>admission</w:t>
      </w:r>
      <w:r w:rsidR="004C6062" w:rsidRPr="50637D09">
        <w:t>s</w:t>
      </w:r>
      <w:r w:rsidRPr="50637D09">
        <w:t xml:space="preserve"> if a single pat</w:t>
      </w:r>
      <w:r w:rsidR="00B91A9B" w:rsidRPr="50637D09">
        <w:t>ient was attributed to a higher-risk TIN compared to a lower-</w:t>
      </w:r>
      <w:r w:rsidRPr="50637D09">
        <w:t xml:space="preserve">risk </w:t>
      </w:r>
      <w:r>
        <w:t>TIN</w:t>
      </w:r>
      <w:r w:rsidRPr="50637D09">
        <w:t>. It is calculated by taking all possible combinations of providers, always comparing the higher-risk provider t</w:t>
      </w:r>
      <w:r w:rsidR="004C6062" w:rsidRPr="50637D09">
        <w:t xml:space="preserve">o the lower-risk provider. The </w:t>
      </w:r>
      <w:r w:rsidR="00285255" w:rsidRPr="50637D09">
        <w:t xml:space="preserve">median </w:t>
      </w:r>
      <w:r w:rsidR="004C6062" w:rsidRPr="50637D09">
        <w:t>I</w:t>
      </w:r>
      <w:r w:rsidRPr="50637D09">
        <w:t xml:space="preserve">RR is interpreted as a traditional </w:t>
      </w:r>
      <w:r w:rsidR="00B91A9B" w:rsidRPr="50637D09">
        <w:t>RR</w:t>
      </w:r>
      <w:r w:rsidRPr="50637D09">
        <w:t xml:space="preserve"> would be.</w:t>
      </w:r>
    </w:p>
    <w:p w14:paraId="758E4715" w14:textId="21359A4D" w:rsidR="00650DCD" w:rsidRDefault="00433986" w:rsidP="000E6750">
      <w:pPr>
        <w:pBdr>
          <w:top w:val="single" w:sz="4" w:space="1" w:color="auto"/>
          <w:left w:val="single" w:sz="4" w:space="1" w:color="auto"/>
          <w:bottom w:val="single" w:sz="4" w:space="1" w:color="auto"/>
          <w:right w:val="single" w:sz="4" w:space="1" w:color="auto"/>
        </w:pBdr>
        <w:spacing w:after="0" w:line="240" w:lineRule="auto"/>
        <w:rPr>
          <w:rFonts w:cstheme="minorHAnsi"/>
          <w:u w:val="single"/>
        </w:rPr>
      </w:pPr>
      <w:r>
        <w:rPr>
          <w:rFonts w:cstheme="minorHAnsi"/>
          <w:u w:val="single"/>
        </w:rPr>
        <w:t>References</w:t>
      </w:r>
    </w:p>
    <w:p w14:paraId="0CABD009" w14:textId="1B534269" w:rsidR="00D61410" w:rsidRPr="00650DCD" w:rsidRDefault="00650DCD" w:rsidP="000E6750">
      <w:pPr>
        <w:pBdr>
          <w:top w:val="single" w:sz="4" w:space="1" w:color="auto"/>
          <w:left w:val="single" w:sz="4" w:space="1" w:color="auto"/>
          <w:bottom w:val="single" w:sz="4" w:space="1" w:color="auto"/>
          <w:right w:val="single" w:sz="4" w:space="1" w:color="auto"/>
        </w:pBdr>
        <w:spacing w:after="0" w:line="240" w:lineRule="auto"/>
        <w:rPr>
          <w:rFonts w:cstheme="minorHAnsi"/>
        </w:rPr>
      </w:pPr>
      <w:r>
        <w:rPr>
          <w:rFonts w:cstheme="minorHAnsi"/>
        </w:rPr>
        <w:t xml:space="preserve">1. </w:t>
      </w:r>
      <w:r>
        <w:rPr>
          <w:rStyle w:val="author"/>
          <w:rFonts w:cstheme="minorHAnsi"/>
        </w:rPr>
        <w:t>Austin, PC</w:t>
      </w:r>
      <w:r>
        <w:rPr>
          <w:rFonts w:cstheme="minorHAnsi"/>
        </w:rPr>
        <w:t xml:space="preserve">, </w:t>
      </w:r>
      <w:proofErr w:type="spellStart"/>
      <w:r>
        <w:rPr>
          <w:rStyle w:val="author"/>
          <w:rFonts w:cstheme="minorHAnsi"/>
        </w:rPr>
        <w:t>Stryhn</w:t>
      </w:r>
      <w:proofErr w:type="spellEnd"/>
      <w:r>
        <w:rPr>
          <w:rStyle w:val="author"/>
          <w:rFonts w:cstheme="minorHAnsi"/>
        </w:rPr>
        <w:t>, H</w:t>
      </w:r>
      <w:r>
        <w:rPr>
          <w:rFonts w:cstheme="minorHAnsi"/>
        </w:rPr>
        <w:t xml:space="preserve">, </w:t>
      </w:r>
      <w:r>
        <w:rPr>
          <w:rStyle w:val="author"/>
          <w:rFonts w:cstheme="minorHAnsi"/>
        </w:rPr>
        <w:t>Leckie, G</w:t>
      </w:r>
      <w:r>
        <w:rPr>
          <w:rFonts w:cstheme="minorHAnsi"/>
        </w:rPr>
        <w:t xml:space="preserve">, </w:t>
      </w:r>
      <w:r>
        <w:rPr>
          <w:rStyle w:val="author"/>
          <w:rFonts w:cstheme="minorHAnsi"/>
        </w:rPr>
        <w:t>Merlo, J</w:t>
      </w:r>
      <w:r>
        <w:rPr>
          <w:rFonts w:cstheme="minorHAnsi"/>
        </w:rPr>
        <w:t xml:space="preserve">. </w:t>
      </w:r>
      <w:r>
        <w:rPr>
          <w:rStyle w:val="articletitle"/>
          <w:rFonts w:cstheme="minorHAnsi"/>
        </w:rPr>
        <w:t>Measures of clustering and heterogeneity in multilevel Poisson regression analyses of rates/count data</w:t>
      </w:r>
      <w:r>
        <w:rPr>
          <w:rFonts w:cstheme="minorHAnsi"/>
        </w:rPr>
        <w:t xml:space="preserve">. </w:t>
      </w:r>
      <w:r>
        <w:rPr>
          <w:rFonts w:cstheme="minorHAnsi"/>
          <w:i/>
          <w:iCs/>
        </w:rPr>
        <w:t>Statistics in Medicine</w:t>
      </w:r>
      <w:r>
        <w:rPr>
          <w:rFonts w:cstheme="minorHAnsi"/>
        </w:rPr>
        <w:t xml:space="preserve">. </w:t>
      </w:r>
      <w:r>
        <w:rPr>
          <w:rStyle w:val="pubyear"/>
          <w:rFonts w:cstheme="minorHAnsi"/>
        </w:rPr>
        <w:t>2018</w:t>
      </w:r>
      <w:r>
        <w:rPr>
          <w:rFonts w:cstheme="minorHAnsi"/>
        </w:rPr>
        <w:t xml:space="preserve">; </w:t>
      </w:r>
      <w:r>
        <w:rPr>
          <w:rStyle w:val="vol"/>
          <w:rFonts w:cstheme="minorHAnsi"/>
        </w:rPr>
        <w:t>37</w:t>
      </w:r>
      <w:r>
        <w:rPr>
          <w:rFonts w:cstheme="minorHAnsi"/>
        </w:rPr>
        <w:t xml:space="preserve">: </w:t>
      </w:r>
      <w:r>
        <w:rPr>
          <w:rStyle w:val="pagefirst"/>
          <w:rFonts w:cstheme="minorHAnsi"/>
        </w:rPr>
        <w:t>572</w:t>
      </w:r>
      <w:r>
        <w:rPr>
          <w:rFonts w:cstheme="minorHAnsi"/>
        </w:rPr>
        <w:t xml:space="preserve">– </w:t>
      </w:r>
      <w:r>
        <w:rPr>
          <w:rStyle w:val="pagelast"/>
          <w:rFonts w:cstheme="minorHAnsi"/>
        </w:rPr>
        <w:t>589</w:t>
      </w:r>
      <w:r>
        <w:rPr>
          <w:rFonts w:cstheme="minorHAnsi"/>
        </w:rPr>
        <w:t xml:space="preserve">. </w:t>
      </w:r>
      <w:hyperlink r:id="rId20" w:history="1">
        <w:r>
          <w:rPr>
            <w:rStyle w:val="Hyperlink"/>
            <w:rFonts w:cstheme="minorHAnsi"/>
          </w:rPr>
          <w:t>https://doi.org/10.1002/sim.7532</w:t>
        </w:r>
      </w:hyperlink>
      <w:bookmarkEnd w:id="31"/>
    </w:p>
    <w:p w14:paraId="3F36A31A" w14:textId="77777777" w:rsidR="00650DCD" w:rsidRPr="00A25024" w:rsidRDefault="00650DCD" w:rsidP="000E6750">
      <w:pPr>
        <w:autoSpaceDE w:val="0"/>
        <w:autoSpaceDN w:val="0"/>
        <w:adjustRightInd w:val="0"/>
        <w:spacing w:after="0" w:line="240" w:lineRule="auto"/>
        <w:rPr>
          <w:rFonts w:cstheme="minorHAnsi"/>
          <w:bCs/>
        </w:rPr>
      </w:pPr>
    </w:p>
    <w:p w14:paraId="0CABD00A" w14:textId="0708ADE0" w:rsidR="00D61410" w:rsidRDefault="009C7513" w:rsidP="000E675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650DCD">
        <w:rPr>
          <w:rFonts w:cstheme="minorHAnsi"/>
          <w:bCs/>
        </w:rPr>
        <w:t>)</w:t>
      </w:r>
    </w:p>
    <w:p w14:paraId="558D095C" w14:textId="48342F11" w:rsidR="00650DCD" w:rsidRPr="007861BC" w:rsidRDefault="006A718B"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7861BC">
        <w:rPr>
          <w:u w:val="single"/>
        </w:rPr>
        <w:t>Distribution of RSC</w:t>
      </w:r>
      <w:r w:rsidR="00650DCD" w:rsidRPr="007861BC">
        <w:rPr>
          <w:u w:val="single"/>
        </w:rPr>
        <w:t>AR</w:t>
      </w:r>
      <w:r w:rsidR="000E6750" w:rsidRPr="007861BC">
        <w:rPr>
          <w:u w:val="single"/>
        </w:rPr>
        <w:t>s</w:t>
      </w:r>
      <w:r w:rsidR="00650DCD" w:rsidRPr="007861BC">
        <w:rPr>
          <w:u w:val="single"/>
        </w:rPr>
        <w:t xml:space="preserve"> </w:t>
      </w:r>
    </w:p>
    <w:p w14:paraId="1EACE56A" w14:textId="77777777" w:rsidR="00650DCD" w:rsidRPr="007861BC"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69E9E8ED" w14:textId="7A445F2A" w:rsidR="00650DCD" w:rsidRPr="007861BC"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 xml:space="preserve">TINs with at least one HF patient: The risk-standardized measure scores estimated using Medicare FFS data (Q4 2017 – Q3 2018) had a median value of </w:t>
      </w:r>
      <w:r w:rsidR="007861BC">
        <w:t>24.8</w:t>
      </w:r>
      <w:r>
        <w:t xml:space="preserve"> admissions per 100 person-years. The percentiles of the distribution were as follows: </w:t>
      </w:r>
    </w:p>
    <w:p w14:paraId="35E32829" w14:textId="1507C91A"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9F0840E" w14:textId="614F2282"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Min.</w:t>
      </w:r>
      <w:r w:rsidR="596CC9FC" w:rsidRPr="007861BC">
        <w:t xml:space="preserve"> </w:t>
      </w:r>
      <w:r w:rsidR="62FF8F05">
        <w:t>9.6</w:t>
      </w:r>
    </w:p>
    <w:p w14:paraId="25742630" w14:textId="1A3B89C5"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lastRenderedPageBreak/>
        <w:t>1</w:t>
      </w:r>
      <w:proofErr w:type="gramStart"/>
      <w:r w:rsidRPr="50637D09">
        <w:rPr>
          <w:vertAlign w:val="superscript"/>
        </w:rPr>
        <w:t>st</w:t>
      </w:r>
      <w:r w:rsidR="26178D9A" w:rsidRPr="007861BC">
        <w:t xml:space="preserve"> </w:t>
      </w:r>
      <w:r w:rsidR="538A65BA" w:rsidRPr="007861BC">
        <w:t xml:space="preserve"> </w:t>
      </w:r>
      <w:r w:rsidR="3011393E">
        <w:t>19.6</w:t>
      </w:r>
      <w:proofErr w:type="gramEnd"/>
    </w:p>
    <w:p w14:paraId="1C945777" w14:textId="7ED1FB09"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5</w:t>
      </w:r>
      <w:r w:rsidRPr="50637D09">
        <w:rPr>
          <w:vertAlign w:val="superscript"/>
        </w:rPr>
        <w:t>th</w:t>
      </w:r>
      <w:r w:rsidR="49FC8DE9" w:rsidRPr="007861BC">
        <w:t xml:space="preserve"> </w:t>
      </w:r>
      <w:r w:rsidR="1434FCE9" w:rsidRPr="50637D09">
        <w:rPr>
          <w:rFonts w:ascii="Calibri" w:eastAsia="Calibri" w:hAnsi="Calibri" w:cs="Calibri"/>
        </w:rPr>
        <w:t>21.9</w:t>
      </w:r>
    </w:p>
    <w:p w14:paraId="7F7D6D2F" w14:textId="730D8A93"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10</w:t>
      </w:r>
      <w:r w:rsidRPr="50637D09">
        <w:rPr>
          <w:vertAlign w:val="superscript"/>
        </w:rPr>
        <w:t>th</w:t>
      </w:r>
      <w:r w:rsidR="3CDAE57A" w:rsidRPr="50637D09">
        <w:rPr>
          <w:vertAlign w:val="superscript"/>
        </w:rPr>
        <w:t xml:space="preserve"> </w:t>
      </w:r>
      <w:r w:rsidR="295F750D">
        <w:t>22.9</w:t>
      </w:r>
    </w:p>
    <w:p w14:paraId="2842CA4E" w14:textId="1FD409A0"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25</w:t>
      </w:r>
      <w:r w:rsidRPr="50637D09">
        <w:rPr>
          <w:vertAlign w:val="superscript"/>
        </w:rPr>
        <w:t>th</w:t>
      </w:r>
      <w:r w:rsidR="5AEC1EA3" w:rsidRPr="50637D09">
        <w:rPr>
          <w:vertAlign w:val="superscript"/>
        </w:rPr>
        <w:t xml:space="preserve"> </w:t>
      </w:r>
      <w:r w:rsidR="05B8A929">
        <w:t>24.0</w:t>
      </w:r>
    </w:p>
    <w:p w14:paraId="5CF8928C" w14:textId="23B23895"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Median</w:t>
      </w:r>
      <w:r w:rsidR="58AEC07E" w:rsidRPr="007861BC">
        <w:t xml:space="preserve"> 24.8</w:t>
      </w:r>
    </w:p>
    <w:p w14:paraId="4562796D" w14:textId="0D30FA66"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75</w:t>
      </w:r>
      <w:proofErr w:type="gramStart"/>
      <w:r w:rsidRPr="50637D09">
        <w:rPr>
          <w:vertAlign w:val="superscript"/>
        </w:rPr>
        <w:t>th</w:t>
      </w:r>
      <w:r w:rsidRPr="007861BC">
        <w:t xml:space="preserve"> </w:t>
      </w:r>
      <w:r w:rsidR="7B7DD2DF" w:rsidRPr="007861BC">
        <w:t xml:space="preserve"> </w:t>
      </w:r>
      <w:r w:rsidR="629A2320" w:rsidRPr="007861BC">
        <w:t>25.9</w:t>
      </w:r>
      <w:proofErr w:type="gramEnd"/>
    </w:p>
    <w:p w14:paraId="3BB3C701" w14:textId="74C563B3"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90</w:t>
      </w:r>
      <w:r w:rsidRPr="50637D09">
        <w:rPr>
          <w:vertAlign w:val="superscript"/>
        </w:rPr>
        <w:t>th</w:t>
      </w:r>
      <w:r w:rsidR="4335C831" w:rsidRPr="50637D09">
        <w:rPr>
          <w:vertAlign w:val="superscript"/>
        </w:rPr>
        <w:t xml:space="preserve"> </w:t>
      </w:r>
      <w:r w:rsidR="5C7BEEBE">
        <w:t>27.6</w:t>
      </w:r>
    </w:p>
    <w:p w14:paraId="445A03FD" w14:textId="3407A5DB"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95</w:t>
      </w:r>
      <w:r w:rsidRPr="50637D09">
        <w:rPr>
          <w:vertAlign w:val="superscript"/>
        </w:rPr>
        <w:t>th</w:t>
      </w:r>
      <w:r w:rsidR="21A47437" w:rsidRPr="50637D09">
        <w:rPr>
          <w:vertAlign w:val="superscript"/>
        </w:rPr>
        <w:t xml:space="preserve"> </w:t>
      </w:r>
      <w:r w:rsidR="21A47437">
        <w:t>29.3</w:t>
      </w:r>
    </w:p>
    <w:p w14:paraId="64A8936A" w14:textId="2F6D356B"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99</w:t>
      </w:r>
      <w:r w:rsidRPr="50637D09">
        <w:rPr>
          <w:vertAlign w:val="superscript"/>
        </w:rPr>
        <w:t>th</w:t>
      </w:r>
      <w:r w:rsidR="0ABE6B18" w:rsidRPr="50637D09">
        <w:rPr>
          <w:vertAlign w:val="superscript"/>
        </w:rPr>
        <w:t xml:space="preserve"> </w:t>
      </w:r>
      <w:r w:rsidR="0ABE6B18">
        <w:t>33.9</w:t>
      </w:r>
    </w:p>
    <w:p w14:paraId="60D2E941" w14:textId="1F1DDA14" w:rsidR="007861BC" w:rsidRPr="007861BC" w:rsidRDefault="007861BC" w:rsidP="50637D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Max.</w:t>
      </w:r>
      <w:r w:rsidR="3FC173D7" w:rsidRPr="007861BC">
        <w:t xml:space="preserve"> </w:t>
      </w:r>
      <w:r w:rsidR="3FC173D7">
        <w:t>62.4</w:t>
      </w:r>
    </w:p>
    <w:p w14:paraId="77290E33" w14:textId="3B76FFE8" w:rsidR="008E4020" w:rsidRPr="007861BC" w:rsidRDefault="008E4020"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359A0CDE" w14:textId="1A302D05" w:rsidR="00814EF6" w:rsidRDefault="00814EF6"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861BC">
        <w:t xml:space="preserve">TINs with at least </w:t>
      </w:r>
      <w:r w:rsidR="00BE69BD">
        <w:t>21</w:t>
      </w:r>
      <w:r w:rsidR="00BE69BD" w:rsidRPr="007861BC">
        <w:t xml:space="preserve"> </w:t>
      </w:r>
      <w:r w:rsidRPr="007861BC">
        <w:t xml:space="preserve">HF patients: The risk-standardized measure scores estimated using Medicare FFS data (Q4 2017 – Q3 2018) had a median value of </w:t>
      </w:r>
      <w:r w:rsidR="00680258">
        <w:t>24.9</w:t>
      </w:r>
      <w:r w:rsidR="007861BC" w:rsidRPr="007861BC">
        <w:t xml:space="preserve"> </w:t>
      </w:r>
      <w:r w:rsidRPr="007861BC">
        <w:t xml:space="preserve">admissions per 100 person-years. The percentiles of the distribution were as follows: </w:t>
      </w:r>
    </w:p>
    <w:p w14:paraId="152DF9BE" w14:textId="77777777" w:rsidR="003C2911" w:rsidRDefault="003C2911"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6D346C8F" w14:textId="1966251A" w:rsidR="003C2911" w:rsidRDefault="003C2911"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Min. 9.6</w:t>
      </w:r>
    </w:p>
    <w:p w14:paraId="1A950274" w14:textId="453BCBD8" w:rsidR="003C2911" w:rsidRDefault="003C2911"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1</w:t>
      </w:r>
      <w:r w:rsidRPr="003C2911">
        <w:rPr>
          <w:vertAlign w:val="superscript"/>
        </w:rPr>
        <w:t>st</w:t>
      </w:r>
      <w:r>
        <w:t xml:space="preserve"> 17.</w:t>
      </w:r>
      <w:r w:rsidR="00ED0AF2">
        <w:t>8</w:t>
      </w:r>
    </w:p>
    <w:p w14:paraId="65AA4E17" w14:textId="220802B3" w:rsidR="003C2911" w:rsidRDefault="003C2911"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5</w:t>
      </w:r>
      <w:r w:rsidRPr="003C2911">
        <w:rPr>
          <w:vertAlign w:val="superscript"/>
        </w:rPr>
        <w:t>th</w:t>
      </w:r>
      <w:r>
        <w:t xml:space="preserve"> 19.</w:t>
      </w:r>
      <w:r w:rsidR="00ED0AF2">
        <w:t>9</w:t>
      </w:r>
    </w:p>
    <w:p w14:paraId="03D95953" w14:textId="285C4FB7" w:rsidR="003C2911" w:rsidRDefault="003C2911"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10</w:t>
      </w:r>
      <w:r w:rsidRPr="003C2911">
        <w:rPr>
          <w:vertAlign w:val="superscript"/>
        </w:rPr>
        <w:t>th</w:t>
      </w:r>
      <w:r>
        <w:t xml:space="preserve"> 20.</w:t>
      </w:r>
      <w:r w:rsidR="00865B60">
        <w:t>9</w:t>
      </w:r>
    </w:p>
    <w:p w14:paraId="78D14388" w14:textId="786AEC47" w:rsidR="003C2911" w:rsidRDefault="003C2911"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25</w:t>
      </w:r>
      <w:r w:rsidRPr="003C2911">
        <w:rPr>
          <w:vertAlign w:val="superscript"/>
        </w:rPr>
        <w:t>th</w:t>
      </w:r>
      <w:r>
        <w:t xml:space="preserve"> 22.</w:t>
      </w:r>
      <w:r w:rsidR="00793EB5">
        <w:t>7</w:t>
      </w:r>
    </w:p>
    <w:p w14:paraId="1B06788D" w14:textId="38F766F7" w:rsidR="003C2911" w:rsidRDefault="00A03B89"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Median 2</w:t>
      </w:r>
      <w:r w:rsidR="00BF4547">
        <w:t>4.9</w:t>
      </w:r>
    </w:p>
    <w:p w14:paraId="0E2C2CF0" w14:textId="0635DF49" w:rsidR="00A03B89" w:rsidRDefault="00A03B89"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75</w:t>
      </w:r>
      <w:r w:rsidRPr="00A03B89">
        <w:rPr>
          <w:vertAlign w:val="superscript"/>
        </w:rPr>
        <w:t>th</w:t>
      </w:r>
      <w:r>
        <w:t xml:space="preserve"> 2</w:t>
      </w:r>
      <w:r w:rsidR="00A94E50">
        <w:t>7.8</w:t>
      </w:r>
    </w:p>
    <w:p w14:paraId="531B8559" w14:textId="5BC3A6EB" w:rsidR="00A03B89" w:rsidRDefault="00A03B89"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90</w:t>
      </w:r>
      <w:r w:rsidRPr="00A03B89">
        <w:rPr>
          <w:vertAlign w:val="superscript"/>
        </w:rPr>
        <w:t>th</w:t>
      </w:r>
      <w:r>
        <w:t xml:space="preserve"> 3</w:t>
      </w:r>
      <w:r w:rsidR="00C5735F">
        <w:t>0.9</w:t>
      </w:r>
    </w:p>
    <w:p w14:paraId="17E25025" w14:textId="7BE7766F" w:rsidR="00A03B89" w:rsidRDefault="00A03B89"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95</w:t>
      </w:r>
      <w:r w:rsidRPr="00A03B89">
        <w:rPr>
          <w:vertAlign w:val="superscript"/>
        </w:rPr>
        <w:t>th</w:t>
      </w:r>
      <w:r>
        <w:t xml:space="preserve"> </w:t>
      </w:r>
      <w:r w:rsidR="007B5418">
        <w:t>33.2</w:t>
      </w:r>
    </w:p>
    <w:p w14:paraId="4DAC521A" w14:textId="79B78432" w:rsidR="00A03B89" w:rsidRDefault="00A03B89"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99</w:t>
      </w:r>
      <w:r w:rsidRPr="00A03B89">
        <w:rPr>
          <w:vertAlign w:val="superscript"/>
        </w:rPr>
        <w:t>th</w:t>
      </w:r>
      <w:r>
        <w:t xml:space="preserve"> 3</w:t>
      </w:r>
      <w:r w:rsidR="001E525A">
        <w:t>8.0</w:t>
      </w:r>
    </w:p>
    <w:p w14:paraId="7B9B2CE5" w14:textId="4EB4DF69" w:rsidR="00A03B89" w:rsidRPr="007861BC" w:rsidRDefault="00A03B89"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Max. 62.4</w:t>
      </w:r>
    </w:p>
    <w:p w14:paraId="67CF6C49" w14:textId="77777777" w:rsidR="007861BC" w:rsidRPr="0025390C" w:rsidRDefault="007861BC"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highlight w:val="yellow"/>
        </w:rPr>
      </w:pPr>
    </w:p>
    <w:p w14:paraId="0CABD00B" w14:textId="74D9568D" w:rsidR="00D61410" w:rsidRPr="00650DCD" w:rsidRDefault="00B91A9B"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331BDD94">
        <w:rPr>
          <w:u w:val="single"/>
        </w:rPr>
        <w:t xml:space="preserve">Median </w:t>
      </w:r>
      <w:r w:rsidR="004C6062" w:rsidRPr="331BDD94">
        <w:rPr>
          <w:u w:val="single"/>
        </w:rPr>
        <w:t>I</w:t>
      </w:r>
      <w:r w:rsidR="00650DCD" w:rsidRPr="331BDD94">
        <w:rPr>
          <w:u w:val="single"/>
        </w:rPr>
        <w:t>RR for the TIN level</w:t>
      </w:r>
      <w:r w:rsidR="00650DCD">
        <w:t xml:space="preserve"> = </w:t>
      </w:r>
      <w:r w:rsidR="004C6062">
        <w:t>1.</w:t>
      </w:r>
      <w:r w:rsidR="00B0528C">
        <w:t xml:space="preserve">27 </w:t>
      </w:r>
    </w:p>
    <w:p w14:paraId="6F379A09" w14:textId="77777777" w:rsidR="00650DCD" w:rsidRPr="00927027" w:rsidRDefault="00650DCD" w:rsidP="000E6750">
      <w:pPr>
        <w:autoSpaceDE w:val="0"/>
        <w:autoSpaceDN w:val="0"/>
        <w:adjustRightInd w:val="0"/>
        <w:spacing w:after="0" w:line="240" w:lineRule="auto"/>
        <w:rPr>
          <w:rFonts w:cstheme="minorHAnsi"/>
          <w:bCs/>
        </w:rPr>
      </w:pPr>
    </w:p>
    <w:p w14:paraId="0CABD00C" w14:textId="4E16BDD7" w:rsidR="00D61410" w:rsidRDefault="009C7513" w:rsidP="000E675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650DCD">
        <w:rPr>
          <w:rFonts w:cstheme="minorHAnsi"/>
          <w:bCs/>
        </w:rPr>
        <w:t>)</w:t>
      </w:r>
    </w:p>
    <w:p w14:paraId="6A52C411" w14:textId="1A7CC688" w:rsidR="00650DCD" w:rsidRPr="002011ED"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50637D09">
        <w:rPr>
          <w:rFonts w:ascii="Calibri" w:eastAsia="Calibri" w:hAnsi="Calibri" w:cs="Calibri"/>
          <w:color w:val="000000" w:themeColor="text1"/>
        </w:rPr>
        <w:t xml:space="preserve">As the results above show, across the </w:t>
      </w:r>
      <w:r w:rsidR="002011ED" w:rsidRPr="50637D09">
        <w:rPr>
          <w:sz w:val="20"/>
          <w:szCs w:val="20"/>
        </w:rPr>
        <w:t xml:space="preserve">45,093 </w:t>
      </w:r>
      <w:r w:rsidRPr="50637D09">
        <w:rPr>
          <w:rFonts w:ascii="Calibri" w:eastAsia="Calibri" w:hAnsi="Calibri" w:cs="Calibri"/>
          <w:color w:val="000000" w:themeColor="text1"/>
        </w:rPr>
        <w:t xml:space="preserve">TINs </w:t>
      </w:r>
      <w:r w:rsidR="008D72AA" w:rsidRPr="50637D09">
        <w:rPr>
          <w:rFonts w:ascii="Calibri" w:eastAsia="Calibri" w:hAnsi="Calibri" w:cs="Calibri"/>
          <w:color w:val="000000" w:themeColor="text1"/>
        </w:rPr>
        <w:t>with</w:t>
      </w:r>
      <w:r w:rsidR="00F40FAA" w:rsidRPr="50637D09">
        <w:rPr>
          <w:rFonts w:ascii="Calibri" w:eastAsia="Calibri" w:hAnsi="Calibri" w:cs="Calibri"/>
          <w:color w:val="000000" w:themeColor="text1"/>
        </w:rPr>
        <w:t xml:space="preserve"> </w:t>
      </w:r>
      <w:r w:rsidR="00F40FAA" w:rsidRPr="50637D09">
        <w:rPr>
          <w:rFonts w:ascii="Calibri" w:eastAsia="Calibri" w:hAnsi="Calibri" w:cs="Calibri"/>
          <w:color w:val="000000" w:themeColor="text1"/>
          <w:u w:val="single"/>
        </w:rPr>
        <w:t>at least one HF patient</w:t>
      </w:r>
      <w:r w:rsidR="00F40FAA" w:rsidRPr="50637D09">
        <w:rPr>
          <w:rFonts w:ascii="Calibri" w:eastAsia="Calibri" w:hAnsi="Calibri" w:cs="Calibri"/>
          <w:color w:val="000000" w:themeColor="text1"/>
        </w:rPr>
        <w:t>, RSC</w:t>
      </w:r>
      <w:r w:rsidRPr="50637D09">
        <w:rPr>
          <w:rFonts w:ascii="Calibri" w:eastAsia="Calibri" w:hAnsi="Calibri" w:cs="Calibri"/>
          <w:color w:val="000000" w:themeColor="text1"/>
        </w:rPr>
        <w:t xml:space="preserve">AR measure scores, including adjustment for </w:t>
      </w:r>
      <w:r w:rsidR="00F40FAA" w:rsidRPr="50637D09">
        <w:rPr>
          <w:rFonts w:ascii="Calibri" w:eastAsia="Calibri" w:hAnsi="Calibri" w:cs="Calibri"/>
          <w:color w:val="000000" w:themeColor="text1"/>
        </w:rPr>
        <w:t>the</w:t>
      </w:r>
      <w:r w:rsidRPr="50637D09">
        <w:rPr>
          <w:rFonts w:ascii="Calibri" w:eastAsia="Calibri" w:hAnsi="Calibri" w:cs="Calibri"/>
          <w:color w:val="000000" w:themeColor="text1"/>
        </w:rPr>
        <w:t xml:space="preserve"> AHRQ SES Index, ranged from </w:t>
      </w:r>
      <w:r w:rsidR="002011ED" w:rsidRPr="50637D09">
        <w:rPr>
          <w:rFonts w:ascii="Calibri" w:eastAsia="Calibri" w:hAnsi="Calibri" w:cs="Calibri"/>
          <w:color w:val="000000" w:themeColor="text1"/>
        </w:rPr>
        <w:t>9.6</w:t>
      </w:r>
      <w:r w:rsidRPr="50637D09">
        <w:rPr>
          <w:rFonts w:ascii="Calibri" w:eastAsia="Calibri" w:hAnsi="Calibri" w:cs="Calibri"/>
          <w:color w:val="000000" w:themeColor="text1"/>
        </w:rPr>
        <w:t xml:space="preserve"> to </w:t>
      </w:r>
      <w:r w:rsidR="002011ED" w:rsidRPr="50637D09">
        <w:rPr>
          <w:rFonts w:ascii="Calibri" w:eastAsia="Calibri" w:hAnsi="Calibri" w:cs="Calibri"/>
          <w:color w:val="000000" w:themeColor="text1"/>
        </w:rPr>
        <w:t>62.4</w:t>
      </w:r>
      <w:r w:rsidRPr="50637D09">
        <w:rPr>
          <w:rFonts w:ascii="Calibri" w:eastAsia="Calibri" w:hAnsi="Calibri" w:cs="Calibri"/>
          <w:color w:val="000000" w:themeColor="text1"/>
        </w:rPr>
        <w:t xml:space="preserve"> per 100 person-years, with a median of </w:t>
      </w:r>
      <w:r w:rsidR="00F40FAA" w:rsidRPr="50637D09">
        <w:rPr>
          <w:rFonts w:ascii="Calibri" w:eastAsia="Calibri" w:hAnsi="Calibri" w:cs="Calibri"/>
          <w:color w:val="000000" w:themeColor="text1"/>
        </w:rPr>
        <w:t>2</w:t>
      </w:r>
      <w:r w:rsidR="002011ED" w:rsidRPr="50637D09">
        <w:rPr>
          <w:rFonts w:ascii="Calibri" w:eastAsia="Calibri" w:hAnsi="Calibri" w:cs="Calibri"/>
          <w:color w:val="000000" w:themeColor="text1"/>
        </w:rPr>
        <w:t xml:space="preserve">4.8 </w:t>
      </w:r>
      <w:r w:rsidRPr="50637D09">
        <w:rPr>
          <w:rFonts w:ascii="Calibri" w:eastAsia="Calibri" w:hAnsi="Calibri" w:cs="Calibri"/>
          <w:color w:val="000000" w:themeColor="text1"/>
        </w:rPr>
        <w:t xml:space="preserve">and an IQR of </w:t>
      </w:r>
      <w:r w:rsidR="002011ED" w:rsidRPr="50637D09">
        <w:rPr>
          <w:rFonts w:ascii="Calibri" w:eastAsia="Calibri" w:hAnsi="Calibri" w:cs="Calibri"/>
          <w:color w:val="000000" w:themeColor="text1"/>
        </w:rPr>
        <w:t>24.0</w:t>
      </w:r>
      <w:r w:rsidRPr="50637D09">
        <w:rPr>
          <w:rFonts w:ascii="Calibri" w:eastAsia="Calibri" w:hAnsi="Calibri" w:cs="Calibri"/>
          <w:color w:val="000000" w:themeColor="text1"/>
        </w:rPr>
        <w:t xml:space="preserve"> to </w:t>
      </w:r>
      <w:r w:rsidR="002011ED" w:rsidRPr="50637D09">
        <w:rPr>
          <w:rFonts w:ascii="Calibri" w:eastAsia="Calibri" w:hAnsi="Calibri" w:cs="Calibri"/>
          <w:color w:val="000000" w:themeColor="text1"/>
        </w:rPr>
        <w:t>25.9</w:t>
      </w:r>
      <w:r w:rsidRPr="50637D09">
        <w:rPr>
          <w:rFonts w:ascii="Calibri" w:eastAsia="Calibri" w:hAnsi="Calibri" w:cs="Calibri"/>
          <w:color w:val="000000" w:themeColor="text1"/>
        </w:rPr>
        <w:t>. This indicates that after adjustment</w:t>
      </w:r>
      <w:r w:rsidR="00D209EA" w:rsidRPr="50637D09">
        <w:rPr>
          <w:rFonts w:ascii="Calibri" w:eastAsia="Calibri" w:hAnsi="Calibri" w:cs="Calibri"/>
          <w:color w:val="000000" w:themeColor="text1"/>
        </w:rPr>
        <w:t>,</w:t>
      </w:r>
      <w:r w:rsidRPr="50637D09">
        <w:rPr>
          <w:rFonts w:ascii="Calibri" w:eastAsia="Calibri" w:hAnsi="Calibri" w:cs="Calibri"/>
          <w:color w:val="000000" w:themeColor="text1"/>
        </w:rPr>
        <w:t xml:space="preserve"> half of </w:t>
      </w:r>
      <w:r w:rsidR="008730BB" w:rsidRPr="50637D09">
        <w:rPr>
          <w:rFonts w:ascii="Calibri" w:eastAsia="Calibri" w:hAnsi="Calibri" w:cs="Calibri"/>
          <w:color w:val="000000" w:themeColor="text1"/>
        </w:rPr>
        <w:t>the TINs</w:t>
      </w:r>
      <w:r w:rsidR="002011ED" w:rsidRPr="50637D09">
        <w:rPr>
          <w:rFonts w:ascii="Calibri" w:eastAsia="Calibri" w:hAnsi="Calibri" w:cs="Calibri"/>
          <w:color w:val="000000" w:themeColor="text1"/>
        </w:rPr>
        <w:t xml:space="preserve"> had </w:t>
      </w:r>
      <w:r w:rsidR="008730BB" w:rsidRPr="50637D09">
        <w:rPr>
          <w:rFonts w:ascii="Calibri" w:eastAsia="Calibri" w:hAnsi="Calibri" w:cs="Calibri"/>
          <w:color w:val="000000" w:themeColor="text1"/>
        </w:rPr>
        <w:t xml:space="preserve">outcomes </w:t>
      </w:r>
      <w:r w:rsidR="002011ED" w:rsidRPr="50637D09">
        <w:rPr>
          <w:rFonts w:ascii="Calibri" w:eastAsia="Calibri" w:hAnsi="Calibri" w:cs="Calibri"/>
          <w:color w:val="000000" w:themeColor="text1"/>
        </w:rPr>
        <w:t xml:space="preserve">between 24 and 26 </w:t>
      </w:r>
      <w:r w:rsidR="5AD4AE63" w:rsidRPr="50637D09">
        <w:rPr>
          <w:rFonts w:ascii="Calibri" w:eastAsia="Calibri" w:hAnsi="Calibri" w:cs="Calibri"/>
          <w:color w:val="000000" w:themeColor="text1"/>
        </w:rPr>
        <w:t>acute hospital admissions</w:t>
      </w:r>
      <w:r w:rsidRPr="50637D09">
        <w:rPr>
          <w:rFonts w:ascii="Calibri" w:eastAsia="Calibri" w:hAnsi="Calibri" w:cs="Calibri"/>
          <w:color w:val="000000" w:themeColor="text1"/>
        </w:rPr>
        <w:t xml:space="preserve"> </w:t>
      </w:r>
      <w:r w:rsidR="008730BB" w:rsidRPr="50637D09">
        <w:rPr>
          <w:rFonts w:ascii="Calibri" w:eastAsia="Calibri" w:hAnsi="Calibri" w:cs="Calibri"/>
          <w:color w:val="000000" w:themeColor="text1"/>
        </w:rPr>
        <w:t>per 100 person years</w:t>
      </w:r>
      <w:r w:rsidRPr="50637D09">
        <w:rPr>
          <w:rFonts w:ascii="Calibri" w:eastAsia="Calibri" w:hAnsi="Calibri" w:cs="Calibri"/>
          <w:color w:val="000000" w:themeColor="text1"/>
        </w:rPr>
        <w:t>.</w:t>
      </w:r>
    </w:p>
    <w:p w14:paraId="5EBF5699" w14:textId="7E48053F" w:rsidR="002011ED" w:rsidRPr="002011ED" w:rsidRDefault="002011E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F224775" w14:textId="077E8874" w:rsidR="00650DCD" w:rsidRPr="002011ED"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50637D09">
        <w:rPr>
          <w:rFonts w:ascii="Calibri" w:eastAsia="Calibri" w:hAnsi="Calibri" w:cs="Calibri"/>
          <w:color w:val="000000" w:themeColor="text1"/>
        </w:rPr>
        <w:t>Furthermore, the 10</w:t>
      </w:r>
      <w:r w:rsidRPr="50637D09">
        <w:rPr>
          <w:rFonts w:ascii="Calibri" w:eastAsia="Calibri" w:hAnsi="Calibri" w:cs="Calibri"/>
          <w:color w:val="000000" w:themeColor="text1"/>
          <w:vertAlign w:val="superscript"/>
        </w:rPr>
        <w:t>th</w:t>
      </w:r>
      <w:r w:rsidRPr="50637D09">
        <w:rPr>
          <w:rFonts w:ascii="Calibri" w:eastAsia="Calibri" w:hAnsi="Calibri" w:cs="Calibri"/>
          <w:color w:val="000000" w:themeColor="text1"/>
        </w:rPr>
        <w:t xml:space="preserve"> and 90</w:t>
      </w:r>
      <w:r w:rsidRPr="50637D09">
        <w:rPr>
          <w:rFonts w:ascii="Calibri" w:eastAsia="Calibri" w:hAnsi="Calibri" w:cs="Calibri"/>
          <w:color w:val="000000" w:themeColor="text1"/>
          <w:vertAlign w:val="superscript"/>
        </w:rPr>
        <w:t>th</w:t>
      </w:r>
      <w:r w:rsidRPr="50637D09">
        <w:rPr>
          <w:rFonts w:ascii="Calibri" w:eastAsia="Calibri" w:hAnsi="Calibri" w:cs="Calibri"/>
          <w:color w:val="000000" w:themeColor="text1"/>
        </w:rPr>
        <w:t xml:space="preserve"> percentiles, representing the best and worst perf</w:t>
      </w:r>
      <w:r w:rsidR="002011ED" w:rsidRPr="50637D09">
        <w:rPr>
          <w:rFonts w:ascii="Calibri" w:eastAsia="Calibri" w:hAnsi="Calibri" w:cs="Calibri"/>
          <w:color w:val="000000" w:themeColor="text1"/>
        </w:rPr>
        <w:t>ormers, had a</w:t>
      </w:r>
      <w:r w:rsidR="10D9C958" w:rsidRPr="50637D09">
        <w:rPr>
          <w:rFonts w:ascii="Calibri" w:eastAsia="Calibri" w:hAnsi="Calibri" w:cs="Calibri"/>
          <w:color w:val="000000" w:themeColor="text1"/>
        </w:rPr>
        <w:t>n admission</w:t>
      </w:r>
      <w:r w:rsidR="002011ED" w:rsidRPr="50637D09">
        <w:rPr>
          <w:rFonts w:ascii="Calibri" w:eastAsia="Calibri" w:hAnsi="Calibri" w:cs="Calibri"/>
          <w:color w:val="000000" w:themeColor="text1"/>
        </w:rPr>
        <w:t xml:space="preserve"> rate of 22.9 and 27.6</w:t>
      </w:r>
      <w:r w:rsidRPr="50637D09">
        <w:rPr>
          <w:rFonts w:ascii="Calibri" w:eastAsia="Calibri" w:hAnsi="Calibri" w:cs="Calibri"/>
          <w:color w:val="000000" w:themeColor="text1"/>
        </w:rPr>
        <w:t xml:space="preserve"> respectively, represent meaningful deviations from the median. Still more descriptive</w:t>
      </w:r>
      <w:r w:rsidR="002011ED" w:rsidRPr="50637D09">
        <w:rPr>
          <w:rFonts w:ascii="Calibri" w:eastAsia="Calibri" w:hAnsi="Calibri" w:cs="Calibri"/>
          <w:color w:val="000000" w:themeColor="text1"/>
        </w:rPr>
        <w:t>, the top 5% of performers (</w:t>
      </w:r>
      <w:r w:rsidR="00375314" w:rsidRPr="50637D09">
        <w:rPr>
          <w:rFonts w:ascii="Calibri" w:eastAsia="Calibri" w:hAnsi="Calibri" w:cs="Calibri"/>
          <w:color w:val="000000" w:themeColor="text1"/>
        </w:rPr>
        <w:t xml:space="preserve">admission rate of </w:t>
      </w:r>
      <w:r w:rsidR="008D72AA" w:rsidRPr="50637D09">
        <w:rPr>
          <w:rFonts w:ascii="Calibri" w:eastAsia="Calibri" w:hAnsi="Calibri" w:cs="Calibri"/>
          <w:color w:val="000000" w:themeColor="text1"/>
        </w:rPr>
        <w:t>21.9</w:t>
      </w:r>
      <w:r w:rsidRPr="50637D09">
        <w:rPr>
          <w:rFonts w:ascii="Calibri" w:eastAsia="Calibri" w:hAnsi="Calibri" w:cs="Calibri"/>
          <w:color w:val="000000" w:themeColor="text1"/>
        </w:rPr>
        <w:t>) a</w:t>
      </w:r>
      <w:r w:rsidR="002011ED" w:rsidRPr="50637D09">
        <w:rPr>
          <w:rFonts w:ascii="Calibri" w:eastAsia="Calibri" w:hAnsi="Calibri" w:cs="Calibri"/>
          <w:color w:val="000000" w:themeColor="text1"/>
        </w:rPr>
        <w:t>nd bottom 5% of performers (</w:t>
      </w:r>
      <w:r w:rsidR="00375314" w:rsidRPr="50637D09">
        <w:rPr>
          <w:rFonts w:ascii="Calibri" w:eastAsia="Calibri" w:hAnsi="Calibri" w:cs="Calibri"/>
          <w:color w:val="000000" w:themeColor="text1"/>
        </w:rPr>
        <w:t xml:space="preserve">admission rate of </w:t>
      </w:r>
      <w:r w:rsidR="008D72AA" w:rsidRPr="50637D09">
        <w:rPr>
          <w:rFonts w:ascii="Calibri" w:eastAsia="Calibri" w:hAnsi="Calibri" w:cs="Calibri"/>
          <w:color w:val="000000" w:themeColor="text1"/>
        </w:rPr>
        <w:t>29.3</w:t>
      </w:r>
      <w:r w:rsidRPr="50637D09">
        <w:rPr>
          <w:rFonts w:ascii="Calibri" w:eastAsia="Calibri" w:hAnsi="Calibri" w:cs="Calibri"/>
          <w:color w:val="000000" w:themeColor="text1"/>
        </w:rPr>
        <w:t xml:space="preserve">) </w:t>
      </w:r>
      <w:r w:rsidR="00375314" w:rsidRPr="50637D09">
        <w:rPr>
          <w:rFonts w:ascii="Calibri" w:eastAsia="Calibri" w:hAnsi="Calibri" w:cs="Calibri"/>
          <w:color w:val="000000" w:themeColor="text1"/>
        </w:rPr>
        <w:t>demonstrate clear</w:t>
      </w:r>
      <w:r w:rsidRPr="50637D09">
        <w:rPr>
          <w:rFonts w:ascii="Calibri" w:eastAsia="Calibri" w:hAnsi="Calibri" w:cs="Calibri"/>
          <w:color w:val="000000" w:themeColor="text1"/>
        </w:rPr>
        <w:t xml:space="preserve"> deviation from the average performer. This variation shows a clear quality gap, as some clinicians and practices can perform substantially better</w:t>
      </w:r>
      <w:r>
        <w:t xml:space="preserve"> than the average performer, while other clinicians and groups/practices are performing worse than an average performer. It is important to note that here the average performer refers to a clinician or clinician group with the same case and procedure mix performing at the average.</w:t>
      </w:r>
    </w:p>
    <w:p w14:paraId="13F41E5C" w14:textId="6F3C7013" w:rsidR="002011ED" w:rsidRPr="002011ED" w:rsidRDefault="002011E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15CCB90A" w14:textId="6DD43E82" w:rsidR="000E6750" w:rsidRPr="002011ED" w:rsidRDefault="000E6750"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50637D09">
        <w:rPr>
          <w:rFonts w:ascii="Calibri" w:eastAsia="Calibri" w:hAnsi="Calibri" w:cs="Calibri"/>
          <w:color w:val="000000" w:themeColor="text1"/>
        </w:rPr>
        <w:t>As the resu</w:t>
      </w:r>
      <w:r w:rsidR="00092B44" w:rsidRPr="50637D09">
        <w:rPr>
          <w:rFonts w:ascii="Calibri" w:eastAsia="Calibri" w:hAnsi="Calibri" w:cs="Calibri"/>
          <w:color w:val="000000" w:themeColor="text1"/>
        </w:rPr>
        <w:t xml:space="preserve">lts above show, across the </w:t>
      </w:r>
      <w:r w:rsidR="008B6DF4">
        <w:rPr>
          <w:rFonts w:ascii="Calibri" w:eastAsia="Calibri" w:hAnsi="Calibri" w:cs="Calibri"/>
          <w:color w:val="000000" w:themeColor="text1"/>
        </w:rPr>
        <w:t>10,760</w:t>
      </w:r>
      <w:r w:rsidRPr="50637D09">
        <w:rPr>
          <w:rFonts w:ascii="Calibri" w:eastAsia="Calibri" w:hAnsi="Calibri" w:cs="Calibri"/>
          <w:color w:val="000000" w:themeColor="text1"/>
        </w:rPr>
        <w:t xml:space="preserve"> TINs </w:t>
      </w:r>
      <w:r w:rsidR="00375314" w:rsidRPr="50637D09">
        <w:rPr>
          <w:rFonts w:ascii="Calibri" w:eastAsia="Calibri" w:hAnsi="Calibri" w:cs="Calibri"/>
          <w:color w:val="000000" w:themeColor="text1"/>
        </w:rPr>
        <w:t>with</w:t>
      </w:r>
      <w:r w:rsidRPr="50637D09">
        <w:rPr>
          <w:rFonts w:ascii="Calibri" w:eastAsia="Calibri" w:hAnsi="Calibri" w:cs="Calibri"/>
          <w:color w:val="000000" w:themeColor="text1"/>
        </w:rPr>
        <w:t xml:space="preserve"> </w:t>
      </w:r>
      <w:r w:rsidRPr="50637D09">
        <w:rPr>
          <w:rFonts w:ascii="Calibri" w:eastAsia="Calibri" w:hAnsi="Calibri" w:cs="Calibri"/>
          <w:color w:val="000000" w:themeColor="text1"/>
          <w:u w:val="single"/>
        </w:rPr>
        <w:t xml:space="preserve">at least </w:t>
      </w:r>
      <w:r w:rsidR="00BE69BD">
        <w:rPr>
          <w:rFonts w:ascii="Calibri" w:eastAsia="Calibri" w:hAnsi="Calibri" w:cs="Calibri"/>
          <w:color w:val="000000" w:themeColor="text1"/>
          <w:u w:val="single"/>
        </w:rPr>
        <w:t>21</w:t>
      </w:r>
      <w:r w:rsidR="00BE69BD" w:rsidRPr="50637D09">
        <w:rPr>
          <w:rFonts w:ascii="Calibri" w:eastAsia="Calibri" w:hAnsi="Calibri" w:cs="Calibri"/>
          <w:color w:val="000000" w:themeColor="text1"/>
          <w:u w:val="single"/>
        </w:rPr>
        <w:t xml:space="preserve"> </w:t>
      </w:r>
      <w:r w:rsidRPr="50637D09">
        <w:rPr>
          <w:rFonts w:ascii="Calibri" w:eastAsia="Calibri" w:hAnsi="Calibri" w:cs="Calibri"/>
          <w:color w:val="000000" w:themeColor="text1"/>
          <w:u w:val="single"/>
        </w:rPr>
        <w:t>HF patients</w:t>
      </w:r>
      <w:r w:rsidRPr="50637D09">
        <w:rPr>
          <w:rFonts w:ascii="Calibri" w:eastAsia="Calibri" w:hAnsi="Calibri" w:cs="Calibri"/>
          <w:color w:val="000000" w:themeColor="text1"/>
        </w:rPr>
        <w:t xml:space="preserve">, RSCAR measure scores, including adjustment for the AHRQ SES Index, ranged from </w:t>
      </w:r>
      <w:r w:rsidR="002011ED" w:rsidRPr="50637D09">
        <w:rPr>
          <w:rFonts w:ascii="Calibri" w:eastAsia="Calibri" w:hAnsi="Calibri" w:cs="Calibri"/>
          <w:color w:val="000000" w:themeColor="text1"/>
        </w:rPr>
        <w:t>9.6</w:t>
      </w:r>
      <w:r w:rsidRPr="50637D09">
        <w:rPr>
          <w:rFonts w:ascii="Calibri" w:eastAsia="Calibri" w:hAnsi="Calibri" w:cs="Calibri"/>
          <w:color w:val="000000" w:themeColor="text1"/>
        </w:rPr>
        <w:t xml:space="preserve"> to 6</w:t>
      </w:r>
      <w:r w:rsidR="002011ED" w:rsidRPr="50637D09">
        <w:rPr>
          <w:rFonts w:ascii="Calibri" w:eastAsia="Calibri" w:hAnsi="Calibri" w:cs="Calibri"/>
          <w:color w:val="000000" w:themeColor="text1"/>
        </w:rPr>
        <w:t>2.4</w:t>
      </w:r>
      <w:r w:rsidRPr="50637D09">
        <w:rPr>
          <w:rFonts w:ascii="Calibri" w:eastAsia="Calibri" w:hAnsi="Calibri" w:cs="Calibri"/>
          <w:color w:val="000000" w:themeColor="text1"/>
        </w:rPr>
        <w:t xml:space="preserve"> per 100 per</w:t>
      </w:r>
      <w:r w:rsidR="00092B44" w:rsidRPr="50637D09">
        <w:rPr>
          <w:rFonts w:ascii="Calibri" w:eastAsia="Calibri" w:hAnsi="Calibri" w:cs="Calibri"/>
          <w:color w:val="000000" w:themeColor="text1"/>
        </w:rPr>
        <w:t xml:space="preserve">son-years, with a </w:t>
      </w:r>
      <w:r w:rsidR="00092B44" w:rsidRPr="50637D09">
        <w:rPr>
          <w:rFonts w:ascii="Calibri" w:eastAsia="Calibri" w:hAnsi="Calibri" w:cs="Calibri"/>
          <w:color w:val="000000" w:themeColor="text1"/>
        </w:rPr>
        <w:lastRenderedPageBreak/>
        <w:t xml:space="preserve">median of </w:t>
      </w:r>
      <w:r w:rsidR="002011ED" w:rsidRPr="50637D09">
        <w:rPr>
          <w:rFonts w:ascii="Calibri" w:eastAsia="Calibri" w:hAnsi="Calibri" w:cs="Calibri"/>
          <w:color w:val="000000" w:themeColor="text1"/>
        </w:rPr>
        <w:t>2</w:t>
      </w:r>
      <w:r w:rsidR="00115525">
        <w:rPr>
          <w:rFonts w:ascii="Calibri" w:eastAsia="Calibri" w:hAnsi="Calibri" w:cs="Calibri"/>
          <w:color w:val="000000" w:themeColor="text1"/>
        </w:rPr>
        <w:t>4.9</w:t>
      </w:r>
      <w:r w:rsidR="00092B44" w:rsidRPr="50637D09">
        <w:rPr>
          <w:rFonts w:ascii="Calibri" w:eastAsia="Calibri" w:hAnsi="Calibri" w:cs="Calibri"/>
          <w:color w:val="000000" w:themeColor="text1"/>
        </w:rPr>
        <w:t xml:space="preserve"> and an IQR of </w:t>
      </w:r>
      <w:r w:rsidR="002011ED" w:rsidRPr="50637D09">
        <w:rPr>
          <w:rFonts w:ascii="Calibri" w:eastAsia="Calibri" w:hAnsi="Calibri" w:cs="Calibri"/>
          <w:color w:val="000000" w:themeColor="text1"/>
        </w:rPr>
        <w:t>22.</w:t>
      </w:r>
      <w:r w:rsidR="00090B04">
        <w:rPr>
          <w:rFonts w:ascii="Calibri" w:eastAsia="Calibri" w:hAnsi="Calibri" w:cs="Calibri"/>
          <w:color w:val="000000" w:themeColor="text1"/>
        </w:rPr>
        <w:t>7</w:t>
      </w:r>
      <w:r w:rsidR="00090B04" w:rsidRPr="50637D09">
        <w:rPr>
          <w:rFonts w:ascii="Calibri" w:eastAsia="Calibri" w:hAnsi="Calibri" w:cs="Calibri"/>
          <w:color w:val="000000" w:themeColor="text1"/>
        </w:rPr>
        <w:t xml:space="preserve"> </w:t>
      </w:r>
      <w:r w:rsidR="00092B44" w:rsidRPr="50637D09">
        <w:rPr>
          <w:rFonts w:ascii="Calibri" w:eastAsia="Calibri" w:hAnsi="Calibri" w:cs="Calibri"/>
          <w:color w:val="000000" w:themeColor="text1"/>
        </w:rPr>
        <w:t xml:space="preserve">to </w:t>
      </w:r>
      <w:r w:rsidR="002011ED" w:rsidRPr="50637D09">
        <w:rPr>
          <w:rFonts w:ascii="Calibri" w:eastAsia="Calibri" w:hAnsi="Calibri" w:cs="Calibri"/>
          <w:color w:val="000000" w:themeColor="text1"/>
        </w:rPr>
        <w:t>2</w:t>
      </w:r>
      <w:r w:rsidR="00090B04">
        <w:rPr>
          <w:rFonts w:ascii="Calibri" w:eastAsia="Calibri" w:hAnsi="Calibri" w:cs="Calibri"/>
          <w:color w:val="000000" w:themeColor="text1"/>
        </w:rPr>
        <w:t>7.8</w:t>
      </w:r>
      <w:r w:rsidRPr="50637D09">
        <w:rPr>
          <w:rFonts w:ascii="Calibri" w:eastAsia="Calibri" w:hAnsi="Calibri" w:cs="Calibri"/>
          <w:color w:val="000000" w:themeColor="text1"/>
        </w:rPr>
        <w:t xml:space="preserve">. This indicates that after adjustment, half of </w:t>
      </w:r>
      <w:r w:rsidR="008730BB" w:rsidRPr="50637D09">
        <w:rPr>
          <w:rFonts w:ascii="Calibri" w:eastAsia="Calibri" w:hAnsi="Calibri" w:cs="Calibri"/>
          <w:color w:val="000000" w:themeColor="text1"/>
        </w:rPr>
        <w:t>the TINs</w:t>
      </w:r>
      <w:r w:rsidRPr="50637D09">
        <w:rPr>
          <w:rFonts w:ascii="Calibri" w:eastAsia="Calibri" w:hAnsi="Calibri" w:cs="Calibri"/>
          <w:color w:val="000000" w:themeColor="text1"/>
        </w:rPr>
        <w:t xml:space="preserve"> h</w:t>
      </w:r>
      <w:r w:rsidR="00092B44" w:rsidRPr="50637D09">
        <w:rPr>
          <w:rFonts w:ascii="Calibri" w:eastAsia="Calibri" w:hAnsi="Calibri" w:cs="Calibri"/>
          <w:color w:val="000000" w:themeColor="text1"/>
        </w:rPr>
        <w:t>ad</w:t>
      </w:r>
      <w:r w:rsidR="008730BB" w:rsidRPr="50637D09">
        <w:rPr>
          <w:rFonts w:ascii="Calibri" w:eastAsia="Calibri" w:hAnsi="Calibri" w:cs="Calibri"/>
          <w:color w:val="000000" w:themeColor="text1"/>
        </w:rPr>
        <w:t xml:space="preserve"> outcomes</w:t>
      </w:r>
      <w:r w:rsidR="00092B44" w:rsidRPr="50637D09">
        <w:rPr>
          <w:rFonts w:ascii="Calibri" w:eastAsia="Calibri" w:hAnsi="Calibri" w:cs="Calibri"/>
          <w:color w:val="000000" w:themeColor="text1"/>
        </w:rPr>
        <w:t xml:space="preserve"> between </w:t>
      </w:r>
      <w:r w:rsidR="002011ED" w:rsidRPr="50637D09">
        <w:rPr>
          <w:rFonts w:ascii="Calibri" w:eastAsia="Calibri" w:hAnsi="Calibri" w:cs="Calibri"/>
          <w:color w:val="000000" w:themeColor="text1"/>
        </w:rPr>
        <w:t>23</w:t>
      </w:r>
      <w:r w:rsidR="00092B44" w:rsidRPr="50637D09">
        <w:rPr>
          <w:rFonts w:ascii="Calibri" w:eastAsia="Calibri" w:hAnsi="Calibri" w:cs="Calibri"/>
          <w:color w:val="000000" w:themeColor="text1"/>
        </w:rPr>
        <w:t xml:space="preserve"> and</w:t>
      </w:r>
      <w:r w:rsidR="002011ED" w:rsidRPr="50637D09">
        <w:rPr>
          <w:rFonts w:ascii="Calibri" w:eastAsia="Calibri" w:hAnsi="Calibri" w:cs="Calibri"/>
          <w:color w:val="000000" w:themeColor="text1"/>
        </w:rPr>
        <w:t xml:space="preserve"> 28 </w:t>
      </w:r>
      <w:r w:rsidRPr="50637D09">
        <w:rPr>
          <w:rFonts w:ascii="Calibri" w:eastAsia="Calibri" w:hAnsi="Calibri" w:cs="Calibri"/>
          <w:color w:val="000000" w:themeColor="text1"/>
        </w:rPr>
        <w:t>a</w:t>
      </w:r>
      <w:r w:rsidR="00E79E49" w:rsidRPr="50637D09">
        <w:rPr>
          <w:rFonts w:ascii="Calibri" w:eastAsia="Calibri" w:hAnsi="Calibri" w:cs="Calibri"/>
          <w:color w:val="000000" w:themeColor="text1"/>
        </w:rPr>
        <w:t>cute hospital admissions</w:t>
      </w:r>
      <w:r w:rsidRPr="50637D09">
        <w:rPr>
          <w:rFonts w:ascii="Calibri" w:eastAsia="Calibri" w:hAnsi="Calibri" w:cs="Calibri"/>
          <w:color w:val="000000" w:themeColor="text1"/>
        </w:rPr>
        <w:t xml:space="preserve"> </w:t>
      </w:r>
      <w:r w:rsidR="008730BB" w:rsidRPr="50637D09">
        <w:rPr>
          <w:rFonts w:ascii="Calibri" w:eastAsia="Calibri" w:hAnsi="Calibri" w:cs="Calibri"/>
          <w:color w:val="000000" w:themeColor="text1"/>
        </w:rPr>
        <w:t>per 100 person years</w:t>
      </w:r>
      <w:r w:rsidRPr="50637D09">
        <w:rPr>
          <w:rFonts w:ascii="Calibri" w:eastAsia="Calibri" w:hAnsi="Calibri" w:cs="Calibri"/>
          <w:color w:val="000000" w:themeColor="text1"/>
        </w:rPr>
        <w:t>.</w:t>
      </w:r>
    </w:p>
    <w:p w14:paraId="628D8B64" w14:textId="7D2C351F" w:rsidR="002011ED" w:rsidRPr="002011ED" w:rsidRDefault="002011E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64B72C1" w14:textId="0F36D6ED" w:rsidR="000E6750" w:rsidRPr="002011ED" w:rsidRDefault="000E6750"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50637D09">
        <w:rPr>
          <w:rFonts w:ascii="Calibri" w:eastAsia="Calibri" w:hAnsi="Calibri" w:cs="Calibri"/>
          <w:color w:val="000000" w:themeColor="text1"/>
        </w:rPr>
        <w:t>Furthermore, the 10</w:t>
      </w:r>
      <w:r w:rsidRPr="50637D09">
        <w:rPr>
          <w:rFonts w:ascii="Calibri" w:eastAsia="Calibri" w:hAnsi="Calibri" w:cs="Calibri"/>
          <w:color w:val="000000" w:themeColor="text1"/>
          <w:vertAlign w:val="superscript"/>
        </w:rPr>
        <w:t>th</w:t>
      </w:r>
      <w:r w:rsidRPr="50637D09">
        <w:rPr>
          <w:rFonts w:ascii="Calibri" w:eastAsia="Calibri" w:hAnsi="Calibri" w:cs="Calibri"/>
          <w:color w:val="000000" w:themeColor="text1"/>
        </w:rPr>
        <w:t xml:space="preserve"> and 90</w:t>
      </w:r>
      <w:r w:rsidRPr="50637D09">
        <w:rPr>
          <w:rFonts w:ascii="Calibri" w:eastAsia="Calibri" w:hAnsi="Calibri" w:cs="Calibri"/>
          <w:color w:val="000000" w:themeColor="text1"/>
          <w:vertAlign w:val="superscript"/>
        </w:rPr>
        <w:t>th</w:t>
      </w:r>
      <w:r w:rsidRPr="50637D09">
        <w:rPr>
          <w:rFonts w:ascii="Calibri" w:eastAsia="Calibri" w:hAnsi="Calibri" w:cs="Calibri"/>
          <w:color w:val="000000" w:themeColor="text1"/>
        </w:rPr>
        <w:t xml:space="preserve"> percentiles, representing the best and worst perf</w:t>
      </w:r>
      <w:r w:rsidR="00092B44" w:rsidRPr="50637D09">
        <w:rPr>
          <w:rFonts w:ascii="Calibri" w:eastAsia="Calibri" w:hAnsi="Calibri" w:cs="Calibri"/>
          <w:color w:val="000000" w:themeColor="text1"/>
        </w:rPr>
        <w:t>ormers, had a</w:t>
      </w:r>
      <w:r w:rsidR="6ED917AB" w:rsidRPr="50637D09">
        <w:rPr>
          <w:rFonts w:ascii="Calibri" w:eastAsia="Calibri" w:hAnsi="Calibri" w:cs="Calibri"/>
          <w:color w:val="000000" w:themeColor="text1"/>
        </w:rPr>
        <w:t>n admission</w:t>
      </w:r>
      <w:r w:rsidR="00092B44" w:rsidRPr="50637D09">
        <w:rPr>
          <w:rFonts w:ascii="Calibri" w:eastAsia="Calibri" w:hAnsi="Calibri" w:cs="Calibri"/>
          <w:color w:val="000000" w:themeColor="text1"/>
        </w:rPr>
        <w:t xml:space="preserve"> rate of </w:t>
      </w:r>
      <w:r w:rsidR="001943F1" w:rsidRPr="50637D09">
        <w:rPr>
          <w:rFonts w:ascii="Calibri" w:eastAsia="Calibri" w:hAnsi="Calibri" w:cs="Calibri"/>
          <w:color w:val="000000" w:themeColor="text1"/>
        </w:rPr>
        <w:t>20.</w:t>
      </w:r>
      <w:r w:rsidR="000F28D7">
        <w:rPr>
          <w:rFonts w:ascii="Calibri" w:eastAsia="Calibri" w:hAnsi="Calibri" w:cs="Calibri"/>
          <w:color w:val="000000" w:themeColor="text1"/>
        </w:rPr>
        <w:t>9</w:t>
      </w:r>
      <w:r w:rsidR="000F28D7" w:rsidRPr="50637D09">
        <w:rPr>
          <w:rFonts w:ascii="Calibri" w:eastAsia="Calibri" w:hAnsi="Calibri" w:cs="Calibri"/>
          <w:color w:val="000000" w:themeColor="text1"/>
        </w:rPr>
        <w:t xml:space="preserve"> </w:t>
      </w:r>
      <w:r w:rsidR="00092B44" w:rsidRPr="50637D09">
        <w:rPr>
          <w:rFonts w:ascii="Calibri" w:eastAsia="Calibri" w:hAnsi="Calibri" w:cs="Calibri"/>
          <w:color w:val="000000" w:themeColor="text1"/>
        </w:rPr>
        <w:t xml:space="preserve">and </w:t>
      </w:r>
      <w:r w:rsidR="002011ED" w:rsidRPr="50637D09">
        <w:rPr>
          <w:rFonts w:ascii="Calibri" w:eastAsia="Calibri" w:hAnsi="Calibri" w:cs="Calibri"/>
          <w:color w:val="000000" w:themeColor="text1"/>
        </w:rPr>
        <w:t>3</w:t>
      </w:r>
      <w:r w:rsidR="00D14B2B">
        <w:rPr>
          <w:rFonts w:ascii="Calibri" w:eastAsia="Calibri" w:hAnsi="Calibri" w:cs="Calibri"/>
          <w:color w:val="000000" w:themeColor="text1"/>
        </w:rPr>
        <w:t>0.9</w:t>
      </w:r>
      <w:r w:rsidRPr="50637D09">
        <w:rPr>
          <w:rFonts w:ascii="Calibri" w:eastAsia="Calibri" w:hAnsi="Calibri" w:cs="Calibri"/>
          <w:color w:val="000000" w:themeColor="text1"/>
        </w:rPr>
        <w:t xml:space="preserve"> respectively, represent</w:t>
      </w:r>
      <w:r w:rsidR="00375314" w:rsidRPr="50637D09">
        <w:rPr>
          <w:rFonts w:ascii="Calibri" w:eastAsia="Calibri" w:hAnsi="Calibri" w:cs="Calibri"/>
          <w:color w:val="000000" w:themeColor="text1"/>
        </w:rPr>
        <w:t>ing</w:t>
      </w:r>
      <w:r w:rsidRPr="50637D09">
        <w:rPr>
          <w:rFonts w:ascii="Calibri" w:eastAsia="Calibri" w:hAnsi="Calibri" w:cs="Calibri"/>
          <w:color w:val="000000" w:themeColor="text1"/>
        </w:rPr>
        <w:t xml:space="preserve"> meaningful deviations from the median</w:t>
      </w:r>
      <w:r w:rsidR="007B0CD2" w:rsidRPr="50637D09">
        <w:rPr>
          <w:rFonts w:ascii="Calibri" w:eastAsia="Calibri" w:hAnsi="Calibri" w:cs="Calibri"/>
          <w:color w:val="000000" w:themeColor="text1"/>
        </w:rPr>
        <w:t>: TINs in the 10</w:t>
      </w:r>
      <w:r w:rsidR="007B0CD2" w:rsidRPr="50637D09">
        <w:rPr>
          <w:rFonts w:ascii="Calibri" w:eastAsia="Calibri" w:hAnsi="Calibri" w:cs="Calibri"/>
          <w:color w:val="000000" w:themeColor="text1"/>
          <w:vertAlign w:val="superscript"/>
        </w:rPr>
        <w:t>th</w:t>
      </w:r>
      <w:r w:rsidR="007B0CD2" w:rsidRPr="50637D09">
        <w:rPr>
          <w:rFonts w:ascii="Calibri" w:eastAsia="Calibri" w:hAnsi="Calibri" w:cs="Calibri"/>
          <w:color w:val="000000" w:themeColor="text1"/>
        </w:rPr>
        <w:t xml:space="preserve"> percentile (better performers) had </w:t>
      </w:r>
      <w:r w:rsidR="006F6FF8" w:rsidRPr="50637D09">
        <w:rPr>
          <w:rFonts w:ascii="Calibri" w:eastAsia="Calibri" w:hAnsi="Calibri" w:cs="Calibri"/>
          <w:color w:val="000000" w:themeColor="text1"/>
        </w:rPr>
        <w:t>1</w:t>
      </w:r>
      <w:r w:rsidR="006F6FF8">
        <w:rPr>
          <w:rFonts w:ascii="Calibri" w:eastAsia="Calibri" w:hAnsi="Calibri" w:cs="Calibri"/>
          <w:color w:val="000000" w:themeColor="text1"/>
        </w:rPr>
        <w:t>6</w:t>
      </w:r>
      <w:r w:rsidR="007B0CD2" w:rsidRPr="50637D09">
        <w:rPr>
          <w:rFonts w:ascii="Calibri" w:eastAsia="Calibri" w:hAnsi="Calibri" w:cs="Calibri"/>
          <w:color w:val="000000" w:themeColor="text1"/>
        </w:rPr>
        <w:t>% fewer admissions per 100-person years compared with the median, and TINs in the 90</w:t>
      </w:r>
      <w:r w:rsidR="007B0CD2" w:rsidRPr="50637D09">
        <w:rPr>
          <w:rFonts w:ascii="Calibri" w:eastAsia="Calibri" w:hAnsi="Calibri" w:cs="Calibri"/>
          <w:color w:val="000000" w:themeColor="text1"/>
          <w:vertAlign w:val="superscript"/>
        </w:rPr>
        <w:t>th</w:t>
      </w:r>
      <w:r w:rsidR="007B0CD2" w:rsidRPr="50637D09">
        <w:rPr>
          <w:rFonts w:ascii="Calibri" w:eastAsia="Calibri" w:hAnsi="Calibri" w:cs="Calibri"/>
          <w:color w:val="000000" w:themeColor="text1"/>
        </w:rPr>
        <w:t xml:space="preserve"> percentile had </w:t>
      </w:r>
      <w:r w:rsidR="005B0217" w:rsidRPr="50637D09">
        <w:rPr>
          <w:rFonts w:ascii="Calibri" w:eastAsia="Calibri" w:hAnsi="Calibri" w:cs="Calibri"/>
          <w:color w:val="000000" w:themeColor="text1"/>
        </w:rPr>
        <w:t>2</w:t>
      </w:r>
      <w:r w:rsidR="005B0217">
        <w:rPr>
          <w:rFonts w:ascii="Calibri" w:eastAsia="Calibri" w:hAnsi="Calibri" w:cs="Calibri"/>
          <w:color w:val="000000" w:themeColor="text1"/>
        </w:rPr>
        <w:t>4</w:t>
      </w:r>
      <w:r w:rsidR="007B0CD2" w:rsidRPr="50637D09">
        <w:rPr>
          <w:rFonts w:ascii="Calibri" w:eastAsia="Calibri" w:hAnsi="Calibri" w:cs="Calibri"/>
          <w:color w:val="000000" w:themeColor="text1"/>
        </w:rPr>
        <w:t>% more admissions per 100-person years compared with the median</w:t>
      </w:r>
      <w:r w:rsidRPr="50637D09">
        <w:rPr>
          <w:rFonts w:ascii="Calibri" w:eastAsia="Calibri" w:hAnsi="Calibri" w:cs="Calibri"/>
          <w:color w:val="000000" w:themeColor="text1"/>
        </w:rPr>
        <w:t>. Still more descriptive</w:t>
      </w:r>
      <w:r w:rsidR="00092B44" w:rsidRPr="50637D09">
        <w:rPr>
          <w:rFonts w:ascii="Calibri" w:eastAsia="Calibri" w:hAnsi="Calibri" w:cs="Calibri"/>
          <w:color w:val="000000" w:themeColor="text1"/>
        </w:rPr>
        <w:t xml:space="preserve">, the </w:t>
      </w:r>
      <w:r w:rsidR="00595582" w:rsidRPr="50637D09">
        <w:rPr>
          <w:rFonts w:ascii="Calibri" w:eastAsia="Calibri" w:hAnsi="Calibri" w:cs="Calibri"/>
          <w:color w:val="000000" w:themeColor="text1"/>
        </w:rPr>
        <w:t xml:space="preserve">top/best </w:t>
      </w:r>
      <w:r w:rsidR="00092B44" w:rsidRPr="50637D09">
        <w:rPr>
          <w:rFonts w:ascii="Calibri" w:eastAsia="Calibri" w:hAnsi="Calibri" w:cs="Calibri"/>
          <w:color w:val="000000" w:themeColor="text1"/>
        </w:rPr>
        <w:t>5% of performers (</w:t>
      </w:r>
      <w:r w:rsidR="00375314" w:rsidRPr="50637D09">
        <w:rPr>
          <w:rFonts w:ascii="Calibri" w:eastAsia="Calibri" w:hAnsi="Calibri" w:cs="Calibri"/>
          <w:color w:val="000000" w:themeColor="text1"/>
        </w:rPr>
        <w:t xml:space="preserve">admission rate of </w:t>
      </w:r>
      <w:r w:rsidR="00595582" w:rsidRPr="50637D09">
        <w:rPr>
          <w:rFonts w:ascii="Calibri" w:eastAsia="Calibri" w:hAnsi="Calibri" w:cs="Calibri"/>
          <w:color w:val="000000" w:themeColor="text1"/>
        </w:rPr>
        <w:t>19.</w:t>
      </w:r>
      <w:r w:rsidR="00F8594B">
        <w:rPr>
          <w:rFonts w:ascii="Calibri" w:eastAsia="Calibri" w:hAnsi="Calibri" w:cs="Calibri"/>
          <w:color w:val="000000" w:themeColor="text1"/>
        </w:rPr>
        <w:t>9</w:t>
      </w:r>
      <w:r w:rsidRPr="50637D09">
        <w:rPr>
          <w:rFonts w:ascii="Calibri" w:eastAsia="Calibri" w:hAnsi="Calibri" w:cs="Calibri"/>
          <w:color w:val="000000" w:themeColor="text1"/>
        </w:rPr>
        <w:t>) a</w:t>
      </w:r>
      <w:r w:rsidR="00092B44" w:rsidRPr="50637D09">
        <w:rPr>
          <w:rFonts w:ascii="Calibri" w:eastAsia="Calibri" w:hAnsi="Calibri" w:cs="Calibri"/>
          <w:color w:val="000000" w:themeColor="text1"/>
        </w:rPr>
        <w:t xml:space="preserve">nd </w:t>
      </w:r>
      <w:r w:rsidR="00595582" w:rsidRPr="50637D09">
        <w:rPr>
          <w:rFonts w:ascii="Calibri" w:eastAsia="Calibri" w:hAnsi="Calibri" w:cs="Calibri"/>
          <w:color w:val="000000" w:themeColor="text1"/>
        </w:rPr>
        <w:t xml:space="preserve">the </w:t>
      </w:r>
      <w:r w:rsidR="00092B44" w:rsidRPr="50637D09">
        <w:rPr>
          <w:rFonts w:ascii="Calibri" w:eastAsia="Calibri" w:hAnsi="Calibri" w:cs="Calibri"/>
          <w:color w:val="000000" w:themeColor="text1"/>
        </w:rPr>
        <w:t>bottom</w:t>
      </w:r>
      <w:r w:rsidR="00595582" w:rsidRPr="50637D09">
        <w:rPr>
          <w:rFonts w:ascii="Calibri" w:eastAsia="Calibri" w:hAnsi="Calibri" w:cs="Calibri"/>
          <w:color w:val="000000" w:themeColor="text1"/>
        </w:rPr>
        <w:t>/worst</w:t>
      </w:r>
      <w:r w:rsidR="00092B44" w:rsidRPr="50637D09">
        <w:rPr>
          <w:rFonts w:ascii="Calibri" w:eastAsia="Calibri" w:hAnsi="Calibri" w:cs="Calibri"/>
          <w:color w:val="000000" w:themeColor="text1"/>
        </w:rPr>
        <w:t xml:space="preserve"> 5% of performers (</w:t>
      </w:r>
      <w:r w:rsidR="00375314" w:rsidRPr="50637D09">
        <w:rPr>
          <w:rFonts w:ascii="Calibri" w:eastAsia="Calibri" w:hAnsi="Calibri" w:cs="Calibri"/>
          <w:color w:val="000000" w:themeColor="text1"/>
        </w:rPr>
        <w:t xml:space="preserve">admission rate of </w:t>
      </w:r>
      <w:r w:rsidR="004E6A70" w:rsidRPr="50637D09">
        <w:rPr>
          <w:rFonts w:ascii="Calibri" w:eastAsia="Calibri" w:hAnsi="Calibri" w:cs="Calibri"/>
          <w:color w:val="000000" w:themeColor="text1"/>
        </w:rPr>
        <w:t>3</w:t>
      </w:r>
      <w:r w:rsidR="009122CF">
        <w:rPr>
          <w:rFonts w:ascii="Calibri" w:eastAsia="Calibri" w:hAnsi="Calibri" w:cs="Calibri"/>
          <w:color w:val="000000" w:themeColor="text1"/>
        </w:rPr>
        <w:t>3</w:t>
      </w:r>
      <w:r w:rsidR="004E6A70">
        <w:rPr>
          <w:rFonts w:ascii="Calibri" w:eastAsia="Calibri" w:hAnsi="Calibri" w:cs="Calibri"/>
          <w:color w:val="000000" w:themeColor="text1"/>
        </w:rPr>
        <w:t>.2</w:t>
      </w:r>
      <w:r w:rsidRPr="50637D09">
        <w:rPr>
          <w:rFonts w:ascii="Calibri" w:eastAsia="Calibri" w:hAnsi="Calibri" w:cs="Calibri"/>
          <w:color w:val="000000" w:themeColor="text1"/>
        </w:rPr>
        <w:t xml:space="preserve">) </w:t>
      </w:r>
      <w:r w:rsidR="00375314" w:rsidRPr="50637D09">
        <w:rPr>
          <w:rFonts w:ascii="Calibri" w:eastAsia="Calibri" w:hAnsi="Calibri" w:cs="Calibri"/>
          <w:color w:val="000000" w:themeColor="text1"/>
        </w:rPr>
        <w:t>demonstrate clear</w:t>
      </w:r>
      <w:r w:rsidRPr="50637D09">
        <w:rPr>
          <w:rFonts w:ascii="Calibri" w:eastAsia="Calibri" w:hAnsi="Calibri" w:cs="Calibri"/>
          <w:color w:val="000000" w:themeColor="text1"/>
        </w:rPr>
        <w:t xml:space="preserve"> deviation from the average performer. This variation shows a clear quality gap, as some clinicians and practices can perform substantially better</w:t>
      </w:r>
      <w:r>
        <w:t xml:space="preserve"> than the average performer, while other clinicians and groups/practices are performing worse than an average performer. It is important to note that here the average performer refers to a clinician or clinician group with the same case and procedure mix performing at the average.</w:t>
      </w:r>
    </w:p>
    <w:p w14:paraId="1D9D61D4" w14:textId="4A36F107" w:rsidR="00650DCD" w:rsidRPr="002011ED"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2011ED">
        <w:rPr>
          <w:rFonts w:cstheme="minorHAnsi"/>
          <w:bCs/>
        </w:rPr>
        <w:t xml:space="preserve">The median </w:t>
      </w:r>
      <w:r w:rsidR="004C6062" w:rsidRPr="002011ED">
        <w:rPr>
          <w:rFonts w:cstheme="minorHAnsi"/>
          <w:bCs/>
        </w:rPr>
        <w:t>I</w:t>
      </w:r>
      <w:r w:rsidRPr="002011ED">
        <w:rPr>
          <w:rFonts w:cstheme="minorHAnsi"/>
          <w:bCs/>
        </w:rPr>
        <w:t>R</w:t>
      </w:r>
      <w:r w:rsidR="004C6062" w:rsidRPr="002011ED">
        <w:rPr>
          <w:rFonts w:cstheme="minorHAnsi"/>
          <w:bCs/>
        </w:rPr>
        <w:t>R</w:t>
      </w:r>
      <w:r w:rsidRPr="002011ED">
        <w:rPr>
          <w:rFonts w:cstheme="minorHAnsi"/>
          <w:bCs/>
        </w:rPr>
        <w:t xml:space="preserve"> suggest</w:t>
      </w:r>
      <w:r w:rsidR="00092B44" w:rsidRPr="002011ED">
        <w:rPr>
          <w:rFonts w:cstheme="minorHAnsi"/>
          <w:bCs/>
        </w:rPr>
        <w:t>s</w:t>
      </w:r>
      <w:r w:rsidRPr="002011ED">
        <w:rPr>
          <w:rFonts w:cstheme="minorHAnsi"/>
          <w:bCs/>
        </w:rPr>
        <w:t xml:space="preserve"> meaningful increases in the rate of acute unplanned </w:t>
      </w:r>
      <w:r w:rsidR="002246BF">
        <w:rPr>
          <w:rFonts w:cstheme="minorHAnsi"/>
          <w:bCs/>
        </w:rPr>
        <w:t>cardiovascular</w:t>
      </w:r>
      <w:r w:rsidR="00375314">
        <w:rPr>
          <w:rFonts w:cstheme="minorHAnsi"/>
          <w:bCs/>
        </w:rPr>
        <w:t xml:space="preserve">-related </w:t>
      </w:r>
      <w:r w:rsidRPr="002011ED">
        <w:rPr>
          <w:rFonts w:cstheme="minorHAnsi"/>
          <w:bCs/>
        </w:rPr>
        <w:t>admission</w:t>
      </w:r>
      <w:r w:rsidR="00092B44" w:rsidRPr="002011ED">
        <w:rPr>
          <w:rFonts w:cstheme="minorHAnsi"/>
          <w:bCs/>
        </w:rPr>
        <w:t>s</w:t>
      </w:r>
      <w:r w:rsidRPr="002011ED">
        <w:rPr>
          <w:rFonts w:cstheme="minorHAnsi"/>
          <w:bCs/>
        </w:rPr>
        <w:t xml:space="preserve"> if a single patient was attributed to a higher risk TIN compared to a lower risk </w:t>
      </w:r>
      <w:r w:rsidRPr="002011ED">
        <w:t>TIN</w:t>
      </w:r>
      <w:r w:rsidRPr="002011ED">
        <w:rPr>
          <w:rFonts w:cstheme="minorHAnsi"/>
          <w:bCs/>
        </w:rPr>
        <w:t xml:space="preserve">. </w:t>
      </w:r>
      <w:r w:rsidR="00D209EA" w:rsidRPr="002011ED">
        <w:t>If one were to repeatedly take</w:t>
      </w:r>
      <w:r w:rsidR="00B91A9B" w:rsidRPr="002011ED">
        <w:t xml:space="preserve"> a random sample of two </w:t>
      </w:r>
      <w:r w:rsidR="00D209EA" w:rsidRPr="002011ED">
        <w:t xml:space="preserve">patients with the same characteristics from different TINs, in half of the samples, the rate ratio comparing the patient attributed to the TIN with a higher rate of acute unplanned cardiovascular-related </w:t>
      </w:r>
      <w:r w:rsidR="00D209EA" w:rsidRPr="002011ED">
        <w:rPr>
          <w:rFonts w:hint="eastAsia"/>
        </w:rPr>
        <w:t>admission and the patient attributed to the TIN with a lower rate of admission is at least 1.</w:t>
      </w:r>
      <w:r w:rsidR="001943F1">
        <w:t>27</w:t>
      </w:r>
      <w:r w:rsidR="00D209EA" w:rsidRPr="002011ED">
        <w:rPr>
          <w:rFonts w:hint="eastAsia"/>
        </w:rPr>
        <w:t>. This assumes the differences in rates a</w:t>
      </w:r>
      <w:r w:rsidR="00B91A9B" w:rsidRPr="002011ED">
        <w:rPr>
          <w:rFonts w:hint="eastAsia"/>
        </w:rPr>
        <w:t>re entirely explained by the TIN-</w:t>
      </w:r>
      <w:r w:rsidR="00D209EA" w:rsidRPr="002011ED">
        <w:rPr>
          <w:rFonts w:hint="eastAsia"/>
        </w:rPr>
        <w:t>specific random effects.</w:t>
      </w:r>
    </w:p>
    <w:p w14:paraId="39BECA19" w14:textId="77777777" w:rsidR="00650DCD" w:rsidRPr="002011ED"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675BF0E1" w14:textId="77777777" w:rsidR="00650DCD" w:rsidRDefault="00650DCD" w:rsidP="000E675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2011ED">
        <w:rPr>
          <w:rFonts w:ascii="Calibri" w:eastAsia="Calibri" w:hAnsi="Calibri" w:cs="Calibri"/>
          <w:color w:val="000000"/>
        </w:rPr>
        <w:t>Overall, our results suggest that there is substantial need to both reduce the number of admissions for this patient population, as well as decrease the variation in admissions across providers, and that improvement goals are achievable.</w:t>
      </w:r>
    </w:p>
    <w:p w14:paraId="308A1C2B" w14:textId="77777777" w:rsidR="00650DCD" w:rsidRPr="00A25024" w:rsidRDefault="00650DCD"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48D6BFDF"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1830712F" w14:textId="77777777" w:rsidR="007E6FEC" w:rsidRDefault="007E6FEC" w:rsidP="007E6FEC">
      <w:pPr>
        <w:autoSpaceDE w:val="0"/>
        <w:autoSpaceDN w:val="0"/>
        <w:adjustRightInd w:val="0"/>
        <w:spacing w:after="0" w:line="240" w:lineRule="auto"/>
        <w:rPr>
          <w:rFonts w:cstheme="minorHAnsi"/>
          <w:bCs/>
          <w:sz w:val="14"/>
        </w:rPr>
      </w:pPr>
      <w:r>
        <w:rPr>
          <w:rFonts w:ascii="Calibri" w:eastAsia="Calibri" w:hAnsi="Calibri" w:cs="Calibri"/>
          <w:color w:val="000000"/>
          <w:bdr w:val="single" w:sz="4" w:space="0" w:color="auto" w:frame="1"/>
        </w:rPr>
        <w:t>Items 2b5.1 – 2b5.3 skipped, as this measure has only one set of specifications.</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4AF89FF8"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31C217C9" w14:textId="77777777" w:rsidR="007E6FEC" w:rsidRDefault="007E6FEC" w:rsidP="007E6FEC">
      <w:pPr>
        <w:autoSpaceDE w:val="0"/>
        <w:autoSpaceDN w:val="0"/>
        <w:adjustRightInd w:val="0"/>
        <w:spacing w:after="0" w:line="240" w:lineRule="auto"/>
        <w:rPr>
          <w:rFonts w:cstheme="minorHAnsi"/>
          <w:bCs/>
          <w:sz w:val="14"/>
        </w:rPr>
      </w:pPr>
      <w:r>
        <w:rPr>
          <w:rFonts w:ascii="Calibri" w:eastAsia="Calibri" w:hAnsi="Calibri" w:cs="Calibri"/>
          <w:color w:val="000000"/>
          <w:bdr w:val="single" w:sz="4" w:space="0" w:color="auto" w:frame="1"/>
        </w:rPr>
        <w:t>Items 2b5.1 – 2b5.3 skipped, as this measure has only one set of specifications.</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4EB5A619" w14:textId="77777777" w:rsidR="007E6FEC" w:rsidRDefault="009C7513" w:rsidP="007E6FEC">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7E6FEC">
        <w:rPr>
          <w:rFonts w:ascii="Calibri" w:eastAsia="Calibri" w:hAnsi="Calibri" w:cs="Calibri"/>
          <w:color w:val="000000"/>
          <w:bdr w:val="single" w:sz="4" w:space="0" w:color="auto" w:frame="1"/>
        </w:rPr>
        <w:t>Items 2b5.1 – 2b5.3 skipped, as this measure has only one set of specifications.</w:t>
      </w:r>
    </w:p>
    <w:p w14:paraId="0CABD017" w14:textId="0C9FD55C" w:rsidR="0079180E" w:rsidRDefault="0079180E"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0D4D6CFB"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48DDA359" w14:textId="45287BDD" w:rsidR="007E6FEC" w:rsidRPr="00D209EA" w:rsidRDefault="00D209EA" w:rsidP="003964C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Demographic and clinical variables were ascertained using claims data and, as such, were known for all patients in the study cohort. Missing data for the area-level social risk factor (</w:t>
      </w:r>
      <w:r w:rsidR="00DB2497">
        <w:t>for example</w:t>
      </w:r>
      <w:r>
        <w:t xml:space="preserve">, AHRQ SES Index) were investigated by checking </w:t>
      </w:r>
      <w:proofErr w:type="gramStart"/>
      <w:r>
        <w:t>whether or not</w:t>
      </w:r>
      <w:proofErr w:type="gramEnd"/>
      <w:r>
        <w:t xml:space="preserve"> the patient’s ZIP code was available and could be matched to the area-level value.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72C02FA0"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7E6FEC">
        <w:rPr>
          <w:rFonts w:cstheme="minorHAnsi"/>
          <w:bCs/>
        </w:rPr>
        <w:t>)</w:t>
      </w:r>
    </w:p>
    <w:p w14:paraId="6F9FAB85" w14:textId="69576116" w:rsidR="007E6FEC" w:rsidRDefault="0025390C" w:rsidP="007E6FE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25390C">
        <w:t>Of the final 1,855,941 HF sample size, 9,748 (0.5%) patients had missing data for low AHRQ SES included in the final risk model. Thus, the sample size for this analysis was 1,846,193.</w:t>
      </w:r>
      <w:r w:rsidR="00F22129">
        <w:t xml:space="preserve"> </w:t>
      </w:r>
      <w:r w:rsidR="007E6FEC">
        <w:t xml:space="preserve">These patients had P.O. boxes or business ZIP </w:t>
      </w:r>
      <w:proofErr w:type="gramStart"/>
      <w:r w:rsidR="007E6FEC">
        <w:t>codes, or</w:t>
      </w:r>
      <w:proofErr w:type="gramEnd"/>
      <w:r w:rsidR="007E6FEC">
        <w:t xml:space="preserve"> lived in US territories for which data were unavailable. </w:t>
      </w:r>
    </w:p>
    <w:p w14:paraId="2806F6E9" w14:textId="1FBC2809" w:rsidR="0025390C" w:rsidRPr="0025390C" w:rsidRDefault="0025390C" w:rsidP="0025390C">
      <w:pPr>
        <w:rPr>
          <w:sz w:val="20"/>
        </w:rPr>
      </w:pPr>
      <w:r w:rsidRPr="00D869E6">
        <w:rPr>
          <w:sz w:val="20"/>
        </w:rPr>
        <w:t xml:space="preserve"> </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6396B7AB" w14:textId="77777777" w:rsidR="00D209EA" w:rsidRDefault="00D209EA" w:rsidP="00605177">
      <w:pPr>
        <w:autoSpaceDE w:val="0"/>
        <w:autoSpaceDN w:val="0"/>
        <w:adjustRightInd w:val="0"/>
        <w:spacing w:after="0" w:line="240" w:lineRule="auto"/>
        <w:rPr>
          <w:rFonts w:ascii="Calibri" w:eastAsia="Calibri" w:hAnsi="Calibri" w:cs="Calibri"/>
          <w:color w:val="000000"/>
          <w:bdr w:val="single" w:sz="4" w:space="0" w:color="auto" w:frame="1"/>
        </w:rPr>
      </w:pPr>
    </w:p>
    <w:p w14:paraId="1AC8EF8F" w14:textId="30CA8A5C" w:rsidR="00D209EA" w:rsidRDefault="00D209EA" w:rsidP="00D209E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Excluding 0.</w:t>
      </w:r>
      <w:r w:rsidR="007861BC">
        <w:t>5</w:t>
      </w:r>
      <w:r>
        <w:t xml:space="preserve">% of patients with missing </w:t>
      </w:r>
      <w:r w:rsidR="00BA2F09">
        <w:t>social risk factor</w:t>
      </w:r>
      <w:r>
        <w:t xml:space="preserve"> data did not affect the quintile of RSCARs for </w:t>
      </w:r>
      <w:proofErr w:type="gramStart"/>
      <w:r>
        <w:t>the majority of</w:t>
      </w:r>
      <w:proofErr w:type="gramEnd"/>
      <w:r>
        <w:t xml:space="preserve"> providers. A shift in the quintile of RSCARs occurred only for providers with patient volume</w:t>
      </w:r>
      <w:r w:rsidR="00AA275D">
        <w:t>s</w:t>
      </w:r>
      <w:r>
        <w:t xml:space="preserve"> </w:t>
      </w:r>
      <w:r w:rsidR="00AA275D">
        <w:t>that fall below the patient volume threshold required for public reporting of the measure score</w:t>
      </w:r>
      <w:r>
        <w:t xml:space="preserve">. </w:t>
      </w:r>
    </w:p>
    <w:p w14:paraId="7EFF4EC9" w14:textId="6681C0A9" w:rsidR="00605177" w:rsidRDefault="00605177" w:rsidP="00605177">
      <w:pPr>
        <w:autoSpaceDE w:val="0"/>
        <w:autoSpaceDN w:val="0"/>
        <w:adjustRightInd w:val="0"/>
        <w:spacing w:after="0" w:line="240" w:lineRule="auto"/>
        <w:rPr>
          <w:rFonts w:cstheme="minorHAnsi"/>
          <w:bCs/>
        </w:rPr>
      </w:pP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A6CF3" w14:textId="77777777" w:rsidR="008357A4" w:rsidRDefault="008357A4" w:rsidP="005C73CA">
      <w:pPr>
        <w:spacing w:after="0" w:line="240" w:lineRule="auto"/>
      </w:pPr>
      <w:r>
        <w:separator/>
      </w:r>
    </w:p>
  </w:endnote>
  <w:endnote w:type="continuationSeparator" w:id="0">
    <w:p w14:paraId="3B3A63A8" w14:textId="77777777" w:rsidR="008357A4" w:rsidRDefault="008357A4" w:rsidP="005C73CA">
      <w:pPr>
        <w:spacing w:after="0" w:line="240" w:lineRule="auto"/>
      </w:pPr>
      <w:r>
        <w:continuationSeparator/>
      </w:r>
    </w:p>
  </w:endnote>
  <w:endnote w:type="continuationNotice" w:id="1">
    <w:p w14:paraId="127B6C19" w14:textId="77777777" w:rsidR="008357A4" w:rsidRDefault="00835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55FB599F" w:rsidR="006A5297" w:rsidRDefault="006A5297">
    <w:pPr>
      <w:pStyle w:val="Footer"/>
    </w:pPr>
    <w:r>
      <w:t>Version 7.1</w:t>
    </w:r>
    <w:r>
      <w:ptab w:relativeTo="margin" w:alignment="right" w:leader="none"/>
    </w: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9</w:t>
    </w:r>
    <w:r>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9FF32" w14:textId="77777777" w:rsidR="008357A4" w:rsidRDefault="008357A4" w:rsidP="005C73CA">
      <w:pPr>
        <w:spacing w:after="0" w:line="240" w:lineRule="auto"/>
      </w:pPr>
      <w:r>
        <w:separator/>
      </w:r>
    </w:p>
  </w:footnote>
  <w:footnote w:type="continuationSeparator" w:id="0">
    <w:p w14:paraId="53F3ADF2" w14:textId="77777777" w:rsidR="008357A4" w:rsidRDefault="008357A4" w:rsidP="005C73CA">
      <w:pPr>
        <w:spacing w:after="0" w:line="240" w:lineRule="auto"/>
      </w:pPr>
      <w:r>
        <w:continuationSeparator/>
      </w:r>
    </w:p>
  </w:footnote>
  <w:footnote w:type="continuationNotice" w:id="1">
    <w:p w14:paraId="2E51CE22" w14:textId="77777777" w:rsidR="008357A4" w:rsidRDefault="008357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202196"/>
    <w:multiLevelType w:val="hybridMultilevel"/>
    <w:tmpl w:val="574A2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F66AD2"/>
    <w:multiLevelType w:val="hybridMultilevel"/>
    <w:tmpl w:val="05280DDC"/>
    <w:lvl w:ilvl="0" w:tplc="DFAC519A">
      <w:start w:val="1"/>
      <w:numFmt w:val="decimal"/>
      <w:lvlText w:val="%1."/>
      <w:lvlJc w:val="left"/>
      <w:pPr>
        <w:ind w:left="720"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0C33B6"/>
    <w:multiLevelType w:val="hybridMultilevel"/>
    <w:tmpl w:val="1C2AE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57569"/>
    <w:multiLevelType w:val="hybridMultilevel"/>
    <w:tmpl w:val="F72ACA2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246155"/>
    <w:multiLevelType w:val="hybridMultilevel"/>
    <w:tmpl w:val="826045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E35DBE"/>
    <w:multiLevelType w:val="hybridMultilevel"/>
    <w:tmpl w:val="C8BC774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1D6D02"/>
    <w:multiLevelType w:val="hybridMultilevel"/>
    <w:tmpl w:val="7D98B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F4BEB"/>
    <w:multiLevelType w:val="hybridMultilevel"/>
    <w:tmpl w:val="5F966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1AB28DD"/>
    <w:multiLevelType w:val="hybridMultilevel"/>
    <w:tmpl w:val="84E013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1064F47"/>
    <w:multiLevelType w:val="hybridMultilevel"/>
    <w:tmpl w:val="2D9AEE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EA43F7"/>
    <w:multiLevelType w:val="hybridMultilevel"/>
    <w:tmpl w:val="547EF37A"/>
    <w:lvl w:ilvl="0" w:tplc="3C421E02">
      <w:start w:val="1"/>
      <w:numFmt w:val="decimal"/>
      <w:lvlText w:val="%1."/>
      <w:lvlJc w:val="left"/>
      <w:pPr>
        <w:ind w:left="720" w:hanging="360"/>
      </w:pPr>
    </w:lvl>
    <w:lvl w:ilvl="1" w:tplc="A19C5B80">
      <w:start w:val="1"/>
      <w:numFmt w:val="lowerLetter"/>
      <w:lvlText w:val="%2."/>
      <w:lvlJc w:val="left"/>
      <w:pPr>
        <w:ind w:left="1440" w:hanging="360"/>
      </w:pPr>
    </w:lvl>
    <w:lvl w:ilvl="2" w:tplc="C73E216A">
      <w:start w:val="1"/>
      <w:numFmt w:val="lowerRoman"/>
      <w:lvlText w:val="%3."/>
      <w:lvlJc w:val="right"/>
      <w:pPr>
        <w:ind w:left="2160" w:hanging="180"/>
      </w:pPr>
    </w:lvl>
    <w:lvl w:ilvl="3" w:tplc="3FF6439C">
      <w:start w:val="1"/>
      <w:numFmt w:val="decimal"/>
      <w:lvlText w:val="%4."/>
      <w:lvlJc w:val="left"/>
      <w:pPr>
        <w:ind w:left="2880" w:hanging="360"/>
      </w:pPr>
    </w:lvl>
    <w:lvl w:ilvl="4" w:tplc="0B121F56">
      <w:start w:val="1"/>
      <w:numFmt w:val="lowerLetter"/>
      <w:lvlText w:val="%5."/>
      <w:lvlJc w:val="left"/>
      <w:pPr>
        <w:ind w:left="3600" w:hanging="360"/>
      </w:pPr>
    </w:lvl>
    <w:lvl w:ilvl="5" w:tplc="96129BDA">
      <w:start w:val="1"/>
      <w:numFmt w:val="lowerRoman"/>
      <w:lvlText w:val="%6."/>
      <w:lvlJc w:val="right"/>
      <w:pPr>
        <w:ind w:left="4320" w:hanging="180"/>
      </w:pPr>
    </w:lvl>
    <w:lvl w:ilvl="6" w:tplc="630AD094">
      <w:start w:val="1"/>
      <w:numFmt w:val="decimal"/>
      <w:lvlText w:val="%7."/>
      <w:lvlJc w:val="left"/>
      <w:pPr>
        <w:ind w:left="5040" w:hanging="360"/>
      </w:pPr>
    </w:lvl>
    <w:lvl w:ilvl="7" w:tplc="3474B91A">
      <w:start w:val="1"/>
      <w:numFmt w:val="lowerLetter"/>
      <w:lvlText w:val="%8."/>
      <w:lvlJc w:val="left"/>
      <w:pPr>
        <w:ind w:left="5760" w:hanging="360"/>
      </w:pPr>
    </w:lvl>
    <w:lvl w:ilvl="8" w:tplc="C8A2A422">
      <w:start w:val="1"/>
      <w:numFmt w:val="lowerRoman"/>
      <w:lvlText w:val="%9."/>
      <w:lvlJc w:val="right"/>
      <w:pPr>
        <w:ind w:left="6480" w:hanging="180"/>
      </w:pPr>
    </w:lvl>
  </w:abstractNum>
  <w:abstractNum w:abstractNumId="3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C30C36"/>
    <w:multiLevelType w:val="hybridMultilevel"/>
    <w:tmpl w:val="E2F4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577CAE"/>
    <w:multiLevelType w:val="hybridMultilevel"/>
    <w:tmpl w:val="0B6A22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51B776C"/>
    <w:multiLevelType w:val="hybridMultilevel"/>
    <w:tmpl w:val="5C5467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12516D"/>
    <w:multiLevelType w:val="hybridMultilevel"/>
    <w:tmpl w:val="D0C25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9539E8"/>
    <w:multiLevelType w:val="hybridMultilevel"/>
    <w:tmpl w:val="A906BE98"/>
    <w:lvl w:ilvl="0" w:tplc="9D2C22E8">
      <w:start w:val="1"/>
      <w:numFmt w:val="decimal"/>
      <w:suff w:val="space"/>
      <w:lvlText w:val="Step %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3"/>
  </w:num>
  <w:num w:numId="2">
    <w:abstractNumId w:val="6"/>
  </w:num>
  <w:num w:numId="3">
    <w:abstractNumId w:val="18"/>
  </w:num>
  <w:num w:numId="4">
    <w:abstractNumId w:val="4"/>
  </w:num>
  <w:num w:numId="5">
    <w:abstractNumId w:val="8"/>
  </w:num>
  <w:num w:numId="6">
    <w:abstractNumId w:val="3"/>
  </w:num>
  <w:num w:numId="7">
    <w:abstractNumId w:val="2"/>
  </w:num>
  <w:num w:numId="8">
    <w:abstractNumId w:val="5"/>
  </w:num>
  <w:num w:numId="9">
    <w:abstractNumId w:val="31"/>
  </w:num>
  <w:num w:numId="10">
    <w:abstractNumId w:val="15"/>
  </w:num>
  <w:num w:numId="11">
    <w:abstractNumId w:val="39"/>
  </w:num>
  <w:num w:numId="12">
    <w:abstractNumId w:val="19"/>
  </w:num>
  <w:num w:numId="13">
    <w:abstractNumId w:val="37"/>
  </w:num>
  <w:num w:numId="14">
    <w:abstractNumId w:val="28"/>
  </w:num>
  <w:num w:numId="15">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abstractNumId w:val="27"/>
  </w:num>
  <w:num w:numId="17">
    <w:abstractNumId w:val="12"/>
  </w:num>
  <w:num w:numId="18">
    <w:abstractNumId w:val="38"/>
  </w:num>
  <w:num w:numId="19">
    <w:abstractNumId w:val="34"/>
  </w:num>
  <w:num w:numId="20">
    <w:abstractNumId w:val="32"/>
  </w:num>
  <w:num w:numId="21">
    <w:abstractNumId w:val="25"/>
  </w:num>
  <w:num w:numId="22">
    <w:abstractNumId w:val="30"/>
  </w:num>
  <w:num w:numId="23">
    <w:abstractNumId w:val="24"/>
  </w:num>
  <w:num w:numId="24">
    <w:abstractNumId w:val="9"/>
  </w:num>
  <w:num w:numId="25">
    <w:abstractNumId w:val="22"/>
  </w:num>
  <w:num w:numId="26">
    <w:abstractNumId w:val="20"/>
  </w:num>
  <w:num w:numId="27">
    <w:abstractNumId w:val="42"/>
  </w:num>
  <w:num w:numId="28">
    <w:abstractNumId w:val="0"/>
  </w:num>
  <w:num w:numId="29">
    <w:abstractNumId w:val="13"/>
  </w:num>
  <w:num w:numId="30">
    <w:abstractNumId w:val="26"/>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3"/>
  </w:num>
  <w:num w:numId="34">
    <w:abstractNumId w:val="40"/>
  </w:num>
  <w:num w:numId="35">
    <w:abstractNumId w:val="14"/>
  </w:num>
  <w:num w:numId="36">
    <w:abstractNumId w:val="36"/>
  </w:num>
  <w:num w:numId="37">
    <w:abstractNumId w:val="16"/>
  </w:num>
  <w:num w:numId="38">
    <w:abstractNumId w:val="4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1"/>
  </w:num>
  <w:num w:numId="42">
    <w:abstractNumId w:val="35"/>
  </w:num>
  <w:num w:numId="43">
    <w:abstractNumId w:val="1"/>
  </w:num>
  <w:num w:numId="44">
    <w:abstractNumId w:val="7"/>
  </w:num>
  <w:num w:numId="45">
    <w:abstractNumId w:val="10"/>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2944"/>
    <w:rsid w:val="00003469"/>
    <w:rsid w:val="0001094F"/>
    <w:rsid w:val="00021170"/>
    <w:rsid w:val="0002128B"/>
    <w:rsid w:val="00022EB0"/>
    <w:rsid w:val="000230E2"/>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38DD"/>
    <w:rsid w:val="00074071"/>
    <w:rsid w:val="000775F8"/>
    <w:rsid w:val="00080BEB"/>
    <w:rsid w:val="00080CF7"/>
    <w:rsid w:val="000851B2"/>
    <w:rsid w:val="00085D3A"/>
    <w:rsid w:val="000860A6"/>
    <w:rsid w:val="00090B04"/>
    <w:rsid w:val="00092566"/>
    <w:rsid w:val="00092B44"/>
    <w:rsid w:val="000968F8"/>
    <w:rsid w:val="00097012"/>
    <w:rsid w:val="000979CF"/>
    <w:rsid w:val="000A3DF9"/>
    <w:rsid w:val="000B032A"/>
    <w:rsid w:val="000B2DF7"/>
    <w:rsid w:val="000B3880"/>
    <w:rsid w:val="000B7D57"/>
    <w:rsid w:val="000C036D"/>
    <w:rsid w:val="000C0FF8"/>
    <w:rsid w:val="000D2722"/>
    <w:rsid w:val="000D2E20"/>
    <w:rsid w:val="000D7948"/>
    <w:rsid w:val="000D7C84"/>
    <w:rsid w:val="000E4E13"/>
    <w:rsid w:val="000E626B"/>
    <w:rsid w:val="000E6750"/>
    <w:rsid w:val="000E78F6"/>
    <w:rsid w:val="000F034A"/>
    <w:rsid w:val="000F06B5"/>
    <w:rsid w:val="000F1B7A"/>
    <w:rsid w:val="000F28D7"/>
    <w:rsid w:val="000F39E9"/>
    <w:rsid w:val="000F522E"/>
    <w:rsid w:val="000F7BA8"/>
    <w:rsid w:val="001012F7"/>
    <w:rsid w:val="00104B45"/>
    <w:rsid w:val="00105D8B"/>
    <w:rsid w:val="0011342F"/>
    <w:rsid w:val="00113BCE"/>
    <w:rsid w:val="00115525"/>
    <w:rsid w:val="00115F2B"/>
    <w:rsid w:val="00117BB7"/>
    <w:rsid w:val="00117BC5"/>
    <w:rsid w:val="001202E9"/>
    <w:rsid w:val="001221A5"/>
    <w:rsid w:val="0012454F"/>
    <w:rsid w:val="00125273"/>
    <w:rsid w:val="0012575E"/>
    <w:rsid w:val="00127C06"/>
    <w:rsid w:val="0013763C"/>
    <w:rsid w:val="00141FE3"/>
    <w:rsid w:val="0014441E"/>
    <w:rsid w:val="00145149"/>
    <w:rsid w:val="00145D4F"/>
    <w:rsid w:val="0014773C"/>
    <w:rsid w:val="00166744"/>
    <w:rsid w:val="0016763B"/>
    <w:rsid w:val="0017696D"/>
    <w:rsid w:val="001848FC"/>
    <w:rsid w:val="00186EA8"/>
    <w:rsid w:val="00191AE5"/>
    <w:rsid w:val="00193F21"/>
    <w:rsid w:val="001943F1"/>
    <w:rsid w:val="0019560D"/>
    <w:rsid w:val="001969C5"/>
    <w:rsid w:val="001A15A5"/>
    <w:rsid w:val="001A28DF"/>
    <w:rsid w:val="001A59BB"/>
    <w:rsid w:val="001A6CDD"/>
    <w:rsid w:val="001B1235"/>
    <w:rsid w:val="001B230B"/>
    <w:rsid w:val="001B3D17"/>
    <w:rsid w:val="001B404C"/>
    <w:rsid w:val="001B5E5F"/>
    <w:rsid w:val="001C12EE"/>
    <w:rsid w:val="001C6334"/>
    <w:rsid w:val="001C7B02"/>
    <w:rsid w:val="001E2349"/>
    <w:rsid w:val="001E4DD4"/>
    <w:rsid w:val="001E525A"/>
    <w:rsid w:val="001E69DC"/>
    <w:rsid w:val="001F12A8"/>
    <w:rsid w:val="001F169D"/>
    <w:rsid w:val="001F1DA1"/>
    <w:rsid w:val="001F3F6A"/>
    <w:rsid w:val="001F6AB6"/>
    <w:rsid w:val="001F6F93"/>
    <w:rsid w:val="001F7A20"/>
    <w:rsid w:val="002011ED"/>
    <w:rsid w:val="00202D75"/>
    <w:rsid w:val="00205AC5"/>
    <w:rsid w:val="00205D23"/>
    <w:rsid w:val="00207B6A"/>
    <w:rsid w:val="0021054A"/>
    <w:rsid w:val="0021195A"/>
    <w:rsid w:val="00213383"/>
    <w:rsid w:val="002145C0"/>
    <w:rsid w:val="00220250"/>
    <w:rsid w:val="00222444"/>
    <w:rsid w:val="002246BF"/>
    <w:rsid w:val="0022691B"/>
    <w:rsid w:val="00232163"/>
    <w:rsid w:val="002376F8"/>
    <w:rsid w:val="002408E4"/>
    <w:rsid w:val="00241591"/>
    <w:rsid w:val="00243AFC"/>
    <w:rsid w:val="0024721F"/>
    <w:rsid w:val="00250B4F"/>
    <w:rsid w:val="00251F70"/>
    <w:rsid w:val="0025390C"/>
    <w:rsid w:val="0025762F"/>
    <w:rsid w:val="00257CAA"/>
    <w:rsid w:val="00266280"/>
    <w:rsid w:val="002705D8"/>
    <w:rsid w:val="00275563"/>
    <w:rsid w:val="0028114D"/>
    <w:rsid w:val="002823D2"/>
    <w:rsid w:val="00285255"/>
    <w:rsid w:val="00287649"/>
    <w:rsid w:val="00287E84"/>
    <w:rsid w:val="0029286C"/>
    <w:rsid w:val="0029300E"/>
    <w:rsid w:val="002952A2"/>
    <w:rsid w:val="00295B45"/>
    <w:rsid w:val="002A2864"/>
    <w:rsid w:val="002A79D1"/>
    <w:rsid w:val="002B0C3A"/>
    <w:rsid w:val="002B1EA4"/>
    <w:rsid w:val="002B2116"/>
    <w:rsid w:val="002B2D9B"/>
    <w:rsid w:val="002B5016"/>
    <w:rsid w:val="002B742C"/>
    <w:rsid w:val="002B7F4D"/>
    <w:rsid w:val="002C285C"/>
    <w:rsid w:val="002C7BE4"/>
    <w:rsid w:val="002D1C9C"/>
    <w:rsid w:val="002D417D"/>
    <w:rsid w:val="002D4E27"/>
    <w:rsid w:val="002D5E5D"/>
    <w:rsid w:val="002E0DF8"/>
    <w:rsid w:val="002E78A0"/>
    <w:rsid w:val="002F2687"/>
    <w:rsid w:val="002F48E1"/>
    <w:rsid w:val="002F4F3B"/>
    <w:rsid w:val="0030220A"/>
    <w:rsid w:val="00304C86"/>
    <w:rsid w:val="003059EB"/>
    <w:rsid w:val="003116AC"/>
    <w:rsid w:val="00315567"/>
    <w:rsid w:val="00321D36"/>
    <w:rsid w:val="00330144"/>
    <w:rsid w:val="00334329"/>
    <w:rsid w:val="00345028"/>
    <w:rsid w:val="00345CBA"/>
    <w:rsid w:val="00346245"/>
    <w:rsid w:val="003529D8"/>
    <w:rsid w:val="00356267"/>
    <w:rsid w:val="00356BAD"/>
    <w:rsid w:val="00357B05"/>
    <w:rsid w:val="003605B4"/>
    <w:rsid w:val="00361A43"/>
    <w:rsid w:val="003627AC"/>
    <w:rsid w:val="00366914"/>
    <w:rsid w:val="00367071"/>
    <w:rsid w:val="00372FE3"/>
    <w:rsid w:val="00375314"/>
    <w:rsid w:val="003755CB"/>
    <w:rsid w:val="00380E52"/>
    <w:rsid w:val="00383F85"/>
    <w:rsid w:val="00387BA1"/>
    <w:rsid w:val="00394753"/>
    <w:rsid w:val="003964C9"/>
    <w:rsid w:val="003A306C"/>
    <w:rsid w:val="003A6A1B"/>
    <w:rsid w:val="003A7DE7"/>
    <w:rsid w:val="003B1006"/>
    <w:rsid w:val="003B1E1F"/>
    <w:rsid w:val="003C03B7"/>
    <w:rsid w:val="003C1CED"/>
    <w:rsid w:val="003C2911"/>
    <w:rsid w:val="003C5F11"/>
    <w:rsid w:val="003D1B51"/>
    <w:rsid w:val="003D294B"/>
    <w:rsid w:val="003D6401"/>
    <w:rsid w:val="003E0507"/>
    <w:rsid w:val="003E1863"/>
    <w:rsid w:val="003E64AF"/>
    <w:rsid w:val="003F17E5"/>
    <w:rsid w:val="003F1E52"/>
    <w:rsid w:val="003F38D0"/>
    <w:rsid w:val="00407810"/>
    <w:rsid w:val="00412178"/>
    <w:rsid w:val="00412EE6"/>
    <w:rsid w:val="0041606D"/>
    <w:rsid w:val="00416962"/>
    <w:rsid w:val="004206A8"/>
    <w:rsid w:val="00423A65"/>
    <w:rsid w:val="00433986"/>
    <w:rsid w:val="004348CC"/>
    <w:rsid w:val="00437537"/>
    <w:rsid w:val="00443ED8"/>
    <w:rsid w:val="00450C58"/>
    <w:rsid w:val="00453F4D"/>
    <w:rsid w:val="00457A90"/>
    <w:rsid w:val="00464D40"/>
    <w:rsid w:val="004658FF"/>
    <w:rsid w:val="00474ED7"/>
    <w:rsid w:val="004756E1"/>
    <w:rsid w:val="0048008A"/>
    <w:rsid w:val="00483E94"/>
    <w:rsid w:val="00484120"/>
    <w:rsid w:val="00484788"/>
    <w:rsid w:val="0048501D"/>
    <w:rsid w:val="004853A0"/>
    <w:rsid w:val="00490148"/>
    <w:rsid w:val="00491A7B"/>
    <w:rsid w:val="00496B5F"/>
    <w:rsid w:val="004A2E10"/>
    <w:rsid w:val="004A3BF3"/>
    <w:rsid w:val="004A5A9D"/>
    <w:rsid w:val="004B17FF"/>
    <w:rsid w:val="004B1BA0"/>
    <w:rsid w:val="004B6CEE"/>
    <w:rsid w:val="004C2443"/>
    <w:rsid w:val="004C2B8D"/>
    <w:rsid w:val="004C498F"/>
    <w:rsid w:val="004C5B5A"/>
    <w:rsid w:val="004C5D29"/>
    <w:rsid w:val="004C6062"/>
    <w:rsid w:val="004C681A"/>
    <w:rsid w:val="004D26D6"/>
    <w:rsid w:val="004D436B"/>
    <w:rsid w:val="004D4D8A"/>
    <w:rsid w:val="004E01ED"/>
    <w:rsid w:val="004E1455"/>
    <w:rsid w:val="004E6A70"/>
    <w:rsid w:val="004F4F76"/>
    <w:rsid w:val="004F68EE"/>
    <w:rsid w:val="005038D5"/>
    <w:rsid w:val="00506DF4"/>
    <w:rsid w:val="00511BA4"/>
    <w:rsid w:val="005149E7"/>
    <w:rsid w:val="0052110D"/>
    <w:rsid w:val="005232D6"/>
    <w:rsid w:val="0052773C"/>
    <w:rsid w:val="0053047D"/>
    <w:rsid w:val="005333CC"/>
    <w:rsid w:val="005363F1"/>
    <w:rsid w:val="00537C1B"/>
    <w:rsid w:val="0055007C"/>
    <w:rsid w:val="00554922"/>
    <w:rsid w:val="00555282"/>
    <w:rsid w:val="005560E7"/>
    <w:rsid w:val="005612CC"/>
    <w:rsid w:val="00563029"/>
    <w:rsid w:val="00567D12"/>
    <w:rsid w:val="0057400E"/>
    <w:rsid w:val="00576062"/>
    <w:rsid w:val="00591109"/>
    <w:rsid w:val="00595582"/>
    <w:rsid w:val="0059559F"/>
    <w:rsid w:val="00597E41"/>
    <w:rsid w:val="005A2B60"/>
    <w:rsid w:val="005A41DB"/>
    <w:rsid w:val="005A49FF"/>
    <w:rsid w:val="005A7634"/>
    <w:rsid w:val="005B0217"/>
    <w:rsid w:val="005B498F"/>
    <w:rsid w:val="005B6F04"/>
    <w:rsid w:val="005B7ECC"/>
    <w:rsid w:val="005C0447"/>
    <w:rsid w:val="005C1CA2"/>
    <w:rsid w:val="005C3B45"/>
    <w:rsid w:val="005C739F"/>
    <w:rsid w:val="005C73CA"/>
    <w:rsid w:val="005D4768"/>
    <w:rsid w:val="005D5860"/>
    <w:rsid w:val="005E2CAB"/>
    <w:rsid w:val="005E429E"/>
    <w:rsid w:val="005E78F8"/>
    <w:rsid w:val="005E7AC9"/>
    <w:rsid w:val="005F1C99"/>
    <w:rsid w:val="005F658C"/>
    <w:rsid w:val="00601ED4"/>
    <w:rsid w:val="006030BC"/>
    <w:rsid w:val="00603568"/>
    <w:rsid w:val="00603CFE"/>
    <w:rsid w:val="00605177"/>
    <w:rsid w:val="0061083F"/>
    <w:rsid w:val="00612866"/>
    <w:rsid w:val="00616EB5"/>
    <w:rsid w:val="006266A5"/>
    <w:rsid w:val="006269D4"/>
    <w:rsid w:val="00631252"/>
    <w:rsid w:val="006327D8"/>
    <w:rsid w:val="0064070A"/>
    <w:rsid w:val="006431A9"/>
    <w:rsid w:val="00643A01"/>
    <w:rsid w:val="00650DCD"/>
    <w:rsid w:val="00651345"/>
    <w:rsid w:val="00651D44"/>
    <w:rsid w:val="00651E66"/>
    <w:rsid w:val="00655551"/>
    <w:rsid w:val="006574D2"/>
    <w:rsid w:val="006619B7"/>
    <w:rsid w:val="00663563"/>
    <w:rsid w:val="00663F76"/>
    <w:rsid w:val="006676D4"/>
    <w:rsid w:val="00675535"/>
    <w:rsid w:val="00680258"/>
    <w:rsid w:val="00681359"/>
    <w:rsid w:val="0069157C"/>
    <w:rsid w:val="00696262"/>
    <w:rsid w:val="006A2D58"/>
    <w:rsid w:val="006A5297"/>
    <w:rsid w:val="006A56D2"/>
    <w:rsid w:val="006A718B"/>
    <w:rsid w:val="006B693B"/>
    <w:rsid w:val="006B6A2A"/>
    <w:rsid w:val="006C3A4F"/>
    <w:rsid w:val="006C4845"/>
    <w:rsid w:val="006D039C"/>
    <w:rsid w:val="006D6BC1"/>
    <w:rsid w:val="006E1961"/>
    <w:rsid w:val="006E2BFC"/>
    <w:rsid w:val="006E3835"/>
    <w:rsid w:val="006E5C57"/>
    <w:rsid w:val="006F22A5"/>
    <w:rsid w:val="006F32C9"/>
    <w:rsid w:val="006F6FF8"/>
    <w:rsid w:val="007025D7"/>
    <w:rsid w:val="00702C73"/>
    <w:rsid w:val="00703879"/>
    <w:rsid w:val="00710575"/>
    <w:rsid w:val="00713394"/>
    <w:rsid w:val="00716FA9"/>
    <w:rsid w:val="00720C48"/>
    <w:rsid w:val="00722F3E"/>
    <w:rsid w:val="00724677"/>
    <w:rsid w:val="00725AC2"/>
    <w:rsid w:val="00732880"/>
    <w:rsid w:val="007416B9"/>
    <w:rsid w:val="007422FD"/>
    <w:rsid w:val="00743E46"/>
    <w:rsid w:val="00747C45"/>
    <w:rsid w:val="00754473"/>
    <w:rsid w:val="00756FDB"/>
    <w:rsid w:val="007629B6"/>
    <w:rsid w:val="00762A5C"/>
    <w:rsid w:val="007665BF"/>
    <w:rsid w:val="00771B2A"/>
    <w:rsid w:val="007757CE"/>
    <w:rsid w:val="00775800"/>
    <w:rsid w:val="0077796B"/>
    <w:rsid w:val="00784702"/>
    <w:rsid w:val="007861BC"/>
    <w:rsid w:val="00787381"/>
    <w:rsid w:val="0079180E"/>
    <w:rsid w:val="007938E9"/>
    <w:rsid w:val="00793EB5"/>
    <w:rsid w:val="007950CC"/>
    <w:rsid w:val="0079538B"/>
    <w:rsid w:val="007961B8"/>
    <w:rsid w:val="00797624"/>
    <w:rsid w:val="007A1F94"/>
    <w:rsid w:val="007A3D5F"/>
    <w:rsid w:val="007A4828"/>
    <w:rsid w:val="007B093D"/>
    <w:rsid w:val="007B0CD2"/>
    <w:rsid w:val="007B2069"/>
    <w:rsid w:val="007B5418"/>
    <w:rsid w:val="007C04A1"/>
    <w:rsid w:val="007C21FA"/>
    <w:rsid w:val="007C3D17"/>
    <w:rsid w:val="007D13B1"/>
    <w:rsid w:val="007D4351"/>
    <w:rsid w:val="007D7019"/>
    <w:rsid w:val="007E18DB"/>
    <w:rsid w:val="007E6F1C"/>
    <w:rsid w:val="007E6FEC"/>
    <w:rsid w:val="007F58EE"/>
    <w:rsid w:val="00804C69"/>
    <w:rsid w:val="0080711D"/>
    <w:rsid w:val="00814EF6"/>
    <w:rsid w:val="008155CD"/>
    <w:rsid w:val="00824822"/>
    <w:rsid w:val="00826A89"/>
    <w:rsid w:val="008326E6"/>
    <w:rsid w:val="00833325"/>
    <w:rsid w:val="008357A4"/>
    <w:rsid w:val="00840A41"/>
    <w:rsid w:val="00842F3C"/>
    <w:rsid w:val="008452A3"/>
    <w:rsid w:val="008505D1"/>
    <w:rsid w:val="00852B37"/>
    <w:rsid w:val="00855158"/>
    <w:rsid w:val="00857EE8"/>
    <w:rsid w:val="00860E9A"/>
    <w:rsid w:val="008610AE"/>
    <w:rsid w:val="0086464B"/>
    <w:rsid w:val="008647FC"/>
    <w:rsid w:val="00864CA8"/>
    <w:rsid w:val="00865B60"/>
    <w:rsid w:val="00865E2D"/>
    <w:rsid w:val="00865F1B"/>
    <w:rsid w:val="00866D68"/>
    <w:rsid w:val="00870E6C"/>
    <w:rsid w:val="008730BB"/>
    <w:rsid w:val="00873618"/>
    <w:rsid w:val="00874499"/>
    <w:rsid w:val="00875846"/>
    <w:rsid w:val="00877267"/>
    <w:rsid w:val="00884486"/>
    <w:rsid w:val="00886737"/>
    <w:rsid w:val="008871A9"/>
    <w:rsid w:val="008916BA"/>
    <w:rsid w:val="00892176"/>
    <w:rsid w:val="008A1DB7"/>
    <w:rsid w:val="008A403A"/>
    <w:rsid w:val="008A4C13"/>
    <w:rsid w:val="008A71E4"/>
    <w:rsid w:val="008B604D"/>
    <w:rsid w:val="008B6DF4"/>
    <w:rsid w:val="008C54A9"/>
    <w:rsid w:val="008C6556"/>
    <w:rsid w:val="008D5861"/>
    <w:rsid w:val="008D72AA"/>
    <w:rsid w:val="008D7AB2"/>
    <w:rsid w:val="008D7EC3"/>
    <w:rsid w:val="008E4020"/>
    <w:rsid w:val="008E67C3"/>
    <w:rsid w:val="008F589F"/>
    <w:rsid w:val="008F76A9"/>
    <w:rsid w:val="008F7E67"/>
    <w:rsid w:val="00900DBF"/>
    <w:rsid w:val="009048B9"/>
    <w:rsid w:val="00904E91"/>
    <w:rsid w:val="009122CF"/>
    <w:rsid w:val="00915886"/>
    <w:rsid w:val="009214DC"/>
    <w:rsid w:val="00927027"/>
    <w:rsid w:val="0093014B"/>
    <w:rsid w:val="009344BA"/>
    <w:rsid w:val="009356A2"/>
    <w:rsid w:val="009446AE"/>
    <w:rsid w:val="0094583D"/>
    <w:rsid w:val="00946E61"/>
    <w:rsid w:val="00947F78"/>
    <w:rsid w:val="00953234"/>
    <w:rsid w:val="0095337B"/>
    <w:rsid w:val="009563AE"/>
    <w:rsid w:val="00961EAF"/>
    <w:rsid w:val="0096278F"/>
    <w:rsid w:val="00964237"/>
    <w:rsid w:val="009726E1"/>
    <w:rsid w:val="00972A04"/>
    <w:rsid w:val="009745BF"/>
    <w:rsid w:val="00977591"/>
    <w:rsid w:val="00980E75"/>
    <w:rsid w:val="009902CB"/>
    <w:rsid w:val="009922FD"/>
    <w:rsid w:val="00993D60"/>
    <w:rsid w:val="00994BE0"/>
    <w:rsid w:val="00994FB5"/>
    <w:rsid w:val="009A25B1"/>
    <w:rsid w:val="009A4608"/>
    <w:rsid w:val="009A6A57"/>
    <w:rsid w:val="009A70BF"/>
    <w:rsid w:val="009A7567"/>
    <w:rsid w:val="009B1A15"/>
    <w:rsid w:val="009B61E9"/>
    <w:rsid w:val="009C0852"/>
    <w:rsid w:val="009C13CA"/>
    <w:rsid w:val="009C1698"/>
    <w:rsid w:val="009C32C6"/>
    <w:rsid w:val="009C665F"/>
    <w:rsid w:val="009C7513"/>
    <w:rsid w:val="009D3882"/>
    <w:rsid w:val="009D7E38"/>
    <w:rsid w:val="009E0445"/>
    <w:rsid w:val="009E0773"/>
    <w:rsid w:val="009E095B"/>
    <w:rsid w:val="009E1846"/>
    <w:rsid w:val="009E25AA"/>
    <w:rsid w:val="009E292A"/>
    <w:rsid w:val="009E2C9D"/>
    <w:rsid w:val="009E61BC"/>
    <w:rsid w:val="009E74B4"/>
    <w:rsid w:val="009E78FF"/>
    <w:rsid w:val="00A01494"/>
    <w:rsid w:val="00A03B89"/>
    <w:rsid w:val="00A048A6"/>
    <w:rsid w:val="00A10418"/>
    <w:rsid w:val="00A1495F"/>
    <w:rsid w:val="00A22FA9"/>
    <w:rsid w:val="00A23C43"/>
    <w:rsid w:val="00A25024"/>
    <w:rsid w:val="00A268FD"/>
    <w:rsid w:val="00A30C19"/>
    <w:rsid w:val="00A3426A"/>
    <w:rsid w:val="00A35F8F"/>
    <w:rsid w:val="00A41377"/>
    <w:rsid w:val="00A4263D"/>
    <w:rsid w:val="00A509B8"/>
    <w:rsid w:val="00A52AB9"/>
    <w:rsid w:val="00A61332"/>
    <w:rsid w:val="00A6210B"/>
    <w:rsid w:val="00A647B3"/>
    <w:rsid w:val="00A64EBF"/>
    <w:rsid w:val="00A657C1"/>
    <w:rsid w:val="00A70953"/>
    <w:rsid w:val="00A70C79"/>
    <w:rsid w:val="00A71200"/>
    <w:rsid w:val="00A719F6"/>
    <w:rsid w:val="00A72647"/>
    <w:rsid w:val="00A7323A"/>
    <w:rsid w:val="00A831B4"/>
    <w:rsid w:val="00A93E4F"/>
    <w:rsid w:val="00A948D0"/>
    <w:rsid w:val="00A94E50"/>
    <w:rsid w:val="00A97798"/>
    <w:rsid w:val="00AA275D"/>
    <w:rsid w:val="00AA5213"/>
    <w:rsid w:val="00AA65A6"/>
    <w:rsid w:val="00AA6789"/>
    <w:rsid w:val="00AB0BAA"/>
    <w:rsid w:val="00AB3AA1"/>
    <w:rsid w:val="00AC1D8E"/>
    <w:rsid w:val="00AC48FA"/>
    <w:rsid w:val="00AC5840"/>
    <w:rsid w:val="00AD0240"/>
    <w:rsid w:val="00AD4137"/>
    <w:rsid w:val="00AE5A6E"/>
    <w:rsid w:val="00AF2D68"/>
    <w:rsid w:val="00AF4544"/>
    <w:rsid w:val="00B0297B"/>
    <w:rsid w:val="00B037BA"/>
    <w:rsid w:val="00B0528C"/>
    <w:rsid w:val="00B1357C"/>
    <w:rsid w:val="00B17BD7"/>
    <w:rsid w:val="00B20139"/>
    <w:rsid w:val="00B218DA"/>
    <w:rsid w:val="00B32E69"/>
    <w:rsid w:val="00B342FA"/>
    <w:rsid w:val="00B46466"/>
    <w:rsid w:val="00B53E8B"/>
    <w:rsid w:val="00B774D2"/>
    <w:rsid w:val="00B8015A"/>
    <w:rsid w:val="00B8166F"/>
    <w:rsid w:val="00B81B5F"/>
    <w:rsid w:val="00B82A57"/>
    <w:rsid w:val="00B91A9B"/>
    <w:rsid w:val="00B920BB"/>
    <w:rsid w:val="00BA053B"/>
    <w:rsid w:val="00BA2F09"/>
    <w:rsid w:val="00BA6D53"/>
    <w:rsid w:val="00BB35AE"/>
    <w:rsid w:val="00BC03A1"/>
    <w:rsid w:val="00BC0D25"/>
    <w:rsid w:val="00BD2505"/>
    <w:rsid w:val="00BD7E99"/>
    <w:rsid w:val="00BE592D"/>
    <w:rsid w:val="00BE69BD"/>
    <w:rsid w:val="00BF3FAA"/>
    <w:rsid w:val="00BF4547"/>
    <w:rsid w:val="00BF52B0"/>
    <w:rsid w:val="00BF5697"/>
    <w:rsid w:val="00BF728F"/>
    <w:rsid w:val="00C129BE"/>
    <w:rsid w:val="00C13579"/>
    <w:rsid w:val="00C14CCC"/>
    <w:rsid w:val="00C1695E"/>
    <w:rsid w:val="00C22C1C"/>
    <w:rsid w:val="00C272E7"/>
    <w:rsid w:val="00C27D6C"/>
    <w:rsid w:val="00C27EE1"/>
    <w:rsid w:val="00C33936"/>
    <w:rsid w:val="00C33F2E"/>
    <w:rsid w:val="00C34936"/>
    <w:rsid w:val="00C34C14"/>
    <w:rsid w:val="00C355B9"/>
    <w:rsid w:val="00C3575B"/>
    <w:rsid w:val="00C37EF1"/>
    <w:rsid w:val="00C401C4"/>
    <w:rsid w:val="00C41680"/>
    <w:rsid w:val="00C5735F"/>
    <w:rsid w:val="00C60A25"/>
    <w:rsid w:val="00C64773"/>
    <w:rsid w:val="00C765C5"/>
    <w:rsid w:val="00C775CE"/>
    <w:rsid w:val="00C82479"/>
    <w:rsid w:val="00C8526A"/>
    <w:rsid w:val="00C867F0"/>
    <w:rsid w:val="00C97248"/>
    <w:rsid w:val="00CA06D8"/>
    <w:rsid w:val="00CA345A"/>
    <w:rsid w:val="00CB261E"/>
    <w:rsid w:val="00CB2687"/>
    <w:rsid w:val="00CB49FF"/>
    <w:rsid w:val="00CB6368"/>
    <w:rsid w:val="00CB7EED"/>
    <w:rsid w:val="00CC02CF"/>
    <w:rsid w:val="00CC086A"/>
    <w:rsid w:val="00CC1774"/>
    <w:rsid w:val="00CD0E24"/>
    <w:rsid w:val="00CD0F66"/>
    <w:rsid w:val="00CD364B"/>
    <w:rsid w:val="00CD40D2"/>
    <w:rsid w:val="00CE23B8"/>
    <w:rsid w:val="00CE284E"/>
    <w:rsid w:val="00CE50D7"/>
    <w:rsid w:val="00CF4CBE"/>
    <w:rsid w:val="00D00344"/>
    <w:rsid w:val="00D07561"/>
    <w:rsid w:val="00D14B2B"/>
    <w:rsid w:val="00D1754D"/>
    <w:rsid w:val="00D209EA"/>
    <w:rsid w:val="00D2223F"/>
    <w:rsid w:val="00D274A4"/>
    <w:rsid w:val="00D277AF"/>
    <w:rsid w:val="00D31163"/>
    <w:rsid w:val="00D320B1"/>
    <w:rsid w:val="00D33AFD"/>
    <w:rsid w:val="00D36489"/>
    <w:rsid w:val="00D369E9"/>
    <w:rsid w:val="00D42195"/>
    <w:rsid w:val="00D44A55"/>
    <w:rsid w:val="00D50704"/>
    <w:rsid w:val="00D5242B"/>
    <w:rsid w:val="00D569D3"/>
    <w:rsid w:val="00D5760A"/>
    <w:rsid w:val="00D61410"/>
    <w:rsid w:val="00D702F0"/>
    <w:rsid w:val="00D73989"/>
    <w:rsid w:val="00D75AF6"/>
    <w:rsid w:val="00D8181D"/>
    <w:rsid w:val="00D81B26"/>
    <w:rsid w:val="00D86BEC"/>
    <w:rsid w:val="00D968D8"/>
    <w:rsid w:val="00DA563D"/>
    <w:rsid w:val="00DA7277"/>
    <w:rsid w:val="00DB2497"/>
    <w:rsid w:val="00DB3627"/>
    <w:rsid w:val="00DB4724"/>
    <w:rsid w:val="00DB59B4"/>
    <w:rsid w:val="00DB6944"/>
    <w:rsid w:val="00DB754A"/>
    <w:rsid w:val="00DC4746"/>
    <w:rsid w:val="00DE7149"/>
    <w:rsid w:val="00DF1942"/>
    <w:rsid w:val="00DF70B4"/>
    <w:rsid w:val="00E0314C"/>
    <w:rsid w:val="00E13128"/>
    <w:rsid w:val="00E1508F"/>
    <w:rsid w:val="00E17A39"/>
    <w:rsid w:val="00E24368"/>
    <w:rsid w:val="00E261DF"/>
    <w:rsid w:val="00E2708E"/>
    <w:rsid w:val="00E27240"/>
    <w:rsid w:val="00E27EDD"/>
    <w:rsid w:val="00E30584"/>
    <w:rsid w:val="00E310B9"/>
    <w:rsid w:val="00E3366F"/>
    <w:rsid w:val="00E37E1B"/>
    <w:rsid w:val="00E4588D"/>
    <w:rsid w:val="00E562C0"/>
    <w:rsid w:val="00E57FAF"/>
    <w:rsid w:val="00E60887"/>
    <w:rsid w:val="00E6346E"/>
    <w:rsid w:val="00E672D6"/>
    <w:rsid w:val="00E67420"/>
    <w:rsid w:val="00E76024"/>
    <w:rsid w:val="00E79E49"/>
    <w:rsid w:val="00E856A2"/>
    <w:rsid w:val="00E91F31"/>
    <w:rsid w:val="00E926CE"/>
    <w:rsid w:val="00E967AD"/>
    <w:rsid w:val="00E96884"/>
    <w:rsid w:val="00EA3DDC"/>
    <w:rsid w:val="00EA5435"/>
    <w:rsid w:val="00EA5F47"/>
    <w:rsid w:val="00EB455E"/>
    <w:rsid w:val="00EC79DE"/>
    <w:rsid w:val="00ED0AF2"/>
    <w:rsid w:val="00ED4ACE"/>
    <w:rsid w:val="00ED6CC5"/>
    <w:rsid w:val="00EE4D35"/>
    <w:rsid w:val="00EF111C"/>
    <w:rsid w:val="00EF2DA7"/>
    <w:rsid w:val="00EF2EB3"/>
    <w:rsid w:val="00EF5F49"/>
    <w:rsid w:val="00EF60E7"/>
    <w:rsid w:val="00EF63E4"/>
    <w:rsid w:val="00F036E0"/>
    <w:rsid w:val="00F041E2"/>
    <w:rsid w:val="00F1412B"/>
    <w:rsid w:val="00F1463D"/>
    <w:rsid w:val="00F15BFA"/>
    <w:rsid w:val="00F203DE"/>
    <w:rsid w:val="00F22129"/>
    <w:rsid w:val="00F23064"/>
    <w:rsid w:val="00F314A4"/>
    <w:rsid w:val="00F34752"/>
    <w:rsid w:val="00F34FAB"/>
    <w:rsid w:val="00F35A6B"/>
    <w:rsid w:val="00F36394"/>
    <w:rsid w:val="00F40FAA"/>
    <w:rsid w:val="00F435AA"/>
    <w:rsid w:val="00F500F4"/>
    <w:rsid w:val="00F53438"/>
    <w:rsid w:val="00F53D34"/>
    <w:rsid w:val="00F5738A"/>
    <w:rsid w:val="00F612D4"/>
    <w:rsid w:val="00F626D1"/>
    <w:rsid w:val="00F62A41"/>
    <w:rsid w:val="00F67AEA"/>
    <w:rsid w:val="00F722ED"/>
    <w:rsid w:val="00F7389E"/>
    <w:rsid w:val="00F77F1D"/>
    <w:rsid w:val="00F81991"/>
    <w:rsid w:val="00F8594B"/>
    <w:rsid w:val="00F85D3C"/>
    <w:rsid w:val="00F87CCB"/>
    <w:rsid w:val="00F9345F"/>
    <w:rsid w:val="00F95363"/>
    <w:rsid w:val="00F96797"/>
    <w:rsid w:val="00FA48C7"/>
    <w:rsid w:val="00FB3708"/>
    <w:rsid w:val="00FB51FB"/>
    <w:rsid w:val="00FB73C1"/>
    <w:rsid w:val="00FD2A46"/>
    <w:rsid w:val="00FD6CE0"/>
    <w:rsid w:val="00FE30A5"/>
    <w:rsid w:val="00FE7D94"/>
    <w:rsid w:val="00FF0765"/>
    <w:rsid w:val="00FF558A"/>
    <w:rsid w:val="00FF5980"/>
    <w:rsid w:val="00FF6ED6"/>
    <w:rsid w:val="0113056E"/>
    <w:rsid w:val="014C9FA8"/>
    <w:rsid w:val="01756F45"/>
    <w:rsid w:val="01E9CB33"/>
    <w:rsid w:val="01FF5265"/>
    <w:rsid w:val="0286F46C"/>
    <w:rsid w:val="03AD1C6D"/>
    <w:rsid w:val="03C9D1F5"/>
    <w:rsid w:val="041053BB"/>
    <w:rsid w:val="04F74428"/>
    <w:rsid w:val="05B8A929"/>
    <w:rsid w:val="063B092D"/>
    <w:rsid w:val="06D1E555"/>
    <w:rsid w:val="071B8D78"/>
    <w:rsid w:val="07432E25"/>
    <w:rsid w:val="088AF50A"/>
    <w:rsid w:val="091E020A"/>
    <w:rsid w:val="096758CD"/>
    <w:rsid w:val="0A2F8453"/>
    <w:rsid w:val="0ABE6B18"/>
    <w:rsid w:val="0B81EF0B"/>
    <w:rsid w:val="0BDE2551"/>
    <w:rsid w:val="0CA067D9"/>
    <w:rsid w:val="0DA43D58"/>
    <w:rsid w:val="0DAD359E"/>
    <w:rsid w:val="0DB73601"/>
    <w:rsid w:val="0E6F32B0"/>
    <w:rsid w:val="108B3CF7"/>
    <w:rsid w:val="10D9C958"/>
    <w:rsid w:val="1124F124"/>
    <w:rsid w:val="13B8BC8C"/>
    <w:rsid w:val="140252D0"/>
    <w:rsid w:val="141CF89C"/>
    <w:rsid w:val="1434FCE9"/>
    <w:rsid w:val="14956FC9"/>
    <w:rsid w:val="14A8E6DF"/>
    <w:rsid w:val="14E2709C"/>
    <w:rsid w:val="168D635C"/>
    <w:rsid w:val="16C40288"/>
    <w:rsid w:val="16D734F1"/>
    <w:rsid w:val="180CCC1F"/>
    <w:rsid w:val="191A1AC3"/>
    <w:rsid w:val="195EDABF"/>
    <w:rsid w:val="19D67DF8"/>
    <w:rsid w:val="19E8E625"/>
    <w:rsid w:val="19FF5CDE"/>
    <w:rsid w:val="1A27506D"/>
    <w:rsid w:val="1A9334DE"/>
    <w:rsid w:val="1ABED0A7"/>
    <w:rsid w:val="1B4C5267"/>
    <w:rsid w:val="1BC3D962"/>
    <w:rsid w:val="1BDAF0A3"/>
    <w:rsid w:val="1C464968"/>
    <w:rsid w:val="1D02992D"/>
    <w:rsid w:val="1D5FA9C3"/>
    <w:rsid w:val="1E7FD2DA"/>
    <w:rsid w:val="1E9E698E"/>
    <w:rsid w:val="1F2A1F7D"/>
    <w:rsid w:val="1F4A1990"/>
    <w:rsid w:val="1FC0A3CA"/>
    <w:rsid w:val="1FEE8483"/>
    <w:rsid w:val="2068E2BE"/>
    <w:rsid w:val="21A47437"/>
    <w:rsid w:val="22B5E072"/>
    <w:rsid w:val="23037CC6"/>
    <w:rsid w:val="2371DAB1"/>
    <w:rsid w:val="25A125CF"/>
    <w:rsid w:val="25B0AFF4"/>
    <w:rsid w:val="26178D9A"/>
    <w:rsid w:val="272950D5"/>
    <w:rsid w:val="279CA60C"/>
    <w:rsid w:val="295F750D"/>
    <w:rsid w:val="2988CFA4"/>
    <w:rsid w:val="2BED2153"/>
    <w:rsid w:val="2C427080"/>
    <w:rsid w:val="2C4953F9"/>
    <w:rsid w:val="2C5F1F73"/>
    <w:rsid w:val="2E160ABD"/>
    <w:rsid w:val="2E63EF9F"/>
    <w:rsid w:val="3011393E"/>
    <w:rsid w:val="3164A7D2"/>
    <w:rsid w:val="31F8E01B"/>
    <w:rsid w:val="331BDD94"/>
    <w:rsid w:val="339D559B"/>
    <w:rsid w:val="33CA002B"/>
    <w:rsid w:val="34B38564"/>
    <w:rsid w:val="3518DE98"/>
    <w:rsid w:val="367BE0F4"/>
    <w:rsid w:val="36A2A9E3"/>
    <w:rsid w:val="3729419A"/>
    <w:rsid w:val="39360A34"/>
    <w:rsid w:val="393D245B"/>
    <w:rsid w:val="39BC613C"/>
    <w:rsid w:val="3C846199"/>
    <w:rsid w:val="3CDAE57A"/>
    <w:rsid w:val="3D2B0F84"/>
    <w:rsid w:val="3D39E8FA"/>
    <w:rsid w:val="3D4EE69A"/>
    <w:rsid w:val="3D706B6E"/>
    <w:rsid w:val="3E03A949"/>
    <w:rsid w:val="3E2F8A3B"/>
    <w:rsid w:val="3E7C7F58"/>
    <w:rsid w:val="3FC173D7"/>
    <w:rsid w:val="4056801A"/>
    <w:rsid w:val="4200B372"/>
    <w:rsid w:val="4335C831"/>
    <w:rsid w:val="436DCAC4"/>
    <w:rsid w:val="4398EAF9"/>
    <w:rsid w:val="44148CB5"/>
    <w:rsid w:val="458F11D4"/>
    <w:rsid w:val="45C00254"/>
    <w:rsid w:val="45E871D7"/>
    <w:rsid w:val="46B4EAA6"/>
    <w:rsid w:val="46EF3D1B"/>
    <w:rsid w:val="476514F7"/>
    <w:rsid w:val="47F07D0D"/>
    <w:rsid w:val="4849D6A9"/>
    <w:rsid w:val="49D36C9C"/>
    <w:rsid w:val="49FC8DE9"/>
    <w:rsid w:val="4A4008C5"/>
    <w:rsid w:val="4B07523E"/>
    <w:rsid w:val="4C3E8671"/>
    <w:rsid w:val="4C9080C1"/>
    <w:rsid w:val="4C9449FF"/>
    <w:rsid w:val="4CBCFCF6"/>
    <w:rsid w:val="4EAA35B8"/>
    <w:rsid w:val="4F117D06"/>
    <w:rsid w:val="4F7F72E4"/>
    <w:rsid w:val="50068CAD"/>
    <w:rsid w:val="50637D09"/>
    <w:rsid w:val="52782092"/>
    <w:rsid w:val="538A65BA"/>
    <w:rsid w:val="539C06AA"/>
    <w:rsid w:val="551B1973"/>
    <w:rsid w:val="55D3E7E1"/>
    <w:rsid w:val="5645140E"/>
    <w:rsid w:val="567A349E"/>
    <w:rsid w:val="587C8419"/>
    <w:rsid w:val="58AEC07E"/>
    <w:rsid w:val="596CC9FC"/>
    <w:rsid w:val="5A8062FD"/>
    <w:rsid w:val="5ABB1CD0"/>
    <w:rsid w:val="5AD4AE63"/>
    <w:rsid w:val="5AEC1EA3"/>
    <w:rsid w:val="5BD27712"/>
    <w:rsid w:val="5C7BEEBE"/>
    <w:rsid w:val="5DB8551F"/>
    <w:rsid w:val="5E136286"/>
    <w:rsid w:val="5EBB7AE5"/>
    <w:rsid w:val="5F03345B"/>
    <w:rsid w:val="5FF03130"/>
    <w:rsid w:val="60B41B68"/>
    <w:rsid w:val="6165B3A9"/>
    <w:rsid w:val="629A2320"/>
    <w:rsid w:val="62FF8F05"/>
    <w:rsid w:val="6306C6B4"/>
    <w:rsid w:val="635B69FB"/>
    <w:rsid w:val="645B9E8D"/>
    <w:rsid w:val="65B6F2F4"/>
    <w:rsid w:val="65FC3787"/>
    <w:rsid w:val="66225A4F"/>
    <w:rsid w:val="666FFEB3"/>
    <w:rsid w:val="66B40126"/>
    <w:rsid w:val="66EA6CD6"/>
    <w:rsid w:val="698A9A93"/>
    <w:rsid w:val="6A115725"/>
    <w:rsid w:val="6A5FC229"/>
    <w:rsid w:val="6BFB928A"/>
    <w:rsid w:val="6D33E7C5"/>
    <w:rsid w:val="6DE92546"/>
    <w:rsid w:val="6EC45789"/>
    <w:rsid w:val="6ED917AB"/>
    <w:rsid w:val="6EE46895"/>
    <w:rsid w:val="6F33334C"/>
    <w:rsid w:val="6FA55499"/>
    <w:rsid w:val="6FF025ED"/>
    <w:rsid w:val="70291E67"/>
    <w:rsid w:val="70932934"/>
    <w:rsid w:val="7149F3B8"/>
    <w:rsid w:val="719BAE2D"/>
    <w:rsid w:val="72361D09"/>
    <w:rsid w:val="73A5994E"/>
    <w:rsid w:val="73CB98A4"/>
    <w:rsid w:val="73E8B797"/>
    <w:rsid w:val="740688C4"/>
    <w:rsid w:val="742DBAE6"/>
    <w:rsid w:val="758E12CB"/>
    <w:rsid w:val="75A16EAF"/>
    <w:rsid w:val="769637C3"/>
    <w:rsid w:val="76CD5FCF"/>
    <w:rsid w:val="77D9DE20"/>
    <w:rsid w:val="781382F2"/>
    <w:rsid w:val="7831E97C"/>
    <w:rsid w:val="78442EDE"/>
    <w:rsid w:val="7857F894"/>
    <w:rsid w:val="78B2F788"/>
    <w:rsid w:val="78BA626B"/>
    <w:rsid w:val="78C86100"/>
    <w:rsid w:val="78DCA643"/>
    <w:rsid w:val="78E097A2"/>
    <w:rsid w:val="79281742"/>
    <w:rsid w:val="7960F5DE"/>
    <w:rsid w:val="7AA335F4"/>
    <w:rsid w:val="7B7DD2DF"/>
    <w:rsid w:val="7D0792A1"/>
    <w:rsid w:val="7D8270B7"/>
    <w:rsid w:val="7E88775B"/>
    <w:rsid w:val="7EA25882"/>
    <w:rsid w:val="7EA610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2A830491-356F-44A7-B8E4-9C67D3F2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qFormat/>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uthor">
    <w:name w:val="author"/>
    <w:basedOn w:val="DefaultParagraphFont"/>
    <w:rsid w:val="00650DCD"/>
  </w:style>
  <w:style w:type="character" w:customStyle="1" w:styleId="articletitle">
    <w:name w:val="articletitle"/>
    <w:basedOn w:val="DefaultParagraphFont"/>
    <w:rsid w:val="00650DCD"/>
  </w:style>
  <w:style w:type="character" w:customStyle="1" w:styleId="pubyear">
    <w:name w:val="pubyear"/>
    <w:basedOn w:val="DefaultParagraphFont"/>
    <w:rsid w:val="00650DCD"/>
  </w:style>
  <w:style w:type="character" w:customStyle="1" w:styleId="vol">
    <w:name w:val="vol"/>
    <w:basedOn w:val="DefaultParagraphFont"/>
    <w:rsid w:val="00650DCD"/>
  </w:style>
  <w:style w:type="character" w:customStyle="1" w:styleId="pagefirst">
    <w:name w:val="pagefirst"/>
    <w:basedOn w:val="DefaultParagraphFont"/>
    <w:rsid w:val="00650DCD"/>
  </w:style>
  <w:style w:type="character" w:customStyle="1" w:styleId="pagelast">
    <w:name w:val="pagelast"/>
    <w:basedOn w:val="DefaultParagraphFont"/>
    <w:rsid w:val="00650DCD"/>
  </w:style>
  <w:style w:type="paragraph" w:styleId="Caption">
    <w:name w:val="caption"/>
    <w:basedOn w:val="Normal"/>
    <w:next w:val="Normal"/>
    <w:uiPriority w:val="35"/>
    <w:semiHidden/>
    <w:unhideWhenUsed/>
    <w:qFormat/>
    <w:rsid w:val="0013763C"/>
    <w:pPr>
      <w:spacing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F203DE"/>
    <w:rPr>
      <w:color w:val="808080"/>
      <w:shd w:val="clear" w:color="auto" w:fill="E6E6E6"/>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12670">
      <w:bodyDiv w:val="1"/>
      <w:marLeft w:val="0"/>
      <w:marRight w:val="0"/>
      <w:marTop w:val="0"/>
      <w:marBottom w:val="0"/>
      <w:divBdr>
        <w:top w:val="none" w:sz="0" w:space="0" w:color="auto"/>
        <w:left w:val="none" w:sz="0" w:space="0" w:color="auto"/>
        <w:bottom w:val="none" w:sz="0" w:space="0" w:color="auto"/>
        <w:right w:val="none" w:sz="0" w:space="0" w:color="auto"/>
      </w:divBdr>
    </w:div>
    <w:div w:id="76754608">
      <w:bodyDiv w:val="1"/>
      <w:marLeft w:val="0"/>
      <w:marRight w:val="0"/>
      <w:marTop w:val="0"/>
      <w:marBottom w:val="0"/>
      <w:divBdr>
        <w:top w:val="none" w:sz="0" w:space="0" w:color="auto"/>
        <w:left w:val="none" w:sz="0" w:space="0" w:color="auto"/>
        <w:bottom w:val="none" w:sz="0" w:space="0" w:color="auto"/>
        <w:right w:val="none" w:sz="0" w:space="0" w:color="auto"/>
      </w:divBdr>
    </w:div>
    <w:div w:id="100733275">
      <w:bodyDiv w:val="1"/>
      <w:marLeft w:val="0"/>
      <w:marRight w:val="0"/>
      <w:marTop w:val="0"/>
      <w:marBottom w:val="0"/>
      <w:divBdr>
        <w:top w:val="none" w:sz="0" w:space="0" w:color="auto"/>
        <w:left w:val="none" w:sz="0" w:space="0" w:color="auto"/>
        <w:bottom w:val="none" w:sz="0" w:space="0" w:color="auto"/>
        <w:right w:val="none" w:sz="0" w:space="0" w:color="auto"/>
      </w:divBdr>
    </w:div>
    <w:div w:id="118114013">
      <w:bodyDiv w:val="1"/>
      <w:marLeft w:val="0"/>
      <w:marRight w:val="0"/>
      <w:marTop w:val="0"/>
      <w:marBottom w:val="0"/>
      <w:divBdr>
        <w:top w:val="none" w:sz="0" w:space="0" w:color="auto"/>
        <w:left w:val="none" w:sz="0" w:space="0" w:color="auto"/>
        <w:bottom w:val="none" w:sz="0" w:space="0" w:color="auto"/>
        <w:right w:val="none" w:sz="0" w:space="0" w:color="auto"/>
      </w:divBdr>
    </w:div>
    <w:div w:id="301929649">
      <w:bodyDiv w:val="1"/>
      <w:marLeft w:val="0"/>
      <w:marRight w:val="0"/>
      <w:marTop w:val="0"/>
      <w:marBottom w:val="0"/>
      <w:divBdr>
        <w:top w:val="none" w:sz="0" w:space="0" w:color="auto"/>
        <w:left w:val="none" w:sz="0" w:space="0" w:color="auto"/>
        <w:bottom w:val="none" w:sz="0" w:space="0" w:color="auto"/>
        <w:right w:val="none" w:sz="0" w:space="0" w:color="auto"/>
      </w:divBdr>
    </w:div>
    <w:div w:id="303244314">
      <w:bodyDiv w:val="1"/>
      <w:marLeft w:val="0"/>
      <w:marRight w:val="0"/>
      <w:marTop w:val="0"/>
      <w:marBottom w:val="0"/>
      <w:divBdr>
        <w:top w:val="none" w:sz="0" w:space="0" w:color="auto"/>
        <w:left w:val="none" w:sz="0" w:space="0" w:color="auto"/>
        <w:bottom w:val="none" w:sz="0" w:space="0" w:color="auto"/>
        <w:right w:val="none" w:sz="0" w:space="0" w:color="auto"/>
      </w:divBdr>
    </w:div>
    <w:div w:id="343021125">
      <w:bodyDiv w:val="1"/>
      <w:marLeft w:val="0"/>
      <w:marRight w:val="0"/>
      <w:marTop w:val="0"/>
      <w:marBottom w:val="0"/>
      <w:divBdr>
        <w:top w:val="none" w:sz="0" w:space="0" w:color="auto"/>
        <w:left w:val="none" w:sz="0" w:space="0" w:color="auto"/>
        <w:bottom w:val="none" w:sz="0" w:space="0" w:color="auto"/>
        <w:right w:val="none" w:sz="0" w:space="0" w:color="auto"/>
      </w:divBdr>
    </w:div>
    <w:div w:id="47988689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56551115">
      <w:bodyDiv w:val="1"/>
      <w:marLeft w:val="0"/>
      <w:marRight w:val="0"/>
      <w:marTop w:val="0"/>
      <w:marBottom w:val="0"/>
      <w:divBdr>
        <w:top w:val="none" w:sz="0" w:space="0" w:color="auto"/>
        <w:left w:val="none" w:sz="0" w:space="0" w:color="auto"/>
        <w:bottom w:val="none" w:sz="0" w:space="0" w:color="auto"/>
        <w:right w:val="none" w:sz="0" w:space="0" w:color="auto"/>
      </w:divBdr>
    </w:div>
    <w:div w:id="674697926">
      <w:bodyDiv w:val="1"/>
      <w:marLeft w:val="0"/>
      <w:marRight w:val="0"/>
      <w:marTop w:val="0"/>
      <w:marBottom w:val="0"/>
      <w:divBdr>
        <w:top w:val="none" w:sz="0" w:space="0" w:color="auto"/>
        <w:left w:val="none" w:sz="0" w:space="0" w:color="auto"/>
        <w:bottom w:val="none" w:sz="0" w:space="0" w:color="auto"/>
        <w:right w:val="none" w:sz="0" w:space="0" w:color="auto"/>
      </w:divBdr>
    </w:div>
    <w:div w:id="720521934">
      <w:bodyDiv w:val="1"/>
      <w:marLeft w:val="0"/>
      <w:marRight w:val="0"/>
      <w:marTop w:val="0"/>
      <w:marBottom w:val="0"/>
      <w:divBdr>
        <w:top w:val="none" w:sz="0" w:space="0" w:color="auto"/>
        <w:left w:val="none" w:sz="0" w:space="0" w:color="auto"/>
        <w:bottom w:val="none" w:sz="0" w:space="0" w:color="auto"/>
        <w:right w:val="none" w:sz="0" w:space="0" w:color="auto"/>
      </w:divBdr>
    </w:div>
    <w:div w:id="879248100">
      <w:bodyDiv w:val="1"/>
      <w:marLeft w:val="0"/>
      <w:marRight w:val="0"/>
      <w:marTop w:val="0"/>
      <w:marBottom w:val="0"/>
      <w:divBdr>
        <w:top w:val="none" w:sz="0" w:space="0" w:color="auto"/>
        <w:left w:val="none" w:sz="0" w:space="0" w:color="auto"/>
        <w:bottom w:val="none" w:sz="0" w:space="0" w:color="auto"/>
        <w:right w:val="none" w:sz="0" w:space="0" w:color="auto"/>
      </w:divBdr>
    </w:div>
    <w:div w:id="934704398">
      <w:bodyDiv w:val="1"/>
      <w:marLeft w:val="0"/>
      <w:marRight w:val="0"/>
      <w:marTop w:val="0"/>
      <w:marBottom w:val="0"/>
      <w:divBdr>
        <w:top w:val="none" w:sz="0" w:space="0" w:color="auto"/>
        <w:left w:val="none" w:sz="0" w:space="0" w:color="auto"/>
        <w:bottom w:val="none" w:sz="0" w:space="0" w:color="auto"/>
        <w:right w:val="none" w:sz="0" w:space="0" w:color="auto"/>
      </w:divBdr>
    </w:div>
    <w:div w:id="1061947957">
      <w:bodyDiv w:val="1"/>
      <w:marLeft w:val="0"/>
      <w:marRight w:val="0"/>
      <w:marTop w:val="0"/>
      <w:marBottom w:val="0"/>
      <w:divBdr>
        <w:top w:val="none" w:sz="0" w:space="0" w:color="auto"/>
        <w:left w:val="none" w:sz="0" w:space="0" w:color="auto"/>
        <w:bottom w:val="none" w:sz="0" w:space="0" w:color="auto"/>
        <w:right w:val="none" w:sz="0" w:space="0" w:color="auto"/>
      </w:divBdr>
    </w:div>
    <w:div w:id="1071004981">
      <w:bodyDiv w:val="1"/>
      <w:marLeft w:val="0"/>
      <w:marRight w:val="0"/>
      <w:marTop w:val="0"/>
      <w:marBottom w:val="0"/>
      <w:divBdr>
        <w:top w:val="none" w:sz="0" w:space="0" w:color="auto"/>
        <w:left w:val="none" w:sz="0" w:space="0" w:color="auto"/>
        <w:bottom w:val="none" w:sz="0" w:space="0" w:color="auto"/>
        <w:right w:val="none" w:sz="0" w:space="0" w:color="auto"/>
      </w:divBdr>
    </w:div>
    <w:div w:id="1162813488">
      <w:bodyDiv w:val="1"/>
      <w:marLeft w:val="0"/>
      <w:marRight w:val="0"/>
      <w:marTop w:val="0"/>
      <w:marBottom w:val="0"/>
      <w:divBdr>
        <w:top w:val="none" w:sz="0" w:space="0" w:color="auto"/>
        <w:left w:val="none" w:sz="0" w:space="0" w:color="auto"/>
        <w:bottom w:val="none" w:sz="0" w:space="0" w:color="auto"/>
        <w:right w:val="none" w:sz="0" w:space="0" w:color="auto"/>
      </w:divBdr>
    </w:div>
    <w:div w:id="1192185664">
      <w:bodyDiv w:val="1"/>
      <w:marLeft w:val="0"/>
      <w:marRight w:val="0"/>
      <w:marTop w:val="0"/>
      <w:marBottom w:val="0"/>
      <w:divBdr>
        <w:top w:val="none" w:sz="0" w:space="0" w:color="auto"/>
        <w:left w:val="none" w:sz="0" w:space="0" w:color="auto"/>
        <w:bottom w:val="none" w:sz="0" w:space="0" w:color="auto"/>
        <w:right w:val="none" w:sz="0" w:space="0" w:color="auto"/>
      </w:divBdr>
    </w:div>
    <w:div w:id="1284851334">
      <w:bodyDiv w:val="1"/>
      <w:marLeft w:val="0"/>
      <w:marRight w:val="0"/>
      <w:marTop w:val="0"/>
      <w:marBottom w:val="0"/>
      <w:divBdr>
        <w:top w:val="none" w:sz="0" w:space="0" w:color="auto"/>
        <w:left w:val="none" w:sz="0" w:space="0" w:color="auto"/>
        <w:bottom w:val="none" w:sz="0" w:space="0" w:color="auto"/>
        <w:right w:val="none" w:sz="0" w:space="0" w:color="auto"/>
      </w:divBdr>
    </w:div>
    <w:div w:id="130615714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87745364">
      <w:bodyDiv w:val="1"/>
      <w:marLeft w:val="0"/>
      <w:marRight w:val="0"/>
      <w:marTop w:val="0"/>
      <w:marBottom w:val="0"/>
      <w:divBdr>
        <w:top w:val="none" w:sz="0" w:space="0" w:color="auto"/>
        <w:left w:val="none" w:sz="0" w:space="0" w:color="auto"/>
        <w:bottom w:val="none" w:sz="0" w:space="0" w:color="auto"/>
        <w:right w:val="none" w:sz="0" w:space="0" w:color="auto"/>
      </w:divBdr>
    </w:div>
    <w:div w:id="1624190994">
      <w:bodyDiv w:val="1"/>
      <w:marLeft w:val="0"/>
      <w:marRight w:val="0"/>
      <w:marTop w:val="0"/>
      <w:marBottom w:val="0"/>
      <w:divBdr>
        <w:top w:val="none" w:sz="0" w:space="0" w:color="auto"/>
        <w:left w:val="none" w:sz="0" w:space="0" w:color="auto"/>
        <w:bottom w:val="none" w:sz="0" w:space="0" w:color="auto"/>
        <w:right w:val="none" w:sz="0" w:space="0" w:color="auto"/>
      </w:divBdr>
    </w:div>
    <w:div w:id="1636645914">
      <w:bodyDiv w:val="1"/>
      <w:marLeft w:val="0"/>
      <w:marRight w:val="0"/>
      <w:marTop w:val="0"/>
      <w:marBottom w:val="0"/>
      <w:divBdr>
        <w:top w:val="none" w:sz="0" w:space="0" w:color="auto"/>
        <w:left w:val="none" w:sz="0" w:space="0" w:color="auto"/>
        <w:bottom w:val="none" w:sz="0" w:space="0" w:color="auto"/>
        <w:right w:val="none" w:sz="0" w:space="0" w:color="auto"/>
      </w:divBdr>
    </w:div>
    <w:div w:id="178916069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39997628">
      <w:bodyDiv w:val="1"/>
      <w:marLeft w:val="0"/>
      <w:marRight w:val="0"/>
      <w:marTop w:val="0"/>
      <w:marBottom w:val="0"/>
      <w:divBdr>
        <w:top w:val="none" w:sz="0" w:space="0" w:color="auto"/>
        <w:left w:val="none" w:sz="0" w:space="0" w:color="auto"/>
        <w:bottom w:val="none" w:sz="0" w:space="0" w:color="auto"/>
        <w:right w:val="none" w:sz="0" w:space="0" w:color="auto"/>
      </w:divBdr>
    </w:div>
    <w:div w:id="1902861408">
      <w:bodyDiv w:val="1"/>
      <w:marLeft w:val="0"/>
      <w:marRight w:val="0"/>
      <w:marTop w:val="0"/>
      <w:marBottom w:val="0"/>
      <w:divBdr>
        <w:top w:val="none" w:sz="0" w:space="0" w:color="auto"/>
        <w:left w:val="none" w:sz="0" w:space="0" w:color="auto"/>
        <w:bottom w:val="none" w:sz="0" w:space="0" w:color="auto"/>
        <w:right w:val="none" w:sz="0" w:space="0" w:color="auto"/>
      </w:divBdr>
    </w:div>
    <w:div w:id="1941718321">
      <w:bodyDiv w:val="1"/>
      <w:marLeft w:val="0"/>
      <w:marRight w:val="0"/>
      <w:marTop w:val="0"/>
      <w:marBottom w:val="0"/>
      <w:divBdr>
        <w:top w:val="none" w:sz="0" w:space="0" w:color="auto"/>
        <w:left w:val="none" w:sz="0" w:space="0" w:color="auto"/>
        <w:bottom w:val="none" w:sz="0" w:space="0" w:color="auto"/>
        <w:right w:val="none" w:sz="0" w:space="0" w:color="auto"/>
      </w:divBdr>
    </w:div>
    <w:div w:id="2057192609">
      <w:bodyDiv w:val="1"/>
      <w:marLeft w:val="0"/>
      <w:marRight w:val="0"/>
      <w:marTop w:val="0"/>
      <w:marBottom w:val="0"/>
      <w:divBdr>
        <w:top w:val="none" w:sz="0" w:space="0" w:color="auto"/>
        <w:left w:val="none" w:sz="0" w:space="0" w:color="auto"/>
        <w:bottom w:val="none" w:sz="0" w:space="0" w:color="auto"/>
        <w:right w:val="none" w:sz="0" w:space="0" w:color="auto"/>
      </w:divBdr>
    </w:div>
    <w:div w:id="213027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Quality-Initiatives-Patient-Assessment-Instruments/MMS/CallforPublicComment.html" TargetMode="Externa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nam05.safelinks.protection.outlook.com/?url=https%3A%2F%2Fwww.rand.org%2Fpubs%2Ftechnical_reports%2FTR863.html&amp;data=02%7C01%7Candrea.barbo%40yale.edu%7Cf771e3b39f84426c2ade08d803df26be%7Cdd8cbebb21394df8b4114e3e87abeb5c%7C0%7C0%7C637263604566798401&amp;sdata=HgfRHcXq0aLls%2Fa%2BGdwvXjK9UtIIScWICxfzUn5TwMA%3D&amp;reserved=0" TargetMode="External"/><Relationship Id="rId17" Type="http://schemas.openxmlformats.org/officeDocument/2006/relationships/image" Target="media/image4.wmf"/><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s://doi.org/10.1002/sim.753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documenttasks/documenttasks1.xml><?xml version="1.0" encoding="utf-8"?>
<t:Tasks xmlns:t="http://schemas.microsoft.com/office/tasks/2019/documenttasks">
  <t:Task id="{ABB1185C-A847-4FCA-88DD-CE18D7008DDF}">
    <t:Anchor>
      <t:Comment id="1455921736"/>
    </t:Anchor>
    <t:History>
      <t:Event id="{98480AA5-6FEC-404E-A52F-73151983C3AA}" time="2020-12-01T23:06:07Z">
        <t:Attribution userId="S::kasia.lipska@yale.edu::2bf6097e-3682-4932-a7d1-0fa01c1d214b" userProvider="AD" userName="Lipska, Kasia"/>
        <t:Anchor>
          <t:Comment id="1455921736"/>
        </t:Anchor>
        <t:Create/>
      </t:Event>
      <t:Event id="{8D84B093-9625-40CE-BD60-A93B608BBB7D}" time="2020-12-01T23:06:07Z">
        <t:Attribution userId="S::kasia.lipska@yale.edu::2bf6097e-3682-4932-a7d1-0fa01c1d214b" userProvider="AD" userName="Lipska, Kasia"/>
        <t:Anchor>
          <t:Comment id="1455921736"/>
        </t:Anchor>
        <t:Assign userId="S::duwa.amin@yale.edu::a38501bd-27b0-45ae-9485-ae113b3dc15e" userProvider="AD" userName="Amin, Duwa"/>
      </t:Event>
      <t:Event id="{53A22F02-360A-48ED-B6E8-064FD73F7CC1}" time="2020-12-01T23:06:07Z">
        <t:Attribution userId="S::kasia.lipska@yale.edu::2bf6097e-3682-4932-a7d1-0fa01c1d214b" userProvider="AD" userName="Lipska, Kasia"/>
        <t:Anchor>
          <t:Comment id="1455921736"/>
        </t:Anchor>
        <t:SetTitle title="this shoudl be a symbol. I am having trouble with the symbols. @Amin, Duwa we need to get them in here from the MIPS MCC description that is in the Appendix E1 which is the Detailed description of hierarchical model. I am not sure how to do the actual …"/>
      </t:Event>
    </t:History>
  </t:Task>
  <t:Task id="{48DF66A2-506A-4546-9EF2-E0E76423536D}">
    <t:Anchor>
      <t:Comment id="476593879"/>
    </t:Anchor>
    <t:History>
      <t:Event id="{C3EFEA57-C322-4201-9A7A-16BF5E2C6D08}" time="2020-11-23T00:03:07Z">
        <t:Attribution userId="S::kasia.lipska@yale.edu::2bf6097e-3682-4932-a7d1-0fa01c1d214b" userProvider="AD" userName="Lipska, Kasia"/>
        <t:Anchor>
          <t:Comment id="1997504160"/>
        </t:Anchor>
        <t:Create/>
      </t:Event>
      <t:Event id="{804DEA85-EE4A-4450-A460-DBE339DB6E3B}" time="2020-11-23T00:03:07Z">
        <t:Attribution userId="S::kasia.lipska@yale.edu::2bf6097e-3682-4932-a7d1-0fa01c1d214b" userProvider="AD" userName="Lipska, Kasia"/>
        <t:Anchor>
          <t:Comment id="1997504160"/>
        </t:Anchor>
        <t:Assign userId="S::elizabeth.drye@yale.edu::0c36cb85-a64d-4552-aaa3-53253e36e06d" userProvider="AD" userName="Drye, Elizabeth"/>
      </t:Event>
      <t:Event id="{6AE46D78-454E-47AB-B446-E980CBDB7773}" time="2020-11-23T00:03:07Z">
        <t:Attribution userId="S::kasia.lipska@yale.edu::2bf6097e-3682-4932-a7d1-0fa01c1d214b" userProvider="AD" userName="Lipska, Kasia"/>
        <t:Anchor>
          <t:Comment id="1997504160"/>
        </t:Anchor>
        <t:SetTitle title="She has in the past. @Drye, Elizabeth could you review the section?"/>
      </t:Event>
      <t:Event id="{13AD38F1-2ED4-4CA2-BE2F-74487A12BF7E}" time="2020-12-01T21:29:01Z">
        <t:Attribution userId="S::kasia.lipska@yale.edu::2bf6097e-3682-4932-a7d1-0fa01c1d214b" userProvider="AD" userName="Lipska, Kasia"/>
        <t:Progress percentComplete="100"/>
      </t:Event>
    </t:History>
  </t:Task>
  <t:Task id="{1984DE03-8305-4F0B-ACA1-2E9E72A92B4A}">
    <t:Anchor>
      <t:Comment id="362741276"/>
    </t:Anchor>
    <t:History>
      <t:Event id="{2EE9CB31-2103-4C40-AF11-6C6601881824}" time="2020-11-23T00:04:13Z">
        <t:Attribution userId="S::kasia.lipska@yale.edu::2bf6097e-3682-4932-a7d1-0fa01c1d214b" userProvider="AD" userName="Lipska, Kasia"/>
        <t:Anchor>
          <t:Comment id="1923888649"/>
        </t:Anchor>
        <t:Create/>
      </t:Event>
      <t:Event id="{8B1A0DD9-6DA3-40F0-B44C-A90392325B78}" time="2020-11-23T00:04:13Z">
        <t:Attribution userId="S::kasia.lipska@yale.edu::2bf6097e-3682-4932-a7d1-0fa01c1d214b" userProvider="AD" userName="Lipska, Kasia"/>
        <t:Anchor>
          <t:Comment id="1923888649"/>
        </t:Anchor>
        <t:Assign userId="S::andrea.barbo@yale.edu::2b286a21-9bdc-4562-8ab1-305697773076" userProvider="AD" userName="Barbo, Andrea"/>
      </t:Event>
      <t:Event id="{8F4496CD-C611-4475-988B-E767F7E6BDC4}" time="2020-11-23T00:04:13Z">
        <t:Attribution userId="S::kasia.lipska@yale.edu::2bf6097e-3682-4932-a7d1-0fa01c1d214b" userProvider="AD" userName="Lipska, Kasia"/>
        <t:Anchor>
          <t:Comment id="1923888649"/>
        </t:Anchor>
        <t:SetTitle title="@Barbo, Andrea Do we have these results for MIPS HF?"/>
      </t:Event>
    </t:History>
  </t:Task>
  <t:Task id="{5D34833A-EB49-415D-9CC7-32FAAB6BBC2C}">
    <t:Anchor>
      <t:Comment id="190145407"/>
    </t:Anchor>
    <t:History>
      <t:Event id="{EBF05905-249F-434F-97FA-A4641E1205ED}" time="2020-11-23T00:08:08Z">
        <t:Attribution userId="S::kasia.lipska@yale.edu::2bf6097e-3682-4932-a7d1-0fa01c1d214b" userProvider="AD" userName="Lipska, Kasia"/>
        <t:Anchor>
          <t:Comment id="637915923"/>
        </t:Anchor>
        <t:Create/>
      </t:Event>
      <t:Event id="{E8627DAF-0FBD-43AC-9488-9CCBE1DACD44}" time="2020-11-23T00:08:08Z">
        <t:Attribution userId="S::kasia.lipska@yale.edu::2bf6097e-3682-4932-a7d1-0fa01c1d214b" userProvider="AD" userName="Lipska, Kasia"/>
        <t:Anchor>
          <t:Comment id="637915923"/>
        </t:Anchor>
        <t:Assign userId="S::andrea.barbo@yale.edu::2b286a21-9bdc-4562-8ab1-305697773076" userProvider="AD" userName="Barbo, Andrea"/>
      </t:Event>
      <t:Event id="{683EBFC8-75B2-45CB-8AEB-62D2FA6C58CC}" time="2020-11-23T00:08:08Z">
        <t:Attribution userId="S::kasia.lipska@yale.edu::2bf6097e-3682-4932-a7d1-0fa01c1d214b" userProvider="AD" userName="Lipska, Kasia"/>
        <t:Anchor>
          <t:Comment id="637915923"/>
        </t:Anchor>
        <t:SetTitle title="@Barbo, Andrea could you review this and the next 2 comments from Doris?"/>
      </t:Event>
      <t:Event id="{6A5CBC4B-094E-4AA5-B774-F3462EC0E3E3}" time="2020-12-01T21:55:22Z">
        <t:Attribution userId="S::kasia.lipska@yale.edu::2bf6097e-3682-4932-a7d1-0fa01c1d214b" userProvider="AD" userName="Lipska, Kasia"/>
        <t:Progress percentComplete="100"/>
      </t:Event>
    </t:History>
  </t:Task>
  <t:Task id="{6782ECAB-2ECB-40DE-B810-402BE08E0C96}">
    <t:Anchor>
      <t:Comment id="866204398"/>
    </t:Anchor>
    <t:History>
      <t:Event id="{3CEAA089-EF6D-4FF9-A6A1-AA8CD98ACE60}" time="2020-11-23T15:12:39Z">
        <t:Attribution userId="S::faseeha.altaf@yale.edu::87bb328f-57bf-4e94-b4f4-f478cc9e516b" userProvider="AD" userName="Altaf, Faseeha"/>
        <t:Anchor>
          <t:Comment id="1291936234"/>
        </t:Anchor>
        <t:Create/>
      </t:Event>
      <t:Event id="{06565B35-C881-4D93-8708-AD29FA41B654}" time="2020-11-23T15:12:39Z">
        <t:Attribution userId="S::faseeha.altaf@yale.edu::87bb328f-57bf-4e94-b4f4-f478cc9e516b" userProvider="AD" userName="Altaf, Faseeha"/>
        <t:Anchor>
          <t:Comment id="1291936234"/>
        </t:Anchor>
        <t:Assign userId="S::kasia.lipska@yale.edu::2bf6097e-3682-4932-a7d1-0fa01c1d214b" userProvider="AD" userName="Lipska, Kasia"/>
      </t:Event>
      <t:Event id="{1DC7F723-E1A7-477A-8DCA-3B5A5C88D91C}" time="2020-11-23T15:12:39Z">
        <t:Attribution userId="S::faseeha.altaf@yale.edu::87bb328f-57bf-4e94-b4f4-f478cc9e516b" userProvider="AD" userName="Altaf, Faseeha"/>
        <t:Anchor>
          <t:Comment id="1291936234"/>
        </t:Anchor>
        <t:SetTitle title="@Lipska, Kasia This was initially based on what we knew during development and our own research I think - we knew it was not a driving force, but acknowledged it as a reason as done in the ASPE report. It seems like it is still an issue as noted in the …"/>
      </t:Event>
    </t:History>
  </t:Task>
  <t:Task id="{CBC0B3DE-3EC8-49A5-86C1-9F42FAA82B48}">
    <t:Anchor>
      <t:Comment id="171805665"/>
    </t:Anchor>
    <t:History>
      <t:Event id="{8FDAF851-7B59-4FC3-9F90-D3B1F0FF9ED1}" time="2020-12-01T21:35:22Z">
        <t:Attribution userId="S::kasia.lipska@yale.edu::2bf6097e-3682-4932-a7d1-0fa01c1d214b" userProvider="AD" userName="Lipska, Kasia"/>
        <t:Anchor>
          <t:Comment id="171805665"/>
        </t:Anchor>
        <t:Create/>
      </t:Event>
      <t:Event id="{5CD5CFD3-DD3C-4F0F-8173-3C65166070FB}" time="2020-12-01T21:35:22Z">
        <t:Attribution userId="S::kasia.lipska@yale.edu::2bf6097e-3682-4932-a7d1-0fa01c1d214b" userProvider="AD" userName="Lipska, Kasia"/>
        <t:Anchor>
          <t:Comment id="171805665"/>
        </t:Anchor>
        <t:Assign userId="S::duwa.amin@yale.edu::a38501bd-27b0-45ae-9485-ae113b3dc15e" userProvider="AD" userName="Amin, Duwa"/>
      </t:Event>
      <t:Event id="{35041033-80C9-44DE-B65F-4973DB0D6A04}" time="2020-12-01T21:35:22Z">
        <t:Attribution userId="S::kasia.lipska@yale.edu::2bf6097e-3682-4932-a7d1-0fa01c1d214b" userProvider="AD" userName="Lipska, Kasia"/>
        <t:Anchor>
          <t:Comment id="171805665"/>
        </t:Anchor>
        <t:SetTitle title="@Amin, Duwa please cite ASPE report"/>
      </t:Event>
    </t:History>
  </t:Task>
  <t:Task id="{899BC483-30E8-4C23-8598-655D66E06784}">
    <t:Anchor>
      <t:Comment id="69449481"/>
    </t:Anchor>
    <t:History>
      <t:Event id="{3F44AC19-8978-4307-B019-F4CA5D39ECBF}" time="2020-12-01T21:21:13Z">
        <t:Attribution userId="S::kasia.lipska@yale.edu::2bf6097e-3682-4932-a7d1-0fa01c1d214b" userProvider="AD" userName="Lipska, Kasia"/>
        <t:Anchor>
          <t:Comment id="1393936866"/>
        </t:Anchor>
        <t:Create/>
      </t:Event>
      <t:Event id="{E3432CB6-EEE7-4746-8507-9C3F3D22369D}" time="2020-12-01T21:21:13Z">
        <t:Attribution userId="S::kasia.lipska@yale.edu::2bf6097e-3682-4932-a7d1-0fa01c1d214b" userProvider="AD" userName="Lipska, Kasia"/>
        <t:Anchor>
          <t:Comment id="1393936866"/>
        </t:Anchor>
        <t:Assign userId="S::andrea.barbo@yale.edu::2b286a21-9bdc-4562-8ab1-305697773076" userProvider="AD" userName="Barbo, Andrea"/>
      </t:Event>
      <t:Event id="{5D348A57-A933-4176-B51B-6F95649AB61B}" time="2020-12-01T21:21:13Z">
        <t:Attribution userId="S::kasia.lipska@yale.edu::2bf6097e-3682-4932-a7d1-0fa01c1d214b" userProvider="AD" userName="Lipska, Kasia"/>
        <t:Anchor>
          <t:Comment id="1393936866"/>
        </t:Anchor>
        <t:SetTitle title="@Barbo, Andrea I tried to find the equivalent description for the HF measure in our tech report but did not. Does the above apply or does it need any modifications to apply?"/>
      </t:Event>
    </t:History>
  </t:Task>
  <t:Task id="{5A45304D-FE3B-497E-A648-F55B6B8DA9FB}">
    <t:Anchor>
      <t:Comment id="1462293006"/>
    </t:Anchor>
    <t:History>
      <t:Event id="{873C10FF-E98C-4B73-8FB7-4DDE2F2373E5}" time="2020-12-01T21:54:29Z">
        <t:Attribution userId="S::kasia.lipska@yale.edu::2bf6097e-3682-4932-a7d1-0fa01c1d214b" userProvider="AD" userName="Lipska, Kasia"/>
        <t:Anchor>
          <t:Comment id="585844588"/>
        </t:Anchor>
        <t:Create/>
      </t:Event>
      <t:Event id="{83E7A16E-C728-45CA-B34E-B62166DA7E9E}" time="2020-12-01T21:54:29Z">
        <t:Attribution userId="S::kasia.lipska@yale.edu::2bf6097e-3682-4932-a7d1-0fa01c1d214b" userProvider="AD" userName="Lipska, Kasia"/>
        <t:Anchor>
          <t:Comment id="585844588"/>
        </t:Anchor>
        <t:Assign userId="S::duwa.amin@yale.edu::a38501bd-27b0-45ae-9485-ae113b3dc15e" userProvider="AD" userName="Amin, Duwa"/>
      </t:Event>
      <t:Event id="{857652B4-AE77-488A-AF9E-B1ABCF90CDF5}" time="2020-12-01T21:54:29Z">
        <t:Attribution userId="S::kasia.lipska@yale.edu::2bf6097e-3682-4932-a7d1-0fa01c1d214b" userProvider="AD" userName="Lipska, Kasia"/>
        <t:Anchor>
          <t:Comment id="585844588"/>
        </t:Anchor>
        <t:SetTitle title="I think we are trying to be 508 compliant? I am not sure. But I put it like this and I think it's easier to read. @Amin, Duwa can you do the same below when we liste them in the string? Thanks"/>
      </t:Event>
    </t:History>
  </t:Task>
  <t:Task id="{4344C84E-D270-4872-B342-7E2BA923E7C9}">
    <t:Anchor>
      <t:Comment id="385086311"/>
    </t:Anchor>
    <t:History>
      <t:Event id="{3C0653D4-1F26-48D1-A67E-1E626CEFD162}" time="2020-12-01T22:03:22Z">
        <t:Attribution userId="S::kasia.lipska@yale.edu::2bf6097e-3682-4932-a7d1-0fa01c1d214b" userProvider="AD" userName="Lipska, Kasia"/>
        <t:Anchor>
          <t:Comment id="882099240"/>
        </t:Anchor>
        <t:Create/>
      </t:Event>
      <t:Event id="{D6382D39-214C-4F2E-A0DB-B1DEAAA6197D}" time="2020-12-01T22:03:22Z">
        <t:Attribution userId="S::kasia.lipska@yale.edu::2bf6097e-3682-4932-a7d1-0fa01c1d214b" userProvider="AD" userName="Lipska, Kasia"/>
        <t:Anchor>
          <t:Comment id="882099240"/>
        </t:Anchor>
        <t:Assign userId="S::doris.peter@yale.edu::94212fad-76df-42d1-9617-4bccd4b31d5b" userProvider="AD" userName="Peter, Doris"/>
      </t:Event>
      <t:Event id="{217BB48E-520C-4462-B4F1-5ECDDD71339C}" time="2020-12-01T22:03:22Z">
        <t:Attribution userId="S::kasia.lipska@yale.edu::2bf6097e-3682-4932-a7d1-0fa01c1d214b" userProvider="AD" userName="Lipska, Kasia"/>
        <t:Anchor>
          <t:Comment id="882099240"/>
        </t:Anchor>
        <t:SetTitle title="@Peter, Doris What kind of attribution results did you include and where would we put them? Attribution testing was done. We looked at attribution to PCP vs cardiologist, their crude admission rates (PCP vs cardiologist), and also TIN level analyses to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08D223A3D43C417FBA5093C91FA75560"/>
        <w:category>
          <w:name w:val="General"/>
          <w:gallery w:val="placeholder"/>
        </w:category>
        <w:types>
          <w:type w:val="bbPlcHdr"/>
        </w:types>
        <w:behaviors>
          <w:behavior w:val="content"/>
        </w:behaviors>
        <w:guid w:val="{17AAEB72-177D-4E50-92DB-4F62D6043794}"/>
      </w:docPartPr>
      <w:docPartBody>
        <w:p w:rsidR="00E64F89" w:rsidRDefault="009C1698" w:rsidP="009C1698">
          <w:pPr>
            <w:pStyle w:val="08D223A3D43C417FBA5093C91FA75560"/>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34AF7"/>
    <w:rsid w:val="00096342"/>
    <w:rsid w:val="00127222"/>
    <w:rsid w:val="001736D7"/>
    <w:rsid w:val="00181569"/>
    <w:rsid w:val="00190AF4"/>
    <w:rsid w:val="00211802"/>
    <w:rsid w:val="00221848"/>
    <w:rsid w:val="00223FA3"/>
    <w:rsid w:val="002A288F"/>
    <w:rsid w:val="002B3156"/>
    <w:rsid w:val="002B75E4"/>
    <w:rsid w:val="002C65A7"/>
    <w:rsid w:val="002F052A"/>
    <w:rsid w:val="00350176"/>
    <w:rsid w:val="003840F0"/>
    <w:rsid w:val="003C3ECC"/>
    <w:rsid w:val="003F190F"/>
    <w:rsid w:val="0043521C"/>
    <w:rsid w:val="00437537"/>
    <w:rsid w:val="00492A57"/>
    <w:rsid w:val="004A0451"/>
    <w:rsid w:val="004D785E"/>
    <w:rsid w:val="00513FC9"/>
    <w:rsid w:val="0053654E"/>
    <w:rsid w:val="00610196"/>
    <w:rsid w:val="00632A7E"/>
    <w:rsid w:val="00632AB6"/>
    <w:rsid w:val="00730B33"/>
    <w:rsid w:val="007460EB"/>
    <w:rsid w:val="00766EC5"/>
    <w:rsid w:val="0077026E"/>
    <w:rsid w:val="00772B2A"/>
    <w:rsid w:val="0078495D"/>
    <w:rsid w:val="00797BA9"/>
    <w:rsid w:val="007C672A"/>
    <w:rsid w:val="007D4368"/>
    <w:rsid w:val="00822666"/>
    <w:rsid w:val="00823ECC"/>
    <w:rsid w:val="00826796"/>
    <w:rsid w:val="00866C97"/>
    <w:rsid w:val="00874641"/>
    <w:rsid w:val="00891E17"/>
    <w:rsid w:val="008A6F29"/>
    <w:rsid w:val="008B3981"/>
    <w:rsid w:val="008C50A7"/>
    <w:rsid w:val="009017AE"/>
    <w:rsid w:val="009767BE"/>
    <w:rsid w:val="009C1698"/>
    <w:rsid w:val="009C533A"/>
    <w:rsid w:val="009C542D"/>
    <w:rsid w:val="00A01A18"/>
    <w:rsid w:val="00A04B4D"/>
    <w:rsid w:val="00A50D8E"/>
    <w:rsid w:val="00A52731"/>
    <w:rsid w:val="00A95183"/>
    <w:rsid w:val="00AB4AF7"/>
    <w:rsid w:val="00AD7C4F"/>
    <w:rsid w:val="00B445F5"/>
    <w:rsid w:val="00B96510"/>
    <w:rsid w:val="00BD40CB"/>
    <w:rsid w:val="00C362A2"/>
    <w:rsid w:val="00C82939"/>
    <w:rsid w:val="00C90121"/>
    <w:rsid w:val="00C96E73"/>
    <w:rsid w:val="00CA1FE8"/>
    <w:rsid w:val="00CA344F"/>
    <w:rsid w:val="00CB4212"/>
    <w:rsid w:val="00D1676E"/>
    <w:rsid w:val="00D9110F"/>
    <w:rsid w:val="00DB1CFB"/>
    <w:rsid w:val="00DC0246"/>
    <w:rsid w:val="00E64F89"/>
    <w:rsid w:val="00E6518A"/>
    <w:rsid w:val="00E94CCA"/>
    <w:rsid w:val="00F066F0"/>
    <w:rsid w:val="00F540AB"/>
    <w:rsid w:val="00F70044"/>
    <w:rsid w:val="00F80665"/>
    <w:rsid w:val="00F915BA"/>
    <w:rsid w:val="00FA37C1"/>
    <w:rsid w:val="00FF012D"/>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1698"/>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08D223A3D43C417FBA5093C91FA75560">
    <w:name w:val="08D223A3D43C417FBA5093C91FA75560"/>
    <w:rsid w:val="009C169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A12E85F17D8F41ABA97183F972DA5D" ma:contentTypeVersion="4" ma:contentTypeDescription="Create a new document." ma:contentTypeScope="" ma:versionID="12238e0df99deb2a2394cfee05173a4e">
  <xsd:schema xmlns:xsd="http://www.w3.org/2001/XMLSchema" xmlns:xs="http://www.w3.org/2001/XMLSchema" xmlns:p="http://schemas.microsoft.com/office/2006/metadata/properties" xmlns:ns2="09f9e170-3c13-4d52-9c6b-e2cd62266a2b" targetNamespace="http://schemas.microsoft.com/office/2006/metadata/properties" ma:root="true" ma:fieldsID="d885977f8e63242766e1e3fefec83454" ns2:_="">
    <xsd:import namespace="09f9e170-3c13-4d52-9c6b-e2cd62266a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9e170-3c13-4d52-9c6b-e2cd62266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033F6-CF46-4966-BA35-FBA4248CB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9e170-3c13-4d52-9c6b-e2cd62266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2F9739-9342-459D-A7E3-70135F8C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13767</Words>
  <Characters>78478</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92061</CharactersWithSpaces>
  <SharedDoc>false</SharedDoc>
  <HLinks>
    <vt:vector size="84" baseType="variant">
      <vt:variant>
        <vt:i4>5439554</vt:i4>
      </vt:variant>
      <vt:variant>
        <vt:i4>39</vt:i4>
      </vt:variant>
      <vt:variant>
        <vt:i4>0</vt:i4>
      </vt:variant>
      <vt:variant>
        <vt:i4>5</vt:i4>
      </vt:variant>
      <vt:variant>
        <vt:lpwstr>https://doi.org/10.1002/sim.7532</vt:lpwstr>
      </vt:variant>
      <vt:variant>
        <vt:lpwstr/>
      </vt:variant>
      <vt:variant>
        <vt:i4>5898249</vt:i4>
      </vt:variant>
      <vt:variant>
        <vt:i4>36</vt:i4>
      </vt:variant>
      <vt:variant>
        <vt:i4>0</vt:i4>
      </vt:variant>
      <vt:variant>
        <vt:i4>5</vt:i4>
      </vt:variant>
      <vt:variant>
        <vt:lpwstr/>
      </vt:variant>
      <vt:variant>
        <vt:lpwstr>question2b49</vt:lpwstr>
      </vt:variant>
      <vt:variant>
        <vt:i4>7929973</vt:i4>
      </vt:variant>
      <vt:variant>
        <vt:i4>33</vt:i4>
      </vt:variant>
      <vt:variant>
        <vt:i4>0</vt:i4>
      </vt:variant>
      <vt:variant>
        <vt:i4>5</vt:i4>
      </vt:variant>
      <vt:variant>
        <vt:lpwstr/>
      </vt:variant>
      <vt:variant>
        <vt:lpwstr>section2b5</vt:lpwstr>
      </vt:variant>
      <vt:variant>
        <vt:i4>7864437</vt:i4>
      </vt:variant>
      <vt:variant>
        <vt:i4>30</vt:i4>
      </vt:variant>
      <vt:variant>
        <vt:i4>0</vt:i4>
      </vt:variant>
      <vt:variant>
        <vt:i4>5</vt:i4>
      </vt:variant>
      <vt:variant>
        <vt:lpwstr/>
      </vt:variant>
      <vt:variant>
        <vt:lpwstr>section2b4</vt:lpwstr>
      </vt:variant>
      <vt:variant>
        <vt:i4>1114114</vt:i4>
      </vt:variant>
      <vt:variant>
        <vt:i4>27</vt:i4>
      </vt:variant>
      <vt:variant>
        <vt:i4>0</vt:i4>
      </vt:variant>
      <vt:variant>
        <vt:i4>5</vt:i4>
      </vt:variant>
      <vt:variant>
        <vt:lpwstr>https://www.cms.gov/Medicare/Quality-Initiatives-Patient-Assessment-Instruments/MMS/CallforPublicComment.html</vt:lpwstr>
      </vt:variant>
      <vt:variant>
        <vt:lpwstr/>
      </vt:variant>
      <vt:variant>
        <vt:i4>983165</vt:i4>
      </vt:variant>
      <vt:variant>
        <vt:i4>24</vt:i4>
      </vt:variant>
      <vt:variant>
        <vt:i4>0</vt:i4>
      </vt:variant>
      <vt:variant>
        <vt:i4>5</vt:i4>
      </vt:variant>
      <vt:variant>
        <vt:lpwstr>https://nam05.safelinks.protection.outlook.com/?url=https%3A%2F%2Fwww.rand.org%2Fpubs%2Ftechnical_reports%2FTR863.html&amp;data=02%7C01%7Candrea.barbo%40yale.edu%7Cf771e3b39f84426c2ade08d803df26be%7Cdd8cbebb21394df8b4114e3e87abeb5c%7C0%7C0%7C637263604566798401&amp;sdata=HgfRHcXq0aLls%2Fa%2BGdwvXjK9UtIIScWICxfzUn5TwMA%3D&amp;reserved=0</vt:lpwstr>
      </vt:variant>
      <vt:variant>
        <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Hassan, Sapha</cp:lastModifiedBy>
  <cp:revision>2</cp:revision>
  <dcterms:created xsi:type="dcterms:W3CDTF">2021-04-19T14:51:00Z</dcterms:created>
  <dcterms:modified xsi:type="dcterms:W3CDTF">2021-04-19T14:51:00Z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0x0101001CA12E85F17D8F41ABA97183F972DA5D</vt:lpwstr>
  </property>
</Properties>
</file>