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77185D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D83E9F">
            <w:rPr>
              <w:rStyle w:val="Style1"/>
            </w:rPr>
            <w:t>N/A</w:t>
          </w:r>
        </w:sdtContent>
      </w:sdt>
    </w:p>
    <w:p w14:paraId="0CABCF56" w14:textId="1F669E55"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4A7B92">
            <w:rPr>
              <w:rStyle w:val="Style1"/>
              <w:rFonts w:cstheme="minorHAnsi"/>
            </w:rPr>
            <w:t xml:space="preserve"> </w:t>
          </w:r>
          <w:r w:rsidR="00646971">
            <w:rPr>
              <w:rStyle w:val="Style1"/>
              <w:rFonts w:cstheme="minorHAnsi"/>
            </w:rPr>
            <w:t>Non-Emergent Coronary Artery Bypass Graft (CABG) Measure</w:t>
          </w:r>
        </w:sdtContent>
      </w:sdt>
    </w:p>
    <w:p w14:paraId="0CABCF57" w14:textId="4DDC71DD"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1-01-08T00:00:00Z">
            <w:dateFormat w:val="M/d/yyyy"/>
            <w:lid w:val="en-US"/>
            <w:storeMappedDataAs w:val="dateTime"/>
            <w:calendar w:val="gregorian"/>
          </w:date>
        </w:sdtPr>
        <w:sdtEndPr>
          <w:rPr>
            <w:rStyle w:val="DefaultParagraphFont"/>
            <w:noProof/>
            <w:color w:val="auto"/>
            <w:u w:val="none"/>
          </w:rPr>
        </w:sdtEndPr>
        <w:sdtContent>
          <w:r w:rsidR="007C44A8">
            <w:rPr>
              <w:rStyle w:val="Style2"/>
              <w:rFonts w:cstheme="minorHAnsi"/>
            </w:rPr>
            <w:t>1/8</w:t>
          </w:r>
          <w:r w:rsidR="00852A8E">
            <w:rPr>
              <w:rStyle w:val="Style2"/>
              <w:rFonts w:cstheme="minorHAnsi"/>
            </w:rPr>
            <w:t>/2021</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2A3AA5"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A3AA5"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A3AA5"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1E1A6E4D" w:rsidR="000B7D57" w:rsidRPr="00C775CE" w:rsidRDefault="002A3AA5" w:rsidP="00CD364B">
            <w:pPr>
              <w:autoSpaceDE w:val="0"/>
              <w:autoSpaceDN w:val="0"/>
              <w:adjustRightInd w:val="0"/>
              <w:rPr>
                <w:rFonts w:cstheme="minorHAnsi"/>
                <w:bCs/>
              </w:rPr>
            </w:pPr>
            <w:sdt>
              <w:sdtPr>
                <w:rPr>
                  <w:rFonts w:cstheme="minorHAnsi"/>
                  <w:bCs/>
                </w:rPr>
                <w:id w:val="1280841322"/>
                <w14:checkbox>
                  <w14:checked w14:val="1"/>
                  <w14:checkedState w14:val="2612" w14:font="MS Gothic"/>
                  <w14:uncheckedState w14:val="2610" w14:font="MS Gothic"/>
                </w14:checkbox>
              </w:sdtPr>
              <w:sdtContent>
                <w:r w:rsidR="00174DC1">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2A3AA5"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A3AA5"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A3AA5"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211B1B">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211B1B">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211B1B">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211B1B">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211B1B">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211B1B">
            <w:pPr>
              <w:pStyle w:val="ListParagraph"/>
              <w:numPr>
                <w:ilvl w:val="0"/>
                <w:numId w:val="1"/>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211B1B">
            <w:pPr>
              <w:pStyle w:val="ListParagraph"/>
              <w:numPr>
                <w:ilvl w:val="0"/>
                <w:numId w:val="1"/>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211B1B">
            <w:pPr>
              <w:pStyle w:val="ListParagraph"/>
              <w:numPr>
                <w:ilvl w:val="0"/>
                <w:numId w:val="1"/>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211B1B">
            <w:pPr>
              <w:pStyle w:val="ListParagraph"/>
              <w:numPr>
                <w:ilvl w:val="0"/>
                <w:numId w:val="1"/>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614BFEAE"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00D83E9F">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211B1B">
            <w:pPr>
              <w:numPr>
                <w:ilvl w:val="0"/>
                <w:numId w:val="2"/>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211B1B">
            <w:pPr>
              <w:numPr>
                <w:ilvl w:val="0"/>
                <w:numId w:val="2"/>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4199BF7F"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D83E9F">
              <w:rPr>
                <w:rFonts w:cstheme="minorHAnsi"/>
                <w:sz w:val="20"/>
                <w:szCs w:val="20"/>
              </w:rPr>
              <w:t xml:space="preserve">.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36823582"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D83E9F">
              <w:rPr>
                <w:rFonts w:asciiTheme="minorHAnsi" w:hAnsiTheme="minorHAnsi" w:cstheme="minorHAnsi"/>
              </w:rPr>
              <w:t xml:space="preserve">.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68A9D421" w:rsidR="002E78A0" w:rsidRDefault="002E78A0" w:rsidP="008A403A">
      <w:pPr>
        <w:spacing w:after="0" w:line="240" w:lineRule="auto"/>
        <w:rPr>
          <w:rFonts w:cstheme="minorHAnsi"/>
          <w: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563BD8E5" w14:textId="77777777" w:rsidR="007C44A8" w:rsidRDefault="007C44A8" w:rsidP="008A403A">
      <w:pPr>
        <w:spacing w:after="0" w:line="240" w:lineRule="auto"/>
        <w:rPr>
          <w:rFonts w:cstheme="minorHAnsi"/>
          <w:i/>
          <w:noProof/>
        </w:rPr>
      </w:pPr>
    </w:p>
    <w:p w14:paraId="7930C00B" w14:textId="77777777" w:rsidR="007C44A8" w:rsidRDefault="007C44A8" w:rsidP="007C44A8">
      <w:pPr>
        <w:autoSpaceDE w:val="0"/>
        <w:autoSpaceDN w:val="0"/>
        <w:adjustRightInd w:val="0"/>
        <w:spacing w:after="0" w:line="240" w:lineRule="auto"/>
        <w:rPr>
          <w:rFonts w:cstheme="minorHAnsi"/>
          <w:bCs/>
        </w:rPr>
      </w:pPr>
      <w:r>
        <w:rPr>
          <w:rFonts w:cstheme="minorHAnsi"/>
          <w:b/>
          <w:bCs/>
        </w:rPr>
        <w:t>1.</w:t>
      </w:r>
      <w:r w:rsidRPr="00A25024">
        <w:rPr>
          <w:rFonts w:cstheme="minorHAnsi"/>
          <w:b/>
          <w:bCs/>
        </w:rPr>
        <w:t>1. What type of data was used for testing</w:t>
      </w:r>
      <w:r w:rsidRPr="00A25024">
        <w:rPr>
          <w:rFonts w:cstheme="minorHAnsi"/>
          <w:bCs/>
        </w:rPr>
        <w:t>? (</w:t>
      </w:r>
      <w:r>
        <w:rPr>
          <w:rFonts w:cstheme="minorHAnsi"/>
          <w:bCs/>
          <w:i/>
        </w:rPr>
        <w:t>Check all the sources of</w:t>
      </w:r>
      <w:r w:rsidRPr="00A01494">
        <w:rPr>
          <w:rFonts w:cstheme="minorHAnsi"/>
          <w:bCs/>
          <w:i/>
        </w:rPr>
        <w:t xml:space="preserve"> data identified in the measure specifications and data used for testing the measure</w:t>
      </w:r>
      <w:r>
        <w:rPr>
          <w:rFonts w:cstheme="minorHAnsi"/>
          <w:bCs/>
        </w:rPr>
        <w:t xml:space="preserve">. </w:t>
      </w:r>
      <w:r w:rsidRPr="00A01494">
        <w:rPr>
          <w:rFonts w:cstheme="minorHAnsi"/>
          <w:bCs/>
          <w:i/>
        </w:rPr>
        <w:t>T</w:t>
      </w:r>
      <w:r w:rsidRPr="00A25024">
        <w:rPr>
          <w:rFonts w:cstheme="minorHAnsi"/>
          <w:bCs/>
          <w:i/>
        </w:rPr>
        <w:t xml:space="preserve">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w:t>
      </w:r>
      <w:r>
        <w:rPr>
          <w:rFonts w:cstheme="minorHAnsi"/>
          <w:bCs/>
          <w:i/>
        </w:rPr>
        <w:t xml:space="preserve">sources </w:t>
      </w:r>
      <w:r w:rsidRPr="00A25024">
        <w:rPr>
          <w:rFonts w:cstheme="minorHAnsi"/>
          <w:bCs/>
          <w:i/>
        </w:rPr>
        <w:t>of data specified and intended for measure implementation</w:t>
      </w:r>
      <w:r>
        <w:rPr>
          <w:rFonts w:cstheme="minorHAnsi"/>
          <w:bCs/>
          <w:i/>
        </w:rPr>
        <w:t xml:space="preserve">. </w:t>
      </w:r>
      <w:r w:rsidRPr="008647FC">
        <w:rPr>
          <w:rFonts w:cstheme="minorHAnsi"/>
          <w:b/>
          <w:bCs/>
          <w:i/>
        </w:rPr>
        <w:t>If different data sources are used for the numerator and denominator, indicate N [numerator] or D [denominator] after the checkbox.</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7C44A8" w:rsidRPr="00A01494" w14:paraId="5DF30AD2" w14:textId="77777777" w:rsidTr="007C44A8">
        <w:trPr>
          <w:jc w:val="center"/>
        </w:trPr>
        <w:tc>
          <w:tcPr>
            <w:tcW w:w="5208" w:type="dxa"/>
            <w:shd w:val="clear" w:color="auto" w:fill="D9D9D9" w:themeFill="background1" w:themeFillShade="D9"/>
          </w:tcPr>
          <w:p w14:paraId="5E4461ED" w14:textId="77777777" w:rsidR="007C44A8" w:rsidRDefault="007C44A8" w:rsidP="007C44A8">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06DABBA" w14:textId="77777777" w:rsidR="007C44A8" w:rsidRPr="00A01494" w:rsidRDefault="007C44A8" w:rsidP="007C44A8">
            <w:pPr>
              <w:autoSpaceDE w:val="0"/>
              <w:autoSpaceDN w:val="0"/>
              <w:adjustRightInd w:val="0"/>
              <w:rPr>
                <w:rFonts w:cstheme="minorHAnsi"/>
                <w:b/>
                <w:bCs/>
              </w:rPr>
            </w:pPr>
            <w:r>
              <w:rPr>
                <w:rFonts w:cstheme="minorHAnsi"/>
                <w:b/>
                <w:bCs/>
              </w:rPr>
              <w:t>(</w:t>
            </w:r>
            <w:r>
              <w:rPr>
                <w:rFonts w:cstheme="minorHAnsi"/>
                <w:b/>
                <w:bCs/>
                <w:i/>
              </w:rPr>
              <w:t>must be consistent with data sources entered in S.17</w:t>
            </w:r>
            <w:r>
              <w:rPr>
                <w:rFonts w:cstheme="minorHAnsi"/>
                <w:b/>
                <w:bCs/>
              </w:rPr>
              <w:t>)</w:t>
            </w:r>
          </w:p>
        </w:tc>
        <w:tc>
          <w:tcPr>
            <w:tcW w:w="4847" w:type="dxa"/>
            <w:shd w:val="clear" w:color="auto" w:fill="D9D9D9" w:themeFill="background1" w:themeFillShade="D9"/>
          </w:tcPr>
          <w:p w14:paraId="0A619DE5" w14:textId="77777777" w:rsidR="007C44A8" w:rsidRPr="00A01494" w:rsidRDefault="007C44A8" w:rsidP="007C44A8">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7C44A8" w:rsidRPr="00A01494" w14:paraId="786E3E83" w14:textId="77777777" w:rsidTr="007C44A8">
        <w:trPr>
          <w:jc w:val="center"/>
        </w:trPr>
        <w:tc>
          <w:tcPr>
            <w:tcW w:w="5208" w:type="dxa"/>
          </w:tcPr>
          <w:p w14:paraId="4FF2FB35"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rPr>
              <w:t xml:space="preserve"> </w:t>
            </w:r>
            <w:r w:rsidR="007C44A8" w:rsidRPr="00A01494">
              <w:rPr>
                <w:rFonts w:cstheme="minorHAnsi"/>
                <w:bCs/>
              </w:rPr>
              <w:t>abstracted from paper record</w:t>
            </w:r>
          </w:p>
        </w:tc>
        <w:tc>
          <w:tcPr>
            <w:tcW w:w="4847" w:type="dxa"/>
          </w:tcPr>
          <w:p w14:paraId="379C0B67"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rPr>
              <w:t xml:space="preserve"> </w:t>
            </w:r>
            <w:r w:rsidR="007C44A8" w:rsidRPr="00A01494">
              <w:rPr>
                <w:rFonts w:cstheme="minorHAnsi"/>
                <w:bCs/>
              </w:rPr>
              <w:t>abstracted from paper record</w:t>
            </w:r>
          </w:p>
        </w:tc>
      </w:tr>
      <w:tr w:rsidR="007C44A8" w:rsidRPr="00A01494" w14:paraId="526D7A87" w14:textId="77777777" w:rsidTr="007C44A8">
        <w:trPr>
          <w:jc w:val="center"/>
        </w:trPr>
        <w:tc>
          <w:tcPr>
            <w:tcW w:w="5208" w:type="dxa"/>
          </w:tcPr>
          <w:p w14:paraId="38612E76"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sidRPr="000F1B7A">
              <w:rPr>
                <w:rFonts w:cstheme="minorHAnsi"/>
                <w:bCs/>
              </w:rPr>
              <w:t xml:space="preserve"> claims</w:t>
            </w:r>
          </w:p>
        </w:tc>
        <w:tc>
          <w:tcPr>
            <w:tcW w:w="4847" w:type="dxa"/>
          </w:tcPr>
          <w:p w14:paraId="03403CE9"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sidRPr="000F1B7A">
              <w:rPr>
                <w:rFonts w:cstheme="minorHAnsi"/>
                <w:bCs/>
              </w:rPr>
              <w:t xml:space="preserve"> claims</w:t>
            </w:r>
          </w:p>
        </w:tc>
      </w:tr>
      <w:tr w:rsidR="007C44A8" w:rsidRPr="00A01494" w14:paraId="2E809AE9" w14:textId="77777777" w:rsidTr="007C44A8">
        <w:trPr>
          <w:jc w:val="center"/>
        </w:trPr>
        <w:tc>
          <w:tcPr>
            <w:tcW w:w="5208" w:type="dxa"/>
          </w:tcPr>
          <w:p w14:paraId="4D027C9D"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7C44A8" w:rsidRPr="000F1B7A">
                  <w:rPr>
                    <w:rFonts w:ascii="MS Gothic" w:eastAsia="MS Gothic" w:cstheme="minorHAnsi" w:hint="eastAsia"/>
                    <w:bCs/>
                    <w:color w:val="0000FF"/>
                  </w:rPr>
                  <w:t>☐</w:t>
                </w:r>
              </w:sdtContent>
            </w:sdt>
            <w:r w:rsidR="007C44A8" w:rsidRPr="000F1B7A">
              <w:rPr>
                <w:rFonts w:cstheme="minorHAnsi"/>
                <w:bCs/>
              </w:rPr>
              <w:t xml:space="preserve"> </w:t>
            </w:r>
            <w:r w:rsidR="007C44A8" w:rsidRPr="000F1B7A">
              <w:rPr>
                <w:rFonts w:eastAsia="MS Gothic" w:cstheme="minorHAnsi"/>
                <w:bCs/>
              </w:rPr>
              <w:t>registry</w:t>
            </w:r>
          </w:p>
        </w:tc>
        <w:tc>
          <w:tcPr>
            <w:tcW w:w="4847" w:type="dxa"/>
          </w:tcPr>
          <w:p w14:paraId="73736F45"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7C44A8" w:rsidRPr="000F1B7A">
                  <w:rPr>
                    <w:rFonts w:ascii="MS Gothic" w:eastAsia="MS Gothic" w:cstheme="minorHAnsi" w:hint="eastAsia"/>
                    <w:bCs/>
                    <w:color w:val="0000FF"/>
                  </w:rPr>
                  <w:t>☐</w:t>
                </w:r>
              </w:sdtContent>
            </w:sdt>
            <w:r w:rsidR="007C44A8" w:rsidRPr="000F1B7A">
              <w:rPr>
                <w:rFonts w:cstheme="minorHAnsi"/>
                <w:bCs/>
                <w:color w:val="0000FF"/>
              </w:rPr>
              <w:t xml:space="preserve"> </w:t>
            </w:r>
            <w:r w:rsidR="007C44A8" w:rsidRPr="000F1B7A">
              <w:rPr>
                <w:rFonts w:eastAsia="MS Gothic" w:cstheme="minorHAnsi"/>
                <w:bCs/>
              </w:rPr>
              <w:t>registry</w:t>
            </w:r>
          </w:p>
        </w:tc>
      </w:tr>
      <w:tr w:rsidR="007C44A8" w:rsidRPr="00A01494" w14:paraId="0F06112A" w14:textId="77777777" w:rsidTr="007C44A8">
        <w:trPr>
          <w:jc w:val="center"/>
        </w:trPr>
        <w:tc>
          <w:tcPr>
            <w:tcW w:w="5208" w:type="dxa"/>
          </w:tcPr>
          <w:p w14:paraId="16C3A567"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7C44A8" w:rsidRPr="000F1B7A">
                  <w:rPr>
                    <w:rFonts w:ascii="MS Gothic" w:eastAsia="MS Gothic" w:cstheme="minorHAnsi" w:hint="eastAsia"/>
                    <w:bCs/>
                    <w:color w:val="0000FF"/>
                  </w:rPr>
                  <w:t>☐</w:t>
                </w:r>
              </w:sdtContent>
            </w:sdt>
            <w:r w:rsidR="007C44A8" w:rsidRPr="000F1B7A">
              <w:rPr>
                <w:rFonts w:cstheme="minorHAnsi"/>
                <w:bCs/>
              </w:rPr>
              <w:t xml:space="preserve"> abstracted from electronic health record</w:t>
            </w:r>
          </w:p>
        </w:tc>
        <w:tc>
          <w:tcPr>
            <w:tcW w:w="4847" w:type="dxa"/>
          </w:tcPr>
          <w:p w14:paraId="6AAD2234"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7C44A8" w:rsidRPr="000F1B7A">
                  <w:rPr>
                    <w:rFonts w:ascii="MS Gothic" w:eastAsia="MS Gothic" w:cstheme="minorHAnsi" w:hint="eastAsia"/>
                    <w:bCs/>
                    <w:color w:val="0000FF"/>
                  </w:rPr>
                  <w:t>☐</w:t>
                </w:r>
              </w:sdtContent>
            </w:sdt>
            <w:r w:rsidR="007C44A8" w:rsidRPr="000F1B7A">
              <w:rPr>
                <w:rFonts w:cstheme="minorHAnsi"/>
                <w:bCs/>
              </w:rPr>
              <w:t xml:space="preserve"> abstracted from electronic health record</w:t>
            </w:r>
          </w:p>
        </w:tc>
      </w:tr>
      <w:tr w:rsidR="007C44A8" w:rsidRPr="00A01494" w14:paraId="33C35F36" w14:textId="77777777" w:rsidTr="007C44A8">
        <w:trPr>
          <w:jc w:val="center"/>
        </w:trPr>
        <w:tc>
          <w:tcPr>
            <w:tcW w:w="5208" w:type="dxa"/>
          </w:tcPr>
          <w:p w14:paraId="76CD3DCA"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7C44A8" w:rsidRPr="000F1B7A">
                  <w:rPr>
                    <w:rFonts w:ascii="MS Gothic" w:eastAsia="MS Gothic" w:cstheme="minorHAnsi" w:hint="eastAsia"/>
                    <w:bCs/>
                    <w:color w:val="0000FF"/>
                  </w:rPr>
                  <w:t>☐</w:t>
                </w:r>
              </w:sdtContent>
            </w:sdt>
            <w:r w:rsidR="007C44A8" w:rsidRPr="000F1B7A">
              <w:rPr>
                <w:rFonts w:cstheme="minorHAnsi"/>
                <w:bCs/>
              </w:rPr>
              <w:t xml:space="preserve"> eMeasure (HQMF) implemented in EHRs</w:t>
            </w:r>
          </w:p>
        </w:tc>
        <w:tc>
          <w:tcPr>
            <w:tcW w:w="4847" w:type="dxa"/>
          </w:tcPr>
          <w:p w14:paraId="3AC85DCD"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7C44A8" w:rsidRPr="000F1B7A">
                  <w:rPr>
                    <w:rFonts w:ascii="MS Gothic" w:eastAsia="MS Gothic" w:cstheme="minorHAnsi" w:hint="eastAsia"/>
                    <w:bCs/>
                    <w:color w:val="0000FF"/>
                  </w:rPr>
                  <w:t>☐</w:t>
                </w:r>
              </w:sdtContent>
            </w:sdt>
            <w:r w:rsidR="007C44A8" w:rsidRPr="000F1B7A">
              <w:rPr>
                <w:rFonts w:cstheme="minorHAnsi"/>
                <w:bCs/>
              </w:rPr>
              <w:t xml:space="preserve"> eMeasure (HQMF) implemented in EHRs</w:t>
            </w:r>
          </w:p>
        </w:tc>
      </w:tr>
      <w:tr w:rsidR="007C44A8" w:rsidRPr="00A01494" w14:paraId="26C4CEB5" w14:textId="77777777" w:rsidTr="007C44A8">
        <w:trPr>
          <w:jc w:val="center"/>
        </w:trPr>
        <w:tc>
          <w:tcPr>
            <w:tcW w:w="5208" w:type="dxa"/>
          </w:tcPr>
          <w:p w14:paraId="69285702"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sidRPr="000F1B7A">
              <w:rPr>
                <w:rFonts w:cstheme="minorHAnsi"/>
                <w:bCs/>
              </w:rPr>
              <w:t xml:space="preserve"> other:  </w:t>
            </w:r>
            <w:sdt>
              <w:sdtPr>
                <w:rPr>
                  <w:rStyle w:val="Style1"/>
                </w:rPr>
                <w:id w:val="1834251992"/>
                <w:text/>
              </w:sdtPr>
              <w:sdtEndPr>
                <w:rPr>
                  <w:rStyle w:val="DefaultParagraphFont"/>
                  <w:rFonts w:cstheme="minorHAnsi"/>
                  <w:bCs/>
                  <w:color w:val="auto"/>
                </w:rPr>
              </w:sdtEndPr>
              <w:sdtContent>
                <w:r w:rsidR="007C44A8">
                  <w:rPr>
                    <w:rStyle w:val="Style1"/>
                  </w:rPr>
                  <w:t>Long-term Minimum Data Set, Enrollment Database, and Common Medicare Environment</w:t>
                </w:r>
              </w:sdtContent>
            </w:sdt>
          </w:p>
        </w:tc>
        <w:tc>
          <w:tcPr>
            <w:tcW w:w="4847" w:type="dxa"/>
          </w:tcPr>
          <w:p w14:paraId="4B9ED100" w14:textId="77777777" w:rsidR="007C44A8" w:rsidRPr="000F1B7A" w:rsidRDefault="002A3AA5" w:rsidP="007C44A8">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sidRPr="000F1B7A">
              <w:rPr>
                <w:rFonts w:cstheme="minorHAnsi"/>
                <w:bCs/>
              </w:rPr>
              <w:t xml:space="preserve"> other:  </w:t>
            </w:r>
            <w:sdt>
              <w:sdtPr>
                <w:rPr>
                  <w:rStyle w:val="Style1"/>
                </w:rPr>
                <w:id w:val="1976178076"/>
                <w:text/>
              </w:sdtPr>
              <w:sdtContent>
                <w:r w:rsidR="007C44A8">
                  <w:rPr>
                    <w:rStyle w:val="Style1"/>
                  </w:rPr>
                  <w:t>Long-term Minimum Data Set, Enrollment Database, and Common Medicare Environment</w:t>
                </w:r>
              </w:sdtContent>
            </w:sdt>
          </w:p>
        </w:tc>
      </w:tr>
    </w:tbl>
    <w:p w14:paraId="673ACA32" w14:textId="77777777" w:rsidR="007C44A8" w:rsidRDefault="007C44A8" w:rsidP="007C44A8">
      <w:pPr>
        <w:autoSpaceDE w:val="0"/>
        <w:autoSpaceDN w:val="0"/>
        <w:adjustRightInd w:val="0"/>
        <w:spacing w:after="0" w:line="240" w:lineRule="auto"/>
        <w:rPr>
          <w:rFonts w:cstheme="minorHAnsi"/>
          <w:b/>
          <w:bCs/>
        </w:rPr>
      </w:pPr>
      <w:r w:rsidRPr="00A25024">
        <w:rPr>
          <w:rFonts w:cstheme="minorHAnsi"/>
          <w:b/>
          <w:bCs/>
        </w:rPr>
        <w:t xml:space="preserve">     </w:t>
      </w:r>
    </w:p>
    <w:p w14:paraId="556BD533" w14:textId="77777777" w:rsidR="007C44A8" w:rsidRDefault="007C44A8" w:rsidP="007C44A8">
      <w:pPr>
        <w:autoSpaceDE w:val="0"/>
        <w:autoSpaceDN w:val="0"/>
        <w:adjustRightInd w:val="0"/>
        <w:spacing w:after="0" w:line="240" w:lineRule="auto"/>
        <w:rPr>
          <w:rFonts w:cstheme="minorHAnsi"/>
          <w:bCs/>
        </w:rPr>
      </w:pPr>
      <w:r>
        <w:rPr>
          <w:rFonts w:cstheme="minorHAnsi"/>
          <w:b/>
          <w:bCs/>
        </w:rPr>
        <w:t>1.</w:t>
      </w:r>
      <w:r w:rsidRPr="00A25024">
        <w:rPr>
          <w:rFonts w:cstheme="minorHAnsi"/>
          <w:b/>
          <w:bCs/>
        </w:rPr>
        <w:t>2. If an existing dataset</w:t>
      </w:r>
      <w:r>
        <w:rPr>
          <w:rFonts w:cstheme="minorHAnsi"/>
          <w:b/>
          <w:bCs/>
        </w:rPr>
        <w:t xml:space="preserve"> was used</w:t>
      </w:r>
      <w:r w:rsidRPr="00A25024">
        <w:rPr>
          <w:rFonts w:cstheme="minorHAnsi"/>
          <w:b/>
          <w:bCs/>
        </w:rPr>
        <w:t xml:space="preserve">, identify the </w:t>
      </w:r>
      <w:r>
        <w:rPr>
          <w:rFonts w:cstheme="minorHAnsi"/>
          <w:b/>
          <w:bCs/>
        </w:rPr>
        <w:t xml:space="preserve">specific </w:t>
      </w:r>
      <w:r w:rsidRPr="00A25024">
        <w:rPr>
          <w:rFonts w:cstheme="minorHAnsi"/>
          <w:b/>
          <w:bCs/>
        </w:rPr>
        <w:t>dataset</w:t>
      </w:r>
      <w:r w:rsidRPr="00A25024">
        <w:rPr>
          <w:rFonts w:cstheme="minorHAnsi"/>
          <w:bCs/>
        </w:rPr>
        <w:t xml:space="preserve"> (</w:t>
      </w:r>
      <w:r>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 Medicaid claims, other commercial insurance, nursing home MDS, home health OASIS, clinical registry</w:t>
      </w:r>
      <w:r w:rsidRPr="00A25024">
        <w:rPr>
          <w:rFonts w:cstheme="minorHAnsi"/>
          <w:bCs/>
        </w:rPr>
        <w:t>)</w:t>
      </w:r>
      <w:r>
        <w:rPr>
          <w:rFonts w:cstheme="minorHAnsi"/>
          <w:bCs/>
        </w:rPr>
        <w:t xml:space="preserve">. </w:t>
      </w:r>
      <w:r w:rsidRPr="00A25024">
        <w:rPr>
          <w:rFonts w:cstheme="minorHAnsi"/>
          <w:bCs/>
        </w:rPr>
        <w:t xml:space="preserve"> </w:t>
      </w:r>
    </w:p>
    <w:p w14:paraId="19537AF9" w14:textId="0DED9B15" w:rsidR="007C44A8" w:rsidRPr="00CE5148" w:rsidRDefault="007C44A8" w:rsidP="007C44A8">
      <w:pPr>
        <w:autoSpaceDE w:val="0"/>
        <w:autoSpaceDN w:val="0"/>
        <w:adjustRightInd w:val="0"/>
        <w:spacing w:after="0" w:line="240" w:lineRule="auto"/>
        <w:rPr>
          <w:rStyle w:val="Style1"/>
          <w:color w:val="0070C0"/>
        </w:rPr>
      </w:pPr>
      <w:r w:rsidRPr="008D048C">
        <w:rPr>
          <w:rStyle w:val="Style1"/>
          <w:color w:val="0070C0"/>
        </w:rPr>
        <w:t xml:space="preserve">The </w:t>
      </w:r>
      <w:r w:rsidRPr="007E55B5">
        <w:rPr>
          <w:rStyle w:val="Style1"/>
          <w:color w:val="0070C0"/>
        </w:rPr>
        <w:t>Non-Emergent Coronary Artery Bypass Graft (CABG) Measure</w:t>
      </w:r>
      <w:r w:rsidRPr="008D048C">
        <w:rPr>
          <w:rStyle w:val="Style1"/>
          <w:color w:val="0070C0"/>
        </w:rPr>
        <w:t xml:space="preserve"> uses Medicare Parts A and B claims data maintained by CMS. Part A and B claims data are </w:t>
      </w:r>
      <w:r>
        <w:rPr>
          <w:rStyle w:val="Style1"/>
          <w:color w:val="0070C0"/>
        </w:rPr>
        <w:t xml:space="preserve">used to build episodes of care, calculate episode costs, and construct risk adjustors. </w:t>
      </w:r>
      <w:r w:rsidRPr="00CE5148">
        <w:rPr>
          <w:rStyle w:val="Style1"/>
          <w:color w:val="0070C0"/>
        </w:rPr>
        <w:t xml:space="preserve">Data from the EDB is used to determine </w:t>
      </w:r>
      <w:r>
        <w:rPr>
          <w:rStyle w:val="Style1"/>
          <w:color w:val="0070C0"/>
        </w:rPr>
        <w:t>patient</w:t>
      </w:r>
      <w:r w:rsidRPr="00CE5148">
        <w:rPr>
          <w:rStyle w:val="Style1"/>
          <w:color w:val="0070C0"/>
        </w:rPr>
        <w:t xml:space="preserve">-level exclusions and supplemental risk adjustors, specifically Medicare Parts A, B, and C enrollment, primary payer, disability status, end-stage renal disease (ESRD), </w:t>
      </w:r>
      <w:r>
        <w:rPr>
          <w:rStyle w:val="Style1"/>
          <w:color w:val="0070C0"/>
        </w:rPr>
        <w:t>patient</w:t>
      </w:r>
      <w:r w:rsidRPr="00CE5148">
        <w:rPr>
          <w:rStyle w:val="Style1"/>
          <w:color w:val="0070C0"/>
        </w:rPr>
        <w:t xml:space="preserve"> birth dates, and </w:t>
      </w:r>
      <w:r>
        <w:rPr>
          <w:rStyle w:val="Style1"/>
          <w:color w:val="0070C0"/>
        </w:rPr>
        <w:t>patient</w:t>
      </w:r>
      <w:r w:rsidRPr="00CE5148">
        <w:rPr>
          <w:rStyle w:val="Style1"/>
          <w:color w:val="0070C0"/>
        </w:rPr>
        <w:t xml:space="preserve"> death dates. The risk adjustment model also accounts for expected differences in payment for services provided to </w:t>
      </w:r>
      <w:r>
        <w:rPr>
          <w:rStyle w:val="Style1"/>
          <w:color w:val="0070C0"/>
        </w:rPr>
        <w:t>patients</w:t>
      </w:r>
      <w:r w:rsidRPr="00CE5148">
        <w:rPr>
          <w:rStyle w:val="Style1"/>
          <w:color w:val="0070C0"/>
        </w:rPr>
        <w:t xml:space="preserve"> in long-term care </w:t>
      </w:r>
      <w:r>
        <w:rPr>
          <w:rStyle w:val="Style1"/>
          <w:color w:val="0070C0"/>
        </w:rPr>
        <w:t xml:space="preserve">based on the data from the MDS. </w:t>
      </w:r>
      <w:r w:rsidRPr="00CE5148">
        <w:rPr>
          <w:rStyle w:val="Style1"/>
          <w:color w:val="0070C0"/>
        </w:rPr>
        <w:t xml:space="preserve">Specifically, the MDS is used to create the long-term care indicator variable in risk adjustment. </w:t>
      </w:r>
    </w:p>
    <w:p w14:paraId="464BF618" w14:textId="4D4AA760" w:rsidR="00E44A37" w:rsidRDefault="00E44A37" w:rsidP="007C44A8">
      <w:pPr>
        <w:autoSpaceDE w:val="0"/>
        <w:autoSpaceDN w:val="0"/>
        <w:adjustRightInd w:val="0"/>
        <w:spacing w:after="0" w:line="240" w:lineRule="auto"/>
        <w:rPr>
          <w:rStyle w:val="Style1"/>
          <w:color w:val="0070C0"/>
        </w:rPr>
      </w:pPr>
    </w:p>
    <w:p w14:paraId="4E130DFF" w14:textId="555113AB" w:rsidR="00E44A37" w:rsidRDefault="00E44A37" w:rsidP="007C44A8">
      <w:pPr>
        <w:autoSpaceDE w:val="0"/>
        <w:autoSpaceDN w:val="0"/>
        <w:adjustRightInd w:val="0"/>
        <w:spacing w:after="0" w:line="240" w:lineRule="auto"/>
        <w:rPr>
          <w:rStyle w:val="Style1"/>
          <w:color w:val="0070C0"/>
        </w:rPr>
      </w:pPr>
      <w:r w:rsidRPr="00E44A37">
        <w:rPr>
          <w:rStyle w:val="Style1"/>
          <w:color w:val="0070C0"/>
        </w:rPr>
        <w:t xml:space="preserve">For measure testing, data from the United States Census Bureau American Census, United States Census Bureau American Community Survey (ACS), and Common Medicare Enrollment (CME) are used in the analyses evaluating social risk factors in risk adjustment.  </w:t>
      </w:r>
    </w:p>
    <w:p w14:paraId="655EC2F7" w14:textId="77777777" w:rsidR="007C44A8" w:rsidRDefault="007C44A8" w:rsidP="007C44A8">
      <w:pPr>
        <w:autoSpaceDE w:val="0"/>
        <w:autoSpaceDN w:val="0"/>
        <w:adjustRightInd w:val="0"/>
        <w:spacing w:after="0" w:line="240" w:lineRule="auto"/>
        <w:rPr>
          <w:rStyle w:val="Style1"/>
          <w:color w:val="0070C0"/>
        </w:rPr>
      </w:pPr>
    </w:p>
    <w:p w14:paraId="7F6A7A7C" w14:textId="77777777" w:rsidR="007C44A8" w:rsidRDefault="007C44A8" w:rsidP="007C44A8">
      <w:pPr>
        <w:autoSpaceDE w:val="0"/>
        <w:autoSpaceDN w:val="0"/>
        <w:adjustRightInd w:val="0"/>
        <w:spacing w:after="0" w:line="240" w:lineRule="auto"/>
        <w:rPr>
          <w:rFonts w:cstheme="minorHAnsi"/>
          <w:b/>
          <w:bCs/>
        </w:rPr>
      </w:pPr>
      <w:r>
        <w:rPr>
          <w:rFonts w:cstheme="minorHAnsi"/>
          <w:b/>
        </w:rPr>
        <w:t>1.</w:t>
      </w:r>
      <w:r w:rsidRPr="00A25024">
        <w:rPr>
          <w:rFonts w:cstheme="minorHAnsi"/>
          <w:b/>
        </w:rPr>
        <w:t>3. What are the dates of the data used in testing</w:t>
      </w:r>
      <w:r w:rsidRPr="00A25024">
        <w:rPr>
          <w:rFonts w:cstheme="minorHAnsi"/>
        </w:rPr>
        <w:t>?</w:t>
      </w:r>
      <w:r>
        <w:rPr>
          <w:rFonts w:cstheme="minorHAnsi"/>
        </w:rPr>
        <w:t xml:space="preserve"> </w:t>
      </w:r>
      <w:r w:rsidRPr="00A016F2">
        <w:rPr>
          <w:rFonts w:cstheme="minorHAnsi"/>
          <w:color w:val="0070C0"/>
        </w:rPr>
        <w:t xml:space="preserve">Testing includes </w:t>
      </w:r>
      <w:sdt>
        <w:sdtPr>
          <w:rPr>
            <w:rFonts w:cs="Calibri"/>
            <w:color w:val="0070C0"/>
          </w:rPr>
          <w:id w:val="950514773"/>
          <w:text/>
        </w:sdtPr>
        <w:sdtContent>
          <w:r w:rsidRPr="00994A95">
            <w:rPr>
              <w:rFonts w:cs="Calibri"/>
              <w:color w:val="0070C0"/>
            </w:rPr>
            <w:t>Non-Emergent Coronary Artery Bypass Graft (CABG) Measure</w:t>
          </w:r>
          <w:r>
            <w:rPr>
              <w:rFonts w:cs="Calibri"/>
              <w:color w:val="0070C0"/>
            </w:rPr>
            <w:t xml:space="preserve"> </w:t>
          </w:r>
        </w:sdtContent>
      </w:sdt>
      <w:sdt>
        <w:sdtPr>
          <w:rPr>
            <w:rStyle w:val="Style1"/>
            <w:color w:val="0070C0"/>
          </w:rPr>
          <w:id w:val="1736890658"/>
          <w:text/>
        </w:sdtPr>
        <w:sdtContent>
          <w:r>
            <w:rPr>
              <w:rStyle w:val="Style1"/>
              <w:color w:val="0070C0"/>
            </w:rPr>
            <w:t>episodes ending from January 1, 2019, to December 31, 2019. The split-sample reliability analysis also includes episodes ending in the 2018 calendar year. For further details, please see Question 1.7.</w:t>
          </w:r>
        </w:sdtContent>
      </w:sdt>
    </w:p>
    <w:p w14:paraId="32E9D172" w14:textId="77777777" w:rsidR="007C44A8" w:rsidRDefault="007C44A8" w:rsidP="007C44A8">
      <w:pPr>
        <w:autoSpaceDE w:val="0"/>
        <w:autoSpaceDN w:val="0"/>
        <w:adjustRightInd w:val="0"/>
        <w:spacing w:after="0" w:line="240" w:lineRule="auto"/>
        <w:rPr>
          <w:rFonts w:cstheme="minorHAnsi"/>
          <w:b/>
          <w:bCs/>
        </w:rPr>
      </w:pPr>
    </w:p>
    <w:p w14:paraId="4F14D98E" w14:textId="77777777" w:rsidR="007C44A8" w:rsidRDefault="007C44A8" w:rsidP="007C44A8">
      <w:pPr>
        <w:autoSpaceDE w:val="0"/>
        <w:autoSpaceDN w:val="0"/>
        <w:adjustRightInd w:val="0"/>
        <w:spacing w:after="0" w:line="240" w:lineRule="auto"/>
        <w:rPr>
          <w:rFonts w:cstheme="minorHAnsi"/>
          <w:bCs/>
        </w:rPr>
      </w:pPr>
      <w:r>
        <w:rPr>
          <w:rFonts w:cstheme="minorHAnsi"/>
          <w:b/>
          <w:bCs/>
        </w:rPr>
        <w:t>1.</w:t>
      </w:r>
      <w:r w:rsidRPr="00A25024">
        <w:rPr>
          <w:rFonts w:cstheme="minorHAnsi"/>
          <w:b/>
          <w:bCs/>
        </w:rPr>
        <w:t>4. What levels of analysis</w:t>
      </w:r>
      <w:r w:rsidRPr="00A25024">
        <w:rPr>
          <w:rFonts w:cstheme="minorHAnsi"/>
          <w:bCs/>
        </w:rPr>
        <w:t xml:space="preserve"> </w:t>
      </w:r>
      <w:r w:rsidRPr="00A25024">
        <w:rPr>
          <w:rFonts w:cstheme="minorHAnsi"/>
          <w:b/>
          <w:bCs/>
        </w:rPr>
        <w:t>were tested</w:t>
      </w:r>
      <w:r w:rsidRPr="00A25024">
        <w:rPr>
          <w:rFonts w:cstheme="minorHAnsi"/>
          <w:bCs/>
        </w:rPr>
        <w:t>? (</w:t>
      </w:r>
      <w:r w:rsidRPr="00A25024">
        <w:rPr>
          <w:rFonts w:cstheme="minorHAnsi"/>
          <w:bCs/>
          <w:i/>
        </w:rPr>
        <w:t xml:space="preserve">testing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measure implementation, e.g., individual clinician, hospital, health plan</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7C44A8" w:rsidRPr="00A01494" w14:paraId="66FEDD6D" w14:textId="77777777" w:rsidTr="007C44A8">
        <w:trPr>
          <w:jc w:val="center"/>
        </w:trPr>
        <w:tc>
          <w:tcPr>
            <w:tcW w:w="5027" w:type="dxa"/>
            <w:shd w:val="clear" w:color="auto" w:fill="D9D9D9" w:themeFill="background1" w:themeFillShade="D9"/>
          </w:tcPr>
          <w:p w14:paraId="6DEAFFF0" w14:textId="77777777" w:rsidR="007C44A8" w:rsidRDefault="007C44A8" w:rsidP="007C44A8">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B6994D8" w14:textId="77777777" w:rsidR="007C44A8" w:rsidRPr="00A01494" w:rsidRDefault="007C44A8" w:rsidP="007C44A8">
            <w:pPr>
              <w:autoSpaceDE w:val="0"/>
              <w:autoSpaceDN w:val="0"/>
              <w:adjustRightInd w:val="0"/>
              <w:rPr>
                <w:rFonts w:cstheme="minorHAnsi"/>
                <w:b/>
                <w:bCs/>
              </w:rPr>
            </w:pPr>
            <w:r>
              <w:rPr>
                <w:rFonts w:cstheme="minorHAnsi"/>
                <w:b/>
                <w:bCs/>
              </w:rPr>
              <w:lastRenderedPageBreak/>
              <w:t>(</w:t>
            </w:r>
            <w:r>
              <w:rPr>
                <w:rFonts w:cstheme="minorHAnsi"/>
                <w:b/>
                <w:bCs/>
                <w:i/>
              </w:rPr>
              <w:t>must be consistent with levels entered in item S.20</w:t>
            </w:r>
            <w:r>
              <w:rPr>
                <w:rFonts w:cstheme="minorHAnsi"/>
                <w:b/>
                <w:bCs/>
              </w:rPr>
              <w:t>)</w:t>
            </w:r>
          </w:p>
        </w:tc>
        <w:tc>
          <w:tcPr>
            <w:tcW w:w="5028" w:type="dxa"/>
            <w:shd w:val="clear" w:color="auto" w:fill="D9D9D9" w:themeFill="background1" w:themeFillShade="D9"/>
          </w:tcPr>
          <w:p w14:paraId="4C8009A5" w14:textId="77777777" w:rsidR="007C44A8" w:rsidRPr="00A01494" w:rsidRDefault="007C44A8" w:rsidP="007C44A8">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at Level of:</w:t>
            </w:r>
          </w:p>
        </w:tc>
      </w:tr>
      <w:tr w:rsidR="007C44A8" w:rsidRPr="00A01494" w14:paraId="4BD72414" w14:textId="77777777" w:rsidTr="007C44A8">
        <w:trPr>
          <w:jc w:val="center"/>
        </w:trPr>
        <w:tc>
          <w:tcPr>
            <w:tcW w:w="5027" w:type="dxa"/>
          </w:tcPr>
          <w:p w14:paraId="5A817A4F"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Pr>
                <w:rFonts w:cstheme="minorHAnsi"/>
                <w:bCs/>
              </w:rPr>
              <w:t xml:space="preserve"> individual clinician</w:t>
            </w:r>
          </w:p>
        </w:tc>
        <w:tc>
          <w:tcPr>
            <w:tcW w:w="5028" w:type="dxa"/>
          </w:tcPr>
          <w:p w14:paraId="343E0F21"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Pr>
                <w:rFonts w:cstheme="minorHAnsi"/>
                <w:bCs/>
              </w:rPr>
              <w:t xml:space="preserve"> individual clinician</w:t>
            </w:r>
          </w:p>
        </w:tc>
      </w:tr>
      <w:tr w:rsidR="007C44A8" w:rsidRPr="00A01494" w14:paraId="19C73D5B" w14:textId="77777777" w:rsidTr="007C44A8">
        <w:trPr>
          <w:jc w:val="center"/>
        </w:trPr>
        <w:tc>
          <w:tcPr>
            <w:tcW w:w="5027" w:type="dxa"/>
          </w:tcPr>
          <w:p w14:paraId="178FEADC"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Pr>
                <w:rFonts w:cstheme="minorHAnsi"/>
                <w:bCs/>
              </w:rPr>
              <w:t xml:space="preserve"> </w:t>
            </w:r>
            <w:r w:rsidR="007C44A8">
              <w:rPr>
                <w:rFonts w:eastAsia="MS Gothic" w:cstheme="minorHAnsi"/>
                <w:bCs/>
              </w:rPr>
              <w:t>group/practice</w:t>
            </w:r>
          </w:p>
        </w:tc>
        <w:tc>
          <w:tcPr>
            <w:tcW w:w="5028" w:type="dxa"/>
          </w:tcPr>
          <w:p w14:paraId="0731BA5D"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Pr>
                <w:rFonts w:cstheme="minorHAnsi"/>
                <w:bCs/>
              </w:rPr>
              <w:t xml:space="preserve"> </w:t>
            </w:r>
            <w:r w:rsidR="007C44A8">
              <w:rPr>
                <w:rFonts w:eastAsia="MS Gothic" w:cstheme="minorHAnsi"/>
                <w:bCs/>
              </w:rPr>
              <w:t>group/practice</w:t>
            </w:r>
          </w:p>
        </w:tc>
      </w:tr>
      <w:tr w:rsidR="007C44A8" w:rsidRPr="00A01494" w14:paraId="671873CE" w14:textId="77777777" w:rsidTr="007C44A8">
        <w:trPr>
          <w:jc w:val="center"/>
        </w:trPr>
        <w:tc>
          <w:tcPr>
            <w:tcW w:w="5027" w:type="dxa"/>
          </w:tcPr>
          <w:p w14:paraId="0B898F0C"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rPr>
              <w:t xml:space="preserve"> </w:t>
            </w:r>
            <w:r w:rsidR="007C44A8">
              <w:rPr>
                <w:rFonts w:eastAsia="MS Gothic" w:cstheme="minorHAnsi"/>
                <w:bCs/>
              </w:rPr>
              <w:t>hospital/facility/agency</w:t>
            </w:r>
          </w:p>
        </w:tc>
        <w:tc>
          <w:tcPr>
            <w:tcW w:w="5028" w:type="dxa"/>
          </w:tcPr>
          <w:p w14:paraId="374181AC"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rPr>
              <w:t xml:space="preserve"> </w:t>
            </w:r>
            <w:r w:rsidR="007C44A8">
              <w:rPr>
                <w:rFonts w:eastAsia="MS Gothic" w:cstheme="minorHAnsi"/>
                <w:bCs/>
              </w:rPr>
              <w:t>hospital/facility/agency</w:t>
            </w:r>
          </w:p>
        </w:tc>
      </w:tr>
      <w:tr w:rsidR="007C44A8" w:rsidRPr="00A01494" w14:paraId="081DBC79" w14:textId="77777777" w:rsidTr="007C44A8">
        <w:trPr>
          <w:jc w:val="center"/>
        </w:trPr>
        <w:tc>
          <w:tcPr>
            <w:tcW w:w="5027" w:type="dxa"/>
          </w:tcPr>
          <w:p w14:paraId="301F9B40"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color w:val="0000FF"/>
              </w:rPr>
              <w:t xml:space="preserve"> </w:t>
            </w:r>
            <w:r w:rsidR="007C44A8">
              <w:rPr>
                <w:rFonts w:cstheme="minorHAnsi"/>
                <w:bCs/>
              </w:rPr>
              <w:t>health plan</w:t>
            </w:r>
          </w:p>
        </w:tc>
        <w:tc>
          <w:tcPr>
            <w:tcW w:w="5028" w:type="dxa"/>
          </w:tcPr>
          <w:p w14:paraId="4793B1ED"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rPr>
              <w:t xml:space="preserve"> health plan</w:t>
            </w:r>
          </w:p>
        </w:tc>
      </w:tr>
      <w:tr w:rsidR="007C44A8" w:rsidRPr="00A01494" w14:paraId="53DE61CF" w14:textId="77777777" w:rsidTr="007C44A8">
        <w:trPr>
          <w:jc w:val="center"/>
        </w:trPr>
        <w:tc>
          <w:tcPr>
            <w:tcW w:w="5027" w:type="dxa"/>
          </w:tcPr>
          <w:p w14:paraId="77D42C98"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rPr>
              <w:t xml:space="preserve"> </w:t>
            </w:r>
            <w:r w:rsidR="007C44A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7C44A8" w:rsidRPr="00A01494">
                  <w:rPr>
                    <w:rStyle w:val="PlaceholderText"/>
                  </w:rPr>
                  <w:t>Click here to describe</w:t>
                </w:r>
              </w:sdtContent>
            </w:sdt>
          </w:p>
        </w:tc>
        <w:tc>
          <w:tcPr>
            <w:tcW w:w="5028" w:type="dxa"/>
          </w:tcPr>
          <w:p w14:paraId="21BFBDBB" w14:textId="77777777" w:rsidR="007C44A8" w:rsidRPr="00A01494" w:rsidRDefault="002A3AA5" w:rsidP="007C44A8">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7C44A8" w:rsidRPr="006574D2">
                  <w:rPr>
                    <w:rFonts w:ascii="MS Gothic" w:eastAsia="MS Gothic" w:cstheme="minorHAnsi" w:hint="eastAsia"/>
                    <w:bCs/>
                    <w:color w:val="0000FF"/>
                  </w:rPr>
                  <w:t>☐</w:t>
                </w:r>
              </w:sdtContent>
            </w:sdt>
            <w:r w:rsidR="007C44A8">
              <w:rPr>
                <w:rFonts w:cstheme="minorHAnsi"/>
                <w:bCs/>
              </w:rPr>
              <w:t xml:space="preserve"> </w:t>
            </w:r>
            <w:r w:rsidR="007C44A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7C44A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20B606E4" w14:textId="56B79B91" w:rsidR="00D91C3C" w:rsidRDefault="00D91C3C" w:rsidP="00DB3627">
      <w:pPr>
        <w:autoSpaceDE w:val="0"/>
        <w:autoSpaceDN w:val="0"/>
        <w:adjustRightInd w:val="0"/>
        <w:spacing w:after="0" w:line="240" w:lineRule="auto"/>
        <w:rPr>
          <w:rFonts w:cstheme="minorHAnsi"/>
          <w:bCs/>
          <w:color w:val="0070C0"/>
        </w:rPr>
      </w:pPr>
      <w:r w:rsidRPr="0040321C">
        <w:rPr>
          <w:rFonts w:cstheme="minorHAnsi"/>
          <w:bCs/>
          <w:color w:val="0070C0"/>
        </w:rPr>
        <w:t xml:space="preserve">There </w:t>
      </w:r>
      <w:r w:rsidRPr="00646971">
        <w:rPr>
          <w:rFonts w:cstheme="minorHAnsi"/>
          <w:bCs/>
          <w:color w:val="0070C0"/>
        </w:rPr>
        <w:t xml:space="preserve">were </w:t>
      </w:r>
      <w:r w:rsidR="00646971" w:rsidRPr="00646971">
        <w:rPr>
          <w:rFonts w:cstheme="minorHAnsi"/>
          <w:bCs/>
          <w:color w:val="0070C0"/>
        </w:rPr>
        <w:t>804</w:t>
      </w:r>
      <w:r w:rsidR="00F00DD6" w:rsidRPr="00122BF9">
        <w:rPr>
          <w:rFonts w:cstheme="minorHAnsi"/>
          <w:bCs/>
          <w:color w:val="0070C0"/>
        </w:rPr>
        <w:t xml:space="preserve"> </w:t>
      </w:r>
      <w:r w:rsidRPr="00122BF9">
        <w:rPr>
          <w:rFonts w:cstheme="minorHAnsi"/>
          <w:bCs/>
          <w:color w:val="0070C0"/>
        </w:rPr>
        <w:t xml:space="preserve">clinician group practices (identified by Tax Identification Number [TIN]) and </w:t>
      </w:r>
      <w:r w:rsidR="00646971">
        <w:rPr>
          <w:rFonts w:cstheme="minorHAnsi"/>
          <w:bCs/>
          <w:color w:val="0070C0"/>
        </w:rPr>
        <w:t xml:space="preserve">2,550 </w:t>
      </w:r>
      <w:r w:rsidRPr="00122BF9">
        <w:rPr>
          <w:rFonts w:cstheme="minorHAnsi"/>
          <w:bCs/>
          <w:color w:val="0070C0"/>
        </w:rPr>
        <w:t>practitioners (identified by</w:t>
      </w:r>
      <w:r>
        <w:rPr>
          <w:rFonts w:cstheme="minorHAnsi"/>
          <w:bCs/>
          <w:color w:val="0070C0"/>
        </w:rPr>
        <w:t xml:space="preserve"> combination of TIN and National Provider Identifier [NPI]) included in </w:t>
      </w:r>
      <w:r w:rsidR="005D2D81">
        <w:rPr>
          <w:rFonts w:cstheme="minorHAnsi"/>
          <w:bCs/>
          <w:color w:val="0070C0"/>
        </w:rPr>
        <w:t xml:space="preserve">testing of the </w:t>
      </w:r>
      <w:r w:rsidR="00646971" w:rsidRPr="00646971">
        <w:rPr>
          <w:rFonts w:cstheme="minorHAnsi"/>
          <w:bCs/>
          <w:color w:val="0070C0"/>
        </w:rPr>
        <w:t>Non-Emergent CABG Measure</w:t>
      </w:r>
      <w:r w:rsidR="00D83E9F">
        <w:rPr>
          <w:rFonts w:cstheme="minorHAnsi"/>
          <w:bCs/>
          <w:color w:val="0070C0"/>
        </w:rPr>
        <w:t xml:space="preserve">. </w:t>
      </w:r>
      <w:r>
        <w:rPr>
          <w:rFonts w:cstheme="minorHAnsi"/>
          <w:bCs/>
          <w:color w:val="0070C0"/>
        </w:rPr>
        <w:t xml:space="preserve">Clinicians and clinician groups were </w:t>
      </w:r>
      <w:r w:rsidRPr="00122BF9">
        <w:rPr>
          <w:rFonts w:cstheme="minorHAnsi"/>
          <w:bCs/>
          <w:color w:val="0070C0"/>
        </w:rPr>
        <w:t xml:space="preserve">included if they were attributed </w:t>
      </w:r>
      <w:r w:rsidR="004A7B92">
        <w:rPr>
          <w:rFonts w:cstheme="minorHAnsi"/>
          <w:bCs/>
          <w:color w:val="0070C0"/>
        </w:rPr>
        <w:t>10</w:t>
      </w:r>
      <w:r w:rsidRPr="00122BF9">
        <w:rPr>
          <w:rFonts w:cstheme="minorHAnsi"/>
          <w:bCs/>
          <w:color w:val="0070C0"/>
        </w:rPr>
        <w:t xml:space="preserve"> or more </w:t>
      </w:r>
      <w:r w:rsidR="00646971" w:rsidRPr="00646971">
        <w:rPr>
          <w:rFonts w:cstheme="minorHAnsi"/>
          <w:bCs/>
          <w:color w:val="0070C0"/>
        </w:rPr>
        <w:t>Non-Emergent CABG Measure</w:t>
      </w:r>
      <w:r w:rsidR="00646971" w:rsidRPr="00122BF9">
        <w:rPr>
          <w:rFonts w:cstheme="minorHAnsi"/>
          <w:bCs/>
          <w:color w:val="0070C0"/>
        </w:rPr>
        <w:t xml:space="preserve"> </w:t>
      </w:r>
      <w:r w:rsidRPr="00122BF9">
        <w:rPr>
          <w:rFonts w:cstheme="minorHAnsi"/>
          <w:bCs/>
          <w:color w:val="0070C0"/>
        </w:rPr>
        <w:t>episodes, as identified in Medicare Parts A and B claims data, ending from Januar</w:t>
      </w:r>
      <w:r w:rsidR="005D2D81">
        <w:rPr>
          <w:rFonts w:cstheme="minorHAnsi"/>
          <w:bCs/>
          <w:color w:val="0070C0"/>
        </w:rPr>
        <w:t>y 1, 2019, to December 31, 2019</w:t>
      </w:r>
      <w:r w:rsidRPr="00122BF9">
        <w:rPr>
          <w:rFonts w:cstheme="minorHAnsi"/>
          <w:bCs/>
          <w:color w:val="0070C0"/>
        </w:rPr>
        <w:t xml:space="preserve">. </w:t>
      </w:r>
      <w:r w:rsidR="00EF02C1" w:rsidRPr="00960DE8">
        <w:rPr>
          <w:rFonts w:cstheme="minorHAnsi"/>
          <w:bCs/>
          <w:color w:val="0070C0"/>
        </w:rPr>
        <w:t xml:space="preserve">Episodes were included from all 50 States and D.C. in the acute </w:t>
      </w:r>
      <w:r w:rsidR="00960DE8" w:rsidRPr="00960DE8">
        <w:rPr>
          <w:rFonts w:cstheme="minorHAnsi"/>
          <w:bCs/>
          <w:color w:val="0070C0"/>
        </w:rPr>
        <w:t>inpatient (IP) hospital setting</w:t>
      </w:r>
      <w:r w:rsidR="00EF02C1" w:rsidRPr="00960DE8">
        <w:rPr>
          <w:rFonts w:cstheme="minorHAnsi"/>
          <w:bCs/>
          <w:color w:val="0070C0"/>
        </w:rPr>
        <w:t>.</w:t>
      </w:r>
    </w:p>
    <w:p w14:paraId="52A8FC5F" w14:textId="77777777" w:rsidR="00EF02C1" w:rsidRPr="00A25024" w:rsidRDefault="00EF02C1" w:rsidP="00DB3627">
      <w:pPr>
        <w:autoSpaceDE w:val="0"/>
        <w:autoSpaceDN w:val="0"/>
        <w:adjustRightInd w:val="0"/>
        <w:spacing w:after="0" w:line="240" w:lineRule="auto"/>
        <w:rPr>
          <w:rFonts w:cstheme="minorHAnsi"/>
          <w:bCs/>
        </w:rPr>
      </w:pPr>
    </w:p>
    <w:p w14:paraId="77EA7070" w14:textId="77777777" w:rsidR="000F2468"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7E76CA3" w14:textId="3E8CE363" w:rsidR="005D2D81" w:rsidRPr="00B91309" w:rsidRDefault="000F2468" w:rsidP="000F2468">
      <w:pPr>
        <w:autoSpaceDE w:val="0"/>
        <w:autoSpaceDN w:val="0"/>
        <w:adjustRightInd w:val="0"/>
        <w:spacing w:after="0" w:line="240" w:lineRule="auto"/>
        <w:rPr>
          <w:rFonts w:cstheme="minorHAnsi"/>
          <w:bCs/>
          <w:color w:val="0070C0"/>
        </w:rPr>
      </w:pPr>
      <w:r w:rsidRPr="00B91309">
        <w:rPr>
          <w:rFonts w:cstheme="minorHAnsi"/>
          <w:bCs/>
          <w:color w:val="0070C0"/>
        </w:rPr>
        <w:t xml:space="preserve">There </w:t>
      </w:r>
      <w:r w:rsidR="00F07C86" w:rsidRPr="00B91309">
        <w:rPr>
          <w:rFonts w:cstheme="minorHAnsi"/>
          <w:bCs/>
          <w:color w:val="0070C0"/>
        </w:rPr>
        <w:t xml:space="preserve">were </w:t>
      </w:r>
      <w:r w:rsidR="00646971" w:rsidRPr="00B91309">
        <w:rPr>
          <w:rFonts w:cstheme="minorHAnsi"/>
          <w:bCs/>
          <w:color w:val="0070C0"/>
        </w:rPr>
        <w:t>41,081</w:t>
      </w:r>
      <w:r w:rsidR="00F07C86" w:rsidRPr="00B91309">
        <w:rPr>
          <w:rFonts w:cstheme="minorHAnsi"/>
          <w:bCs/>
          <w:color w:val="0070C0"/>
        </w:rPr>
        <w:t xml:space="preserve"> Medicare </w:t>
      </w:r>
      <w:r w:rsidR="00A10EA6" w:rsidRPr="00B91309">
        <w:rPr>
          <w:rFonts w:cstheme="minorHAnsi"/>
          <w:bCs/>
          <w:color w:val="0070C0"/>
        </w:rPr>
        <w:t>patients</w:t>
      </w:r>
      <w:r w:rsidR="005D2D81" w:rsidRPr="00B91309">
        <w:rPr>
          <w:rFonts w:cstheme="minorHAnsi"/>
          <w:bCs/>
          <w:color w:val="0070C0"/>
        </w:rPr>
        <w:t xml:space="preserve"> (from </w:t>
      </w:r>
      <w:r w:rsidR="00646971" w:rsidRPr="00B91309">
        <w:rPr>
          <w:rFonts w:cstheme="minorHAnsi"/>
          <w:bCs/>
          <w:color w:val="0070C0"/>
        </w:rPr>
        <w:t>41,082</w:t>
      </w:r>
      <w:r w:rsidR="00122BF9" w:rsidRPr="00B91309">
        <w:rPr>
          <w:rFonts w:cstheme="minorHAnsi"/>
          <w:bCs/>
          <w:color w:val="0070C0"/>
        </w:rPr>
        <w:t xml:space="preserve"> episodes)</w:t>
      </w:r>
      <w:r w:rsidRPr="00B91309">
        <w:rPr>
          <w:rFonts w:cstheme="minorHAnsi"/>
          <w:bCs/>
          <w:color w:val="0070C0"/>
        </w:rPr>
        <w:t xml:space="preserve"> included in </w:t>
      </w:r>
      <w:r w:rsidR="00F07C86" w:rsidRPr="00B91309">
        <w:rPr>
          <w:rFonts w:cstheme="minorHAnsi"/>
          <w:bCs/>
          <w:color w:val="0070C0"/>
        </w:rPr>
        <w:t>TIN</w:t>
      </w:r>
      <w:r w:rsidR="00E66E7B" w:rsidRPr="00B91309">
        <w:rPr>
          <w:rFonts w:cstheme="minorHAnsi"/>
          <w:bCs/>
          <w:color w:val="0070C0"/>
        </w:rPr>
        <w:t xml:space="preserve"> </w:t>
      </w:r>
      <w:r w:rsidR="00F07C86" w:rsidRPr="00B91309">
        <w:rPr>
          <w:rFonts w:cstheme="minorHAnsi"/>
          <w:bCs/>
          <w:color w:val="0070C0"/>
        </w:rPr>
        <w:t>level</w:t>
      </w:r>
      <w:r w:rsidR="005D2D81" w:rsidRPr="00B91309">
        <w:rPr>
          <w:rFonts w:cstheme="minorHAnsi"/>
          <w:bCs/>
          <w:color w:val="0070C0"/>
        </w:rPr>
        <w:t xml:space="preserve"> testing</w:t>
      </w:r>
      <w:r w:rsidR="00F07C86" w:rsidRPr="00B91309">
        <w:rPr>
          <w:rFonts w:cstheme="minorHAnsi"/>
          <w:bCs/>
          <w:color w:val="0070C0"/>
        </w:rPr>
        <w:t xml:space="preserve">, and </w:t>
      </w:r>
      <w:r w:rsidR="00646971" w:rsidRPr="00B91309">
        <w:rPr>
          <w:rFonts w:cstheme="minorHAnsi"/>
          <w:bCs/>
          <w:color w:val="0070C0"/>
        </w:rPr>
        <w:t>38,195</w:t>
      </w:r>
      <w:r w:rsidR="005D2D81" w:rsidRPr="00B91309">
        <w:rPr>
          <w:rFonts w:cstheme="minorHAnsi"/>
          <w:bCs/>
          <w:color w:val="0070C0"/>
        </w:rPr>
        <w:t xml:space="preserve"> </w:t>
      </w:r>
      <w:r w:rsidR="00A10EA6" w:rsidRPr="00B91309">
        <w:rPr>
          <w:rFonts w:cstheme="minorHAnsi"/>
          <w:bCs/>
          <w:color w:val="0070C0"/>
        </w:rPr>
        <w:t>patients</w:t>
      </w:r>
      <w:r w:rsidR="00122BF9" w:rsidRPr="00B91309">
        <w:rPr>
          <w:rFonts w:cstheme="minorHAnsi"/>
          <w:bCs/>
          <w:color w:val="0070C0"/>
        </w:rPr>
        <w:t xml:space="preserve"> (from </w:t>
      </w:r>
      <w:r w:rsidR="00646971" w:rsidRPr="00B91309">
        <w:rPr>
          <w:rFonts w:cstheme="minorHAnsi"/>
          <w:bCs/>
          <w:color w:val="0070C0"/>
        </w:rPr>
        <w:t>38,196</w:t>
      </w:r>
      <w:r w:rsidR="00122BF9" w:rsidRPr="00B91309">
        <w:rPr>
          <w:rFonts w:cstheme="minorHAnsi"/>
          <w:bCs/>
          <w:color w:val="0070C0"/>
        </w:rPr>
        <w:t xml:space="preserve"> episodes)</w:t>
      </w:r>
      <w:r w:rsidR="00F00DD6" w:rsidRPr="00B91309">
        <w:rPr>
          <w:rFonts w:cstheme="minorHAnsi"/>
          <w:bCs/>
          <w:color w:val="0070C0"/>
        </w:rPr>
        <w:t xml:space="preserve"> </w:t>
      </w:r>
      <w:r w:rsidR="00F07C86" w:rsidRPr="00B91309">
        <w:rPr>
          <w:rFonts w:cstheme="minorHAnsi"/>
          <w:bCs/>
          <w:color w:val="0070C0"/>
        </w:rPr>
        <w:t>included at TIN-NPI level testing</w:t>
      </w:r>
      <w:r w:rsidRPr="00B91309">
        <w:rPr>
          <w:rFonts w:cstheme="minorHAnsi"/>
          <w:bCs/>
          <w:color w:val="0070C0"/>
        </w:rPr>
        <w:t xml:space="preserve">. </w:t>
      </w:r>
      <w:r w:rsidR="00646971" w:rsidRPr="00B91309">
        <w:rPr>
          <w:rFonts w:cstheme="minorHAnsi"/>
          <w:bCs/>
          <w:color w:val="0070C0"/>
        </w:rPr>
        <w:t>Non-Emergent CABG Measure</w:t>
      </w:r>
      <w:r w:rsidR="00646971" w:rsidRPr="00B91309">
        <w:rPr>
          <w:color w:val="0070C0"/>
        </w:rPr>
        <w:t xml:space="preserve"> </w:t>
      </w:r>
      <w:r w:rsidRPr="00B91309">
        <w:rPr>
          <w:color w:val="0070C0"/>
        </w:rPr>
        <w:t xml:space="preserve">episodes are triggered by Current Procedural Terminology (CPT) / Healthcare Common Procedure Coding System (HCPCS) </w:t>
      </w:r>
      <w:r w:rsidR="00E87A3D" w:rsidRPr="00B91309">
        <w:rPr>
          <w:color w:val="0070C0"/>
        </w:rPr>
        <w:t xml:space="preserve">codes </w:t>
      </w:r>
      <w:r w:rsidRPr="00B91309">
        <w:rPr>
          <w:color w:val="0070C0"/>
        </w:rPr>
        <w:t>on Part B Physician/Supplier claims which indicates occurrence of a</w:t>
      </w:r>
      <w:r w:rsidRPr="00B91309">
        <w:rPr>
          <w:rFonts w:cstheme="minorHAnsi"/>
          <w:bCs/>
          <w:color w:val="0070C0"/>
        </w:rPr>
        <w:t xml:space="preserve"> </w:t>
      </w:r>
      <w:r w:rsidR="00646971" w:rsidRPr="00B91309">
        <w:rPr>
          <w:rFonts w:cstheme="minorHAnsi"/>
          <w:bCs/>
          <w:color w:val="0070C0"/>
        </w:rPr>
        <w:t>non-emergent CABG procedure</w:t>
      </w:r>
      <w:r w:rsidRPr="00B91309">
        <w:rPr>
          <w:rFonts w:cstheme="minorHAnsi"/>
          <w:bCs/>
          <w:color w:val="0070C0"/>
        </w:rPr>
        <w:t xml:space="preserve">. </w:t>
      </w:r>
    </w:p>
    <w:p w14:paraId="452F2BD5" w14:textId="77777777" w:rsidR="005D2D81" w:rsidRPr="00B91309" w:rsidRDefault="005D2D81" w:rsidP="000F2468">
      <w:pPr>
        <w:autoSpaceDE w:val="0"/>
        <w:autoSpaceDN w:val="0"/>
        <w:adjustRightInd w:val="0"/>
        <w:spacing w:after="0" w:line="240" w:lineRule="auto"/>
        <w:rPr>
          <w:rFonts w:cstheme="minorHAnsi"/>
          <w:bCs/>
          <w:color w:val="0070C0"/>
        </w:rPr>
      </w:pPr>
    </w:p>
    <w:p w14:paraId="10105F1C" w14:textId="60A78638" w:rsidR="000F2468" w:rsidRDefault="000F2468" w:rsidP="000F2468">
      <w:pPr>
        <w:autoSpaceDE w:val="0"/>
        <w:autoSpaceDN w:val="0"/>
        <w:adjustRightInd w:val="0"/>
        <w:spacing w:after="0" w:line="240" w:lineRule="auto"/>
        <w:rPr>
          <w:rFonts w:cstheme="minorHAnsi"/>
          <w:bCs/>
          <w:color w:val="0070C0"/>
        </w:rPr>
      </w:pPr>
      <w:r w:rsidRPr="00B91309">
        <w:rPr>
          <w:rFonts w:cstheme="minorHAnsi"/>
          <w:bCs/>
          <w:color w:val="0070C0"/>
        </w:rPr>
        <w:t xml:space="preserve">Episodes were included in the sample if they met a set of inclusion criteria (listed below), meant to ensure </w:t>
      </w:r>
      <w:r w:rsidR="0044018F" w:rsidRPr="00B91309">
        <w:rPr>
          <w:rFonts w:cstheme="minorHAnsi"/>
          <w:bCs/>
          <w:color w:val="0070C0"/>
        </w:rPr>
        <w:t xml:space="preserve">data </w:t>
      </w:r>
      <w:r w:rsidRPr="00B91309">
        <w:rPr>
          <w:rFonts w:cstheme="minorHAnsi"/>
          <w:bCs/>
          <w:color w:val="0070C0"/>
        </w:rPr>
        <w:t>completeness and</w:t>
      </w:r>
      <w:r w:rsidR="00EC664F" w:rsidRPr="00B91309">
        <w:rPr>
          <w:rFonts w:cstheme="minorHAnsi"/>
          <w:bCs/>
          <w:color w:val="0070C0"/>
        </w:rPr>
        <w:t xml:space="preserve"> focus</w:t>
      </w:r>
      <w:r w:rsidRPr="00122BF9">
        <w:rPr>
          <w:rFonts w:cstheme="minorHAnsi"/>
          <w:bCs/>
          <w:color w:val="0070C0"/>
        </w:rPr>
        <w:t xml:space="preserve"> the measure on a clinically homogeneous cohort of patients receiving </w:t>
      </w:r>
      <w:r w:rsidR="00646971">
        <w:rPr>
          <w:rFonts w:cstheme="minorHAnsi"/>
          <w:bCs/>
          <w:color w:val="0070C0"/>
        </w:rPr>
        <w:t>a non-emergent CABG procedure</w:t>
      </w:r>
      <w:r w:rsidRPr="00122BF9">
        <w:rPr>
          <w:rFonts w:cstheme="minorHAnsi"/>
          <w:bCs/>
          <w:color w:val="0070C0"/>
        </w:rPr>
        <w:t>. As previously mentioned, a 10 episode case minimum was also applied. These inclusion criteria are listed below:</w:t>
      </w:r>
    </w:p>
    <w:p w14:paraId="18353A38" w14:textId="77777777" w:rsidR="003229D6" w:rsidRDefault="003229D6" w:rsidP="00211B1B">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had Medicare as their </w:t>
      </w:r>
      <w:r w:rsidRPr="008F3580">
        <w:rPr>
          <w:rFonts w:cstheme="minorHAnsi"/>
          <w:bCs/>
          <w:color w:val="0070C0"/>
        </w:rPr>
        <w:t>primary payer</w:t>
      </w:r>
      <w:r>
        <w:rPr>
          <w:rFonts w:cstheme="minorHAnsi"/>
          <w:bCs/>
          <w:color w:val="0070C0"/>
        </w:rPr>
        <w:t xml:space="preserve"> for the entire episode window, as well as the 120 days prior to the trigger day (the 120-day lookback period). </w:t>
      </w:r>
    </w:p>
    <w:p w14:paraId="4D0735CF" w14:textId="77777777" w:rsidR="003229D6" w:rsidRDefault="003229D6" w:rsidP="00211B1B">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was continuously enrolled </w:t>
      </w:r>
      <w:r w:rsidRPr="008F3580">
        <w:rPr>
          <w:rFonts w:cstheme="minorHAnsi"/>
          <w:bCs/>
          <w:color w:val="0070C0"/>
        </w:rPr>
        <w:t>in Medicare Part</w:t>
      </w:r>
      <w:r>
        <w:rPr>
          <w:rFonts w:cstheme="minorHAnsi"/>
          <w:bCs/>
          <w:color w:val="0070C0"/>
        </w:rPr>
        <w:t>s</w:t>
      </w:r>
      <w:r w:rsidRPr="008F3580">
        <w:rPr>
          <w:rFonts w:cstheme="minorHAnsi"/>
          <w:bCs/>
          <w:color w:val="0070C0"/>
        </w:rPr>
        <w:t xml:space="preserve"> A and B</w:t>
      </w:r>
      <w:r>
        <w:rPr>
          <w:rFonts w:cstheme="minorHAnsi"/>
          <w:bCs/>
          <w:color w:val="0070C0"/>
        </w:rPr>
        <w:t>, and not enrolled in Part C, for the entirety of the episode window and the 120-day lookback period.</w:t>
      </w:r>
    </w:p>
    <w:p w14:paraId="28A81A45" w14:textId="77777777" w:rsidR="003229D6" w:rsidRDefault="003229D6" w:rsidP="00211B1B">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date of birth is not missing. </w:t>
      </w:r>
    </w:p>
    <w:p w14:paraId="54049B43" w14:textId="77777777" w:rsidR="003229D6" w:rsidRDefault="003229D6" w:rsidP="00211B1B">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The patient death date did not occur before the trigger date.</w:t>
      </w:r>
    </w:p>
    <w:p w14:paraId="4FC53D25" w14:textId="77777777" w:rsidR="003229D6" w:rsidRDefault="003229D6" w:rsidP="00211B1B">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patient death date did not occur before episode end. </w:t>
      </w:r>
    </w:p>
    <w:p w14:paraId="5CC78C2E" w14:textId="755CB47E" w:rsidR="003229D6" w:rsidRDefault="003229D6" w:rsidP="00211B1B">
      <w:pPr>
        <w:pStyle w:val="ListParagraph"/>
        <w:numPr>
          <w:ilvl w:val="0"/>
          <w:numId w:val="4"/>
        </w:numPr>
        <w:autoSpaceDE w:val="0"/>
        <w:autoSpaceDN w:val="0"/>
        <w:adjustRightInd w:val="0"/>
        <w:spacing w:after="0" w:line="240" w:lineRule="auto"/>
        <w:rPr>
          <w:rFonts w:cstheme="minorHAnsi"/>
          <w:bCs/>
          <w:color w:val="0070C0"/>
        </w:rPr>
      </w:pPr>
      <w:r>
        <w:rPr>
          <w:rFonts w:cstheme="minorHAnsi"/>
          <w:bCs/>
          <w:color w:val="0070C0"/>
        </w:rPr>
        <w:t xml:space="preserve">The episode can be attributed to at least one main </w:t>
      </w:r>
      <w:r w:rsidR="008F0B76">
        <w:rPr>
          <w:rFonts w:cstheme="minorHAnsi"/>
          <w:bCs/>
          <w:color w:val="0070C0"/>
        </w:rPr>
        <w:t>surgeon</w:t>
      </w:r>
      <w:r>
        <w:rPr>
          <w:rFonts w:cstheme="minorHAnsi"/>
          <w:bCs/>
          <w:color w:val="0070C0"/>
        </w:rPr>
        <w:t xml:space="preserve">. </w:t>
      </w:r>
    </w:p>
    <w:p w14:paraId="0292D678" w14:textId="1400D60A" w:rsidR="003229D6" w:rsidRPr="00B91309" w:rsidRDefault="000E244B" w:rsidP="00211B1B">
      <w:pPr>
        <w:pStyle w:val="ListParagraph"/>
        <w:numPr>
          <w:ilvl w:val="0"/>
          <w:numId w:val="3"/>
        </w:numPr>
        <w:autoSpaceDE w:val="0"/>
        <w:autoSpaceDN w:val="0"/>
        <w:adjustRightInd w:val="0"/>
        <w:spacing w:after="0" w:line="240" w:lineRule="auto"/>
        <w:rPr>
          <w:rFonts w:cstheme="minorHAnsi"/>
          <w:bCs/>
          <w:color w:val="0070C0"/>
        </w:rPr>
      </w:pPr>
      <w:r>
        <w:rPr>
          <w:rFonts w:cstheme="minorHAnsi"/>
          <w:bCs/>
          <w:color w:val="0070C0"/>
        </w:rPr>
        <w:t>The</w:t>
      </w:r>
      <w:r w:rsidR="003229D6" w:rsidRPr="00601BA5">
        <w:rPr>
          <w:rFonts w:cstheme="minorHAnsi"/>
          <w:bCs/>
          <w:color w:val="0070C0"/>
        </w:rPr>
        <w:t xml:space="preserve"> </w:t>
      </w:r>
      <w:r w:rsidRPr="00B91309">
        <w:rPr>
          <w:rFonts w:cstheme="minorHAnsi"/>
          <w:bCs/>
          <w:color w:val="0070C0"/>
        </w:rPr>
        <w:t>episode trigger claim</w:t>
      </w:r>
      <w:r w:rsidR="003229D6" w:rsidRPr="00B91309">
        <w:rPr>
          <w:rFonts w:cstheme="minorHAnsi"/>
          <w:bCs/>
          <w:color w:val="0070C0"/>
        </w:rPr>
        <w:t xml:space="preserve"> occurred </w:t>
      </w:r>
      <w:r w:rsidRPr="00B91309">
        <w:rPr>
          <w:rFonts w:cstheme="minorHAnsi"/>
          <w:bCs/>
          <w:color w:val="0070C0"/>
        </w:rPr>
        <w:t xml:space="preserve">an IP hospital setting, based on its place of service, specifically in </w:t>
      </w:r>
      <w:r w:rsidR="003229D6" w:rsidRPr="00B91309">
        <w:rPr>
          <w:rFonts w:cstheme="minorHAnsi"/>
          <w:bCs/>
          <w:color w:val="0070C0"/>
        </w:rPr>
        <w:t>an acute hospital as defined by subsection (d) or in an acute hospital in Maryland.</w:t>
      </w:r>
      <w:r w:rsidR="003229D6" w:rsidRPr="00B91309">
        <w:rPr>
          <w:rStyle w:val="FootnoteReference"/>
          <w:bCs/>
          <w:color w:val="0070C0"/>
        </w:rPr>
        <w:footnoteReference w:id="1"/>
      </w:r>
    </w:p>
    <w:p w14:paraId="563A7D67" w14:textId="0D08BEB1" w:rsidR="003229D6" w:rsidRPr="00B91309" w:rsidRDefault="000E244B" w:rsidP="00211B1B">
      <w:pPr>
        <w:pStyle w:val="ListParagraph"/>
        <w:numPr>
          <w:ilvl w:val="0"/>
          <w:numId w:val="3"/>
        </w:numPr>
        <w:autoSpaceDE w:val="0"/>
        <w:autoSpaceDN w:val="0"/>
        <w:adjustRightInd w:val="0"/>
        <w:spacing w:after="0" w:line="240" w:lineRule="auto"/>
        <w:rPr>
          <w:rFonts w:cstheme="minorHAnsi"/>
          <w:bCs/>
          <w:color w:val="0070C0"/>
        </w:rPr>
      </w:pPr>
      <w:r w:rsidRPr="00B91309">
        <w:rPr>
          <w:rFonts w:cstheme="minorHAnsi"/>
          <w:bCs/>
          <w:color w:val="0070C0"/>
        </w:rPr>
        <w:lastRenderedPageBreak/>
        <w:t>The</w:t>
      </w:r>
      <w:r w:rsidR="003229D6" w:rsidRPr="00B91309">
        <w:rPr>
          <w:rFonts w:cstheme="minorHAnsi"/>
          <w:bCs/>
          <w:color w:val="0070C0"/>
        </w:rPr>
        <w:t xml:space="preserve"> </w:t>
      </w:r>
      <w:r w:rsidR="00DD1BC7" w:rsidRPr="00B91309">
        <w:rPr>
          <w:rFonts w:cstheme="minorHAnsi"/>
          <w:bCs/>
          <w:color w:val="0070C0"/>
        </w:rPr>
        <w:t>procedure occurred in an</w:t>
      </w:r>
      <w:r w:rsidR="003229D6" w:rsidRPr="00B91309">
        <w:rPr>
          <w:rFonts w:cstheme="minorHAnsi"/>
          <w:bCs/>
          <w:color w:val="0070C0"/>
        </w:rPr>
        <w:t xml:space="preserve"> inpatient stay </w:t>
      </w:r>
      <w:r w:rsidR="00DD1BC7" w:rsidRPr="00B91309">
        <w:rPr>
          <w:rFonts w:cstheme="minorHAnsi"/>
          <w:bCs/>
          <w:color w:val="0070C0"/>
        </w:rPr>
        <w:t>with</w:t>
      </w:r>
      <w:r w:rsidR="003229D6" w:rsidRPr="00B91309">
        <w:rPr>
          <w:rFonts w:cstheme="minorHAnsi"/>
          <w:bCs/>
          <w:color w:val="0070C0"/>
        </w:rPr>
        <w:t xml:space="preserve"> a relevant MS-DRG code.</w:t>
      </w:r>
    </w:p>
    <w:p w14:paraId="3847B2D5" w14:textId="2AA58F0D" w:rsidR="0055582F" w:rsidRPr="00B91309" w:rsidRDefault="0055582F" w:rsidP="00211B1B">
      <w:pPr>
        <w:pStyle w:val="ListParagraph"/>
        <w:numPr>
          <w:ilvl w:val="0"/>
          <w:numId w:val="3"/>
        </w:numPr>
        <w:autoSpaceDE w:val="0"/>
        <w:autoSpaceDN w:val="0"/>
        <w:adjustRightInd w:val="0"/>
        <w:spacing w:after="0" w:line="240" w:lineRule="auto"/>
        <w:rPr>
          <w:rFonts w:cstheme="minorHAnsi"/>
          <w:bCs/>
          <w:color w:val="0070C0"/>
        </w:rPr>
      </w:pPr>
      <w:r w:rsidRPr="00B91309">
        <w:rPr>
          <w:rFonts w:cstheme="minorHAnsi"/>
          <w:bCs/>
          <w:color w:val="0070C0"/>
        </w:rPr>
        <w:t>The procedure was not an emergent CABG procedure</w:t>
      </w:r>
      <w:r w:rsidR="008F0B76" w:rsidRPr="00B91309">
        <w:rPr>
          <w:rFonts w:cstheme="minorHAnsi"/>
          <w:bCs/>
          <w:color w:val="0070C0"/>
        </w:rPr>
        <w:t>.</w:t>
      </w:r>
    </w:p>
    <w:p w14:paraId="7CCD347F" w14:textId="17F84EA2" w:rsidR="000F2468" w:rsidRPr="00B91309" w:rsidRDefault="00CD744C" w:rsidP="00211B1B">
      <w:pPr>
        <w:pStyle w:val="ListParagraph"/>
        <w:numPr>
          <w:ilvl w:val="0"/>
          <w:numId w:val="3"/>
        </w:numPr>
        <w:autoSpaceDE w:val="0"/>
        <w:autoSpaceDN w:val="0"/>
        <w:adjustRightInd w:val="0"/>
        <w:spacing w:after="0" w:line="240" w:lineRule="auto"/>
        <w:rPr>
          <w:rFonts w:cstheme="minorHAnsi"/>
          <w:bCs/>
          <w:color w:val="0070C0"/>
        </w:rPr>
      </w:pPr>
      <w:r w:rsidRPr="00B91309">
        <w:rPr>
          <w:rFonts w:cstheme="minorHAnsi"/>
          <w:bCs/>
          <w:color w:val="0070C0"/>
        </w:rPr>
        <w:t>The episode did</w:t>
      </w:r>
      <w:r w:rsidR="00DD1BC7" w:rsidRPr="00B91309">
        <w:rPr>
          <w:rFonts w:cstheme="minorHAnsi"/>
          <w:bCs/>
          <w:color w:val="0070C0"/>
        </w:rPr>
        <w:t xml:space="preserve"> not include a concurrent cox maze procedure</w:t>
      </w:r>
      <w:r w:rsidR="008F0B76" w:rsidRPr="00B91309">
        <w:rPr>
          <w:rFonts w:cstheme="minorHAnsi"/>
          <w:bCs/>
          <w:color w:val="0070C0"/>
        </w:rPr>
        <w:t>.</w:t>
      </w:r>
    </w:p>
    <w:p w14:paraId="2F11CAFC" w14:textId="5FB97985" w:rsidR="00DD1BC7" w:rsidRPr="00B91309" w:rsidRDefault="00DD1BC7" w:rsidP="00211B1B">
      <w:pPr>
        <w:pStyle w:val="ListParagraph"/>
        <w:numPr>
          <w:ilvl w:val="0"/>
          <w:numId w:val="3"/>
        </w:numPr>
        <w:autoSpaceDE w:val="0"/>
        <w:autoSpaceDN w:val="0"/>
        <w:adjustRightInd w:val="0"/>
        <w:spacing w:after="0" w:line="240" w:lineRule="auto"/>
        <w:rPr>
          <w:rFonts w:cstheme="minorHAnsi"/>
          <w:bCs/>
          <w:color w:val="0070C0"/>
        </w:rPr>
      </w:pPr>
      <w:r w:rsidRPr="00B91309">
        <w:rPr>
          <w:rFonts w:cstheme="minorHAnsi"/>
          <w:bCs/>
          <w:color w:val="0070C0"/>
        </w:rPr>
        <w:t>The patient was not on dialysis for e</w:t>
      </w:r>
      <w:r w:rsidR="008F0B76" w:rsidRPr="00B91309">
        <w:rPr>
          <w:rFonts w:cstheme="minorHAnsi"/>
          <w:bCs/>
          <w:color w:val="0070C0"/>
        </w:rPr>
        <w:t>nd-stage renal disease.</w:t>
      </w:r>
    </w:p>
    <w:p w14:paraId="2E751B0E" w14:textId="556DAECF" w:rsidR="00DD1BC7" w:rsidRPr="00B91309" w:rsidRDefault="0055582F" w:rsidP="00211B1B">
      <w:pPr>
        <w:pStyle w:val="ListParagraph"/>
        <w:numPr>
          <w:ilvl w:val="0"/>
          <w:numId w:val="3"/>
        </w:numPr>
        <w:autoSpaceDE w:val="0"/>
        <w:autoSpaceDN w:val="0"/>
        <w:adjustRightInd w:val="0"/>
        <w:spacing w:after="0" w:line="240" w:lineRule="auto"/>
        <w:rPr>
          <w:rFonts w:cstheme="minorHAnsi"/>
          <w:bCs/>
          <w:color w:val="0070C0"/>
        </w:rPr>
      </w:pPr>
      <w:r w:rsidRPr="00B91309">
        <w:rPr>
          <w:rFonts w:cstheme="minorHAnsi"/>
          <w:bCs/>
          <w:color w:val="0070C0"/>
        </w:rPr>
        <w:t>The patient was not in s</w:t>
      </w:r>
      <w:r w:rsidR="00DD1BC7" w:rsidRPr="00B91309">
        <w:rPr>
          <w:rFonts w:cstheme="minorHAnsi"/>
          <w:bCs/>
          <w:color w:val="0070C0"/>
        </w:rPr>
        <w:t xml:space="preserve">hock prior to </w:t>
      </w:r>
      <w:r w:rsidRPr="00B91309">
        <w:rPr>
          <w:rFonts w:cstheme="minorHAnsi"/>
          <w:bCs/>
          <w:color w:val="0070C0"/>
        </w:rPr>
        <w:t xml:space="preserve">the </w:t>
      </w:r>
      <w:r w:rsidR="00DD1BC7" w:rsidRPr="00B91309">
        <w:rPr>
          <w:rFonts w:cstheme="minorHAnsi"/>
          <w:bCs/>
          <w:color w:val="0070C0"/>
        </w:rPr>
        <w:t>CABG</w:t>
      </w:r>
      <w:r w:rsidRPr="00B91309">
        <w:rPr>
          <w:rFonts w:cstheme="minorHAnsi"/>
          <w:bCs/>
          <w:color w:val="0070C0"/>
        </w:rPr>
        <w:t xml:space="preserve"> procedure</w:t>
      </w:r>
      <w:r w:rsidR="008F0B76" w:rsidRPr="00B91309">
        <w:rPr>
          <w:rFonts w:cstheme="minorHAnsi"/>
          <w:bCs/>
          <w:color w:val="0070C0"/>
        </w:rPr>
        <w:t>.</w:t>
      </w:r>
    </w:p>
    <w:p w14:paraId="676C35FA" w14:textId="3043B594" w:rsidR="00DD1BC7" w:rsidRPr="00B91309" w:rsidRDefault="0055582F" w:rsidP="00211B1B">
      <w:pPr>
        <w:pStyle w:val="ListParagraph"/>
        <w:numPr>
          <w:ilvl w:val="0"/>
          <w:numId w:val="3"/>
        </w:numPr>
        <w:autoSpaceDE w:val="0"/>
        <w:autoSpaceDN w:val="0"/>
        <w:adjustRightInd w:val="0"/>
        <w:spacing w:after="0" w:line="240" w:lineRule="auto"/>
        <w:rPr>
          <w:rFonts w:cstheme="minorHAnsi"/>
          <w:bCs/>
          <w:color w:val="0070C0"/>
        </w:rPr>
      </w:pPr>
      <w:r w:rsidRPr="00B91309">
        <w:rPr>
          <w:rFonts w:cstheme="minorHAnsi"/>
          <w:bCs/>
          <w:color w:val="0070C0"/>
        </w:rPr>
        <w:t>The procedure did not include a r</w:t>
      </w:r>
      <w:r w:rsidR="00DD1BC7" w:rsidRPr="00B91309">
        <w:rPr>
          <w:rFonts w:cstheme="minorHAnsi"/>
          <w:bCs/>
          <w:color w:val="0070C0"/>
        </w:rPr>
        <w:t>edo sternotomy</w:t>
      </w:r>
      <w:r w:rsidR="008F0B76" w:rsidRPr="00B91309">
        <w:rPr>
          <w:rFonts w:cstheme="minorHAnsi"/>
          <w:bCs/>
          <w:color w:val="0070C0"/>
        </w:rPr>
        <w:t>.</w:t>
      </w:r>
    </w:p>
    <w:p w14:paraId="6763F5EE" w14:textId="39E1D0B8" w:rsidR="000F2468" w:rsidRPr="00B91309" w:rsidRDefault="000F2468" w:rsidP="00211B1B">
      <w:pPr>
        <w:pStyle w:val="ListParagraph"/>
        <w:numPr>
          <w:ilvl w:val="0"/>
          <w:numId w:val="3"/>
        </w:numPr>
        <w:autoSpaceDE w:val="0"/>
        <w:autoSpaceDN w:val="0"/>
        <w:adjustRightInd w:val="0"/>
        <w:spacing w:after="0" w:line="240" w:lineRule="auto"/>
        <w:rPr>
          <w:rFonts w:cstheme="minorHAnsi"/>
          <w:bCs/>
          <w:color w:val="0070C0"/>
        </w:rPr>
      </w:pPr>
      <w:r w:rsidRPr="00B91309">
        <w:rPr>
          <w:rFonts w:cstheme="minorHAnsi"/>
          <w:bCs/>
          <w:color w:val="0070C0"/>
        </w:rPr>
        <w:t>The episode is not an outlier case.</w:t>
      </w:r>
    </w:p>
    <w:p w14:paraId="00DE86CD" w14:textId="77777777" w:rsidR="000F2468" w:rsidRPr="00B91309" w:rsidRDefault="000F2468" w:rsidP="000F2468">
      <w:pPr>
        <w:autoSpaceDE w:val="0"/>
        <w:autoSpaceDN w:val="0"/>
        <w:adjustRightInd w:val="0"/>
        <w:spacing w:after="0" w:line="240" w:lineRule="auto"/>
        <w:rPr>
          <w:rFonts w:cstheme="minorHAnsi"/>
          <w:bCs/>
        </w:rPr>
      </w:pPr>
    </w:p>
    <w:p w14:paraId="73E62A0E" w14:textId="022BBBF2" w:rsidR="000F2468" w:rsidRPr="00B91309" w:rsidRDefault="000F2468" w:rsidP="000F2468">
      <w:pPr>
        <w:autoSpaceDE w:val="0"/>
        <w:autoSpaceDN w:val="0"/>
        <w:adjustRightInd w:val="0"/>
        <w:spacing w:after="0" w:line="240" w:lineRule="auto"/>
        <w:rPr>
          <w:rFonts w:cstheme="minorHAnsi"/>
          <w:bCs/>
          <w:color w:val="0070C0"/>
        </w:rPr>
      </w:pPr>
      <w:r w:rsidRPr="00B91309">
        <w:rPr>
          <w:rFonts w:cstheme="minorHAnsi"/>
          <w:bCs/>
          <w:color w:val="0070C0"/>
        </w:rPr>
        <w:t xml:space="preserve">To </w:t>
      </w:r>
      <w:r w:rsidR="0013610F" w:rsidRPr="00B91309">
        <w:rPr>
          <w:rFonts w:cstheme="minorHAnsi"/>
          <w:bCs/>
          <w:color w:val="0070C0"/>
        </w:rPr>
        <w:t>ensure that</w:t>
      </w:r>
      <w:r w:rsidRPr="00B91309">
        <w:rPr>
          <w:rFonts w:cstheme="minorHAnsi"/>
          <w:bCs/>
          <w:color w:val="0070C0"/>
        </w:rPr>
        <w:t xml:space="preserve"> the inclusion criteria </w:t>
      </w:r>
      <w:r w:rsidR="00E06AAF" w:rsidRPr="00B91309">
        <w:rPr>
          <w:rFonts w:cstheme="minorHAnsi"/>
          <w:bCs/>
          <w:color w:val="0070C0"/>
        </w:rPr>
        <w:t xml:space="preserve">listed above </w:t>
      </w:r>
      <w:r w:rsidR="0013610F" w:rsidRPr="00B91309">
        <w:rPr>
          <w:rFonts w:cstheme="minorHAnsi"/>
          <w:bCs/>
          <w:color w:val="0070C0"/>
        </w:rPr>
        <w:t xml:space="preserve">do not </w:t>
      </w:r>
      <w:r w:rsidRPr="00B91309">
        <w:rPr>
          <w:rFonts w:cstheme="minorHAnsi"/>
          <w:bCs/>
          <w:color w:val="0070C0"/>
        </w:rPr>
        <w:t>distort patient characteristics</w:t>
      </w:r>
      <w:r w:rsidR="0013610F" w:rsidRPr="00B91309">
        <w:rPr>
          <w:rFonts w:cstheme="minorHAnsi"/>
          <w:bCs/>
          <w:color w:val="0070C0"/>
        </w:rPr>
        <w:t xml:space="preserve"> within the measure population</w:t>
      </w:r>
      <w:r w:rsidRPr="00B91309">
        <w:rPr>
          <w:rFonts w:cstheme="minorHAnsi"/>
          <w:bCs/>
          <w:color w:val="0070C0"/>
        </w:rPr>
        <w:t xml:space="preserve">, we </w:t>
      </w:r>
      <w:r w:rsidR="0013610F" w:rsidRPr="00B91309">
        <w:rPr>
          <w:rFonts w:cstheme="minorHAnsi"/>
          <w:bCs/>
          <w:color w:val="0070C0"/>
        </w:rPr>
        <w:t xml:space="preserve">compared </w:t>
      </w:r>
      <w:r w:rsidRPr="00B91309">
        <w:rPr>
          <w:rFonts w:cstheme="minorHAnsi"/>
          <w:bCs/>
          <w:color w:val="0070C0"/>
        </w:rPr>
        <w:t>distributions of patient characteristics (age, race, sex, dual eligibilit</w:t>
      </w:r>
      <w:r w:rsidR="006F6F99" w:rsidRPr="00B91309">
        <w:rPr>
          <w:rFonts w:cstheme="minorHAnsi"/>
          <w:bCs/>
          <w:color w:val="0070C0"/>
        </w:rPr>
        <w:t>y status, income, unemployment</w:t>
      </w:r>
      <w:r w:rsidRPr="00B91309">
        <w:rPr>
          <w:rFonts w:cstheme="minorHAnsi"/>
          <w:bCs/>
          <w:color w:val="0070C0"/>
        </w:rPr>
        <w:t xml:space="preserve">, </w:t>
      </w:r>
      <w:r w:rsidR="00EC664F" w:rsidRPr="00B91309">
        <w:rPr>
          <w:rFonts w:cstheme="minorHAnsi"/>
          <w:bCs/>
          <w:color w:val="0070C0"/>
        </w:rPr>
        <w:t>hierarchical condition categories</w:t>
      </w:r>
      <w:r w:rsidR="00AC2C0E" w:rsidRPr="00B91309">
        <w:rPr>
          <w:rFonts w:cstheme="minorHAnsi"/>
          <w:bCs/>
          <w:color w:val="0070C0"/>
        </w:rPr>
        <w:t xml:space="preserve"> [</w:t>
      </w:r>
      <w:r w:rsidR="00EC664F" w:rsidRPr="00B91309">
        <w:rPr>
          <w:rFonts w:cstheme="minorHAnsi"/>
          <w:bCs/>
          <w:color w:val="0070C0"/>
        </w:rPr>
        <w:t>HCCs</w:t>
      </w:r>
      <w:r w:rsidR="00AC2C0E" w:rsidRPr="00B91309">
        <w:rPr>
          <w:rFonts w:cstheme="minorHAnsi"/>
          <w:bCs/>
          <w:color w:val="0070C0"/>
        </w:rPr>
        <w:t>]</w:t>
      </w:r>
      <w:r w:rsidRPr="00B91309">
        <w:rPr>
          <w:rFonts w:cstheme="minorHAnsi"/>
          <w:bCs/>
          <w:color w:val="0070C0"/>
        </w:rPr>
        <w:t xml:space="preserve">) for </w:t>
      </w:r>
      <w:r w:rsidR="00A10EA6" w:rsidRPr="00B91309">
        <w:rPr>
          <w:rFonts w:cstheme="minorHAnsi"/>
          <w:bCs/>
          <w:color w:val="0070C0"/>
        </w:rPr>
        <w:t>patients</w:t>
      </w:r>
      <w:r w:rsidR="0013610F" w:rsidRPr="00B91309">
        <w:rPr>
          <w:rFonts w:cstheme="minorHAnsi"/>
          <w:bCs/>
          <w:color w:val="0070C0"/>
        </w:rPr>
        <w:t xml:space="preserve"> </w:t>
      </w:r>
      <w:r w:rsidR="000C3F7F" w:rsidRPr="00B91309">
        <w:rPr>
          <w:rFonts w:cstheme="minorHAnsi"/>
          <w:bCs/>
          <w:color w:val="0070C0"/>
        </w:rPr>
        <w:t xml:space="preserve">and episodes before </w:t>
      </w:r>
      <w:r w:rsidR="0013610F" w:rsidRPr="00B91309">
        <w:rPr>
          <w:rFonts w:cstheme="minorHAnsi"/>
          <w:bCs/>
          <w:color w:val="0070C0"/>
        </w:rPr>
        <w:t xml:space="preserve">and </w:t>
      </w:r>
      <w:r w:rsidR="000C3F7F" w:rsidRPr="00B91309">
        <w:rPr>
          <w:rFonts w:cstheme="minorHAnsi"/>
          <w:bCs/>
          <w:color w:val="0070C0"/>
        </w:rPr>
        <w:t xml:space="preserve">after </w:t>
      </w:r>
      <w:r w:rsidR="0013610F" w:rsidRPr="00B91309">
        <w:rPr>
          <w:rFonts w:cstheme="minorHAnsi"/>
          <w:bCs/>
          <w:color w:val="0070C0"/>
        </w:rPr>
        <w:t xml:space="preserve">applying the </w:t>
      </w:r>
      <w:r w:rsidRPr="00B91309">
        <w:rPr>
          <w:rFonts w:cstheme="minorHAnsi"/>
          <w:bCs/>
          <w:color w:val="0070C0"/>
        </w:rPr>
        <w:t>inclusion criteria</w:t>
      </w:r>
      <w:r w:rsidR="000C3F7F" w:rsidRPr="00B91309">
        <w:rPr>
          <w:rFonts w:cstheme="minorHAnsi"/>
          <w:bCs/>
          <w:color w:val="0070C0"/>
        </w:rPr>
        <w:t xml:space="preserve">. </w:t>
      </w:r>
    </w:p>
    <w:p w14:paraId="5FE85525" w14:textId="77777777" w:rsidR="000F2468" w:rsidRPr="00B91309" w:rsidRDefault="000F2468" w:rsidP="000F2468">
      <w:pPr>
        <w:autoSpaceDE w:val="0"/>
        <w:autoSpaceDN w:val="0"/>
        <w:adjustRightInd w:val="0"/>
        <w:spacing w:after="0" w:line="240" w:lineRule="auto"/>
        <w:rPr>
          <w:rFonts w:cstheme="minorHAnsi"/>
          <w:bCs/>
          <w:color w:val="0070C0"/>
        </w:rPr>
      </w:pPr>
    </w:p>
    <w:p w14:paraId="731B1AEC" w14:textId="2F4D9BDB" w:rsidR="00E06AAF" w:rsidRDefault="00E06AAF" w:rsidP="00E06AAF">
      <w:pPr>
        <w:autoSpaceDE w:val="0"/>
        <w:autoSpaceDN w:val="0"/>
        <w:adjustRightInd w:val="0"/>
        <w:spacing w:after="0" w:line="240" w:lineRule="auto"/>
        <w:rPr>
          <w:rFonts w:cstheme="minorHAnsi"/>
          <w:bCs/>
          <w:color w:val="0070C0"/>
        </w:rPr>
      </w:pPr>
      <w:r w:rsidRPr="00B91309">
        <w:rPr>
          <w:rFonts w:cstheme="minorHAnsi"/>
          <w:bCs/>
          <w:color w:val="0070C0"/>
        </w:rPr>
        <w:t xml:space="preserve">Results </w:t>
      </w:r>
      <w:r w:rsidR="0013610F" w:rsidRPr="00B91309">
        <w:rPr>
          <w:rFonts w:cstheme="minorHAnsi"/>
          <w:bCs/>
          <w:color w:val="0070C0"/>
        </w:rPr>
        <w:t xml:space="preserve">of this analysis </w:t>
      </w:r>
      <w:r w:rsidR="00D22D5D" w:rsidRPr="00B91309">
        <w:rPr>
          <w:rFonts w:cstheme="minorHAnsi"/>
          <w:bCs/>
          <w:color w:val="0070C0"/>
        </w:rPr>
        <w:t>show</w:t>
      </w:r>
      <w:r w:rsidR="000F2468" w:rsidRPr="00B91309">
        <w:rPr>
          <w:rFonts w:cstheme="minorHAnsi"/>
          <w:bCs/>
          <w:color w:val="0070C0"/>
        </w:rPr>
        <w:t xml:space="preserve"> that the </w:t>
      </w:r>
      <w:r w:rsidR="00E76F59" w:rsidRPr="00B91309">
        <w:rPr>
          <w:color w:val="0070C0"/>
        </w:rPr>
        <w:t>Non-Emergent</w:t>
      </w:r>
      <w:r w:rsidR="00E76F59" w:rsidRPr="00991453">
        <w:rPr>
          <w:color w:val="0070C0"/>
        </w:rPr>
        <w:t xml:space="preserve"> CABG Measure</w:t>
      </w:r>
      <w:r w:rsidR="0013610F" w:rsidRPr="00991453">
        <w:rPr>
          <w:color w:val="0070C0"/>
        </w:rPr>
        <w:t xml:space="preserve"> </w:t>
      </w:r>
      <w:r w:rsidR="000F2468" w:rsidRPr="00991453">
        <w:rPr>
          <w:rFonts w:cstheme="minorHAnsi"/>
          <w:bCs/>
          <w:color w:val="0070C0"/>
        </w:rPr>
        <w:t xml:space="preserve">inclusion criteria </w:t>
      </w:r>
      <w:r w:rsidR="00970619" w:rsidRPr="00991453">
        <w:rPr>
          <w:rFonts w:cstheme="minorHAnsi"/>
          <w:bCs/>
          <w:color w:val="0070C0"/>
        </w:rPr>
        <w:t xml:space="preserve">have a minimal effect </w:t>
      </w:r>
      <w:r w:rsidR="001B78A0" w:rsidRPr="00991453">
        <w:rPr>
          <w:rFonts w:cstheme="minorHAnsi"/>
          <w:bCs/>
          <w:color w:val="0070C0"/>
        </w:rPr>
        <w:t xml:space="preserve">on </w:t>
      </w:r>
      <w:r w:rsidR="000F2468" w:rsidRPr="00991453">
        <w:rPr>
          <w:rFonts w:cstheme="minorHAnsi"/>
          <w:bCs/>
          <w:color w:val="0070C0"/>
        </w:rPr>
        <w:t xml:space="preserve">the </w:t>
      </w:r>
      <w:r w:rsidR="00D22D5D" w:rsidRPr="00991453">
        <w:rPr>
          <w:rFonts w:cstheme="minorHAnsi"/>
          <w:bCs/>
          <w:color w:val="0070C0"/>
        </w:rPr>
        <w:t xml:space="preserve">distribution of patient characteristics within the measure population. Across all demographic categories, the difference in proportion of </w:t>
      </w:r>
      <w:r w:rsidR="00A10EA6" w:rsidRPr="00991453">
        <w:rPr>
          <w:rFonts w:cstheme="minorHAnsi"/>
          <w:bCs/>
          <w:color w:val="0070C0"/>
        </w:rPr>
        <w:t>patients</w:t>
      </w:r>
      <w:r w:rsidR="00D22D5D" w:rsidRPr="00991453">
        <w:rPr>
          <w:rFonts w:cstheme="minorHAnsi"/>
          <w:bCs/>
          <w:color w:val="0070C0"/>
        </w:rPr>
        <w:t xml:space="preserve"> before and after applying inclusion criteria is </w:t>
      </w:r>
      <w:r w:rsidRPr="00991453">
        <w:rPr>
          <w:rFonts w:cstheme="minorHAnsi"/>
          <w:bCs/>
          <w:color w:val="0070C0"/>
        </w:rPr>
        <w:t xml:space="preserve">less than </w:t>
      </w:r>
      <w:r w:rsidR="00C318B6" w:rsidRPr="00991453">
        <w:rPr>
          <w:rFonts w:cstheme="minorHAnsi"/>
          <w:bCs/>
          <w:color w:val="0070C0"/>
        </w:rPr>
        <w:t>3</w:t>
      </w:r>
      <w:r w:rsidR="00D22D5D" w:rsidRPr="00991453">
        <w:rPr>
          <w:rFonts w:cstheme="minorHAnsi"/>
          <w:bCs/>
          <w:color w:val="0070C0"/>
        </w:rPr>
        <w:t xml:space="preserve"> percentage points. </w:t>
      </w:r>
      <w:r w:rsidRPr="00991453">
        <w:rPr>
          <w:rFonts w:cstheme="minorHAnsi"/>
          <w:bCs/>
          <w:color w:val="0070C0"/>
        </w:rPr>
        <w:t xml:space="preserve">To illustrate, the measure population is </w:t>
      </w:r>
      <w:r w:rsidR="00C318B6" w:rsidRPr="00991453">
        <w:rPr>
          <w:rFonts w:cstheme="minorHAnsi"/>
          <w:bCs/>
          <w:color w:val="0070C0"/>
        </w:rPr>
        <w:t>26.3</w:t>
      </w:r>
      <w:r w:rsidRPr="00991453">
        <w:rPr>
          <w:rFonts w:cstheme="minorHAnsi"/>
          <w:bCs/>
          <w:color w:val="0070C0"/>
        </w:rPr>
        <w:t xml:space="preserve"> percent female</w:t>
      </w:r>
      <w:r>
        <w:rPr>
          <w:rFonts w:cstheme="minorHAnsi"/>
          <w:bCs/>
          <w:color w:val="0070C0"/>
        </w:rPr>
        <w:t xml:space="preserve"> before the inclusion criteria is applied, compared with </w:t>
      </w:r>
      <w:r w:rsidR="00C318B6">
        <w:rPr>
          <w:rFonts w:cstheme="minorHAnsi"/>
          <w:bCs/>
          <w:color w:val="0070C0"/>
        </w:rPr>
        <w:t xml:space="preserve">25.5 </w:t>
      </w:r>
      <w:r>
        <w:rPr>
          <w:rFonts w:cstheme="minorHAnsi"/>
          <w:bCs/>
          <w:color w:val="0070C0"/>
        </w:rPr>
        <w:t xml:space="preserve">percent after criteria is applied at </w:t>
      </w:r>
      <w:r w:rsidR="001C4187">
        <w:rPr>
          <w:rFonts w:cstheme="minorHAnsi"/>
          <w:bCs/>
          <w:color w:val="0070C0"/>
        </w:rPr>
        <w:t xml:space="preserve">both </w:t>
      </w:r>
      <w:r>
        <w:rPr>
          <w:rFonts w:cstheme="minorHAnsi"/>
          <w:bCs/>
          <w:color w:val="0070C0"/>
        </w:rPr>
        <w:t xml:space="preserve">TIN </w:t>
      </w:r>
      <w:r w:rsidR="00C318B6">
        <w:rPr>
          <w:rFonts w:cstheme="minorHAnsi"/>
          <w:bCs/>
          <w:color w:val="0070C0"/>
        </w:rPr>
        <w:t xml:space="preserve">and TIN-NPI </w:t>
      </w:r>
      <w:r>
        <w:rPr>
          <w:rFonts w:cstheme="minorHAnsi"/>
          <w:bCs/>
          <w:color w:val="0070C0"/>
        </w:rPr>
        <w:t>level</w:t>
      </w:r>
      <w:r w:rsidR="00C318B6">
        <w:rPr>
          <w:rFonts w:cstheme="minorHAnsi"/>
          <w:bCs/>
          <w:color w:val="0070C0"/>
        </w:rPr>
        <w:t>s of</w:t>
      </w:r>
      <w:r>
        <w:rPr>
          <w:rFonts w:cstheme="minorHAnsi"/>
          <w:bCs/>
          <w:color w:val="0070C0"/>
        </w:rPr>
        <w:t xml:space="preserve"> analysis. When it comes to race categories, the population is </w:t>
      </w:r>
      <w:r w:rsidR="00C318B6">
        <w:rPr>
          <w:rFonts w:cstheme="minorHAnsi"/>
          <w:bCs/>
          <w:color w:val="0070C0"/>
        </w:rPr>
        <w:t xml:space="preserve">86.6 percent White </w:t>
      </w:r>
      <w:r>
        <w:rPr>
          <w:rFonts w:cstheme="minorHAnsi"/>
          <w:bCs/>
          <w:color w:val="0070C0"/>
        </w:rPr>
        <w:t xml:space="preserve">without inclusion criteria; after inclusion criteria is applied, this </w:t>
      </w:r>
      <w:r w:rsidR="00C318B6">
        <w:rPr>
          <w:rFonts w:cstheme="minorHAnsi"/>
          <w:bCs/>
          <w:color w:val="0070C0"/>
        </w:rPr>
        <w:t xml:space="preserve">statistic </w:t>
      </w:r>
      <w:r>
        <w:rPr>
          <w:rFonts w:cstheme="minorHAnsi"/>
          <w:bCs/>
          <w:color w:val="0070C0"/>
        </w:rPr>
        <w:t xml:space="preserve">is </w:t>
      </w:r>
      <w:r w:rsidR="00C318B6">
        <w:rPr>
          <w:rFonts w:cstheme="minorHAnsi"/>
          <w:bCs/>
          <w:color w:val="0070C0"/>
        </w:rPr>
        <w:t>88.9</w:t>
      </w:r>
      <w:r>
        <w:rPr>
          <w:rFonts w:cstheme="minorHAnsi"/>
          <w:bCs/>
          <w:color w:val="0070C0"/>
        </w:rPr>
        <w:t xml:space="preserve"> percent </w:t>
      </w:r>
      <w:r w:rsidR="001C4187">
        <w:rPr>
          <w:rFonts w:cstheme="minorHAnsi"/>
          <w:bCs/>
          <w:color w:val="0070C0"/>
        </w:rPr>
        <w:t>at TIN level analysis</w:t>
      </w:r>
      <w:r>
        <w:rPr>
          <w:rFonts w:cstheme="minorHAnsi"/>
          <w:bCs/>
          <w:color w:val="0070C0"/>
        </w:rPr>
        <w:t xml:space="preserve"> and </w:t>
      </w:r>
      <w:r w:rsidR="00C318B6">
        <w:rPr>
          <w:rFonts w:cstheme="minorHAnsi"/>
          <w:bCs/>
          <w:color w:val="0070C0"/>
        </w:rPr>
        <w:t xml:space="preserve">89.1 </w:t>
      </w:r>
      <w:r>
        <w:rPr>
          <w:rFonts w:cstheme="minorHAnsi"/>
          <w:bCs/>
          <w:color w:val="0070C0"/>
        </w:rPr>
        <w:t xml:space="preserve">percent at TIN-NPI level analysis. In terms of age, </w:t>
      </w:r>
      <w:r w:rsidR="00C318B6">
        <w:rPr>
          <w:rFonts w:cstheme="minorHAnsi"/>
          <w:bCs/>
          <w:color w:val="0070C0"/>
        </w:rPr>
        <w:t>27.3</w:t>
      </w:r>
      <w:r>
        <w:rPr>
          <w:rFonts w:cstheme="minorHAnsi"/>
          <w:bCs/>
          <w:color w:val="0070C0"/>
        </w:rPr>
        <w:t xml:space="preserve"> percent of the population is between ages 65 and 69 before inclusion criteria is applied, compared with </w:t>
      </w:r>
      <w:r w:rsidR="00C318B6">
        <w:rPr>
          <w:rFonts w:cstheme="minorHAnsi"/>
          <w:bCs/>
          <w:color w:val="0070C0"/>
        </w:rPr>
        <w:t>27.1</w:t>
      </w:r>
      <w:r>
        <w:rPr>
          <w:rFonts w:cstheme="minorHAnsi"/>
          <w:bCs/>
          <w:color w:val="0070C0"/>
        </w:rPr>
        <w:t xml:space="preserve"> percent at TIN level analysis </w:t>
      </w:r>
      <w:r w:rsidRPr="00C318B6">
        <w:rPr>
          <w:rFonts w:cstheme="minorHAnsi"/>
          <w:bCs/>
          <w:color w:val="0070C0"/>
        </w:rPr>
        <w:t xml:space="preserve">and </w:t>
      </w:r>
      <w:r w:rsidR="00C318B6" w:rsidRPr="00C318B6">
        <w:rPr>
          <w:rFonts w:cstheme="minorHAnsi"/>
          <w:bCs/>
          <w:color w:val="0070C0"/>
        </w:rPr>
        <w:t>27.0</w:t>
      </w:r>
      <w:r w:rsidRPr="00C318B6">
        <w:rPr>
          <w:rFonts w:cstheme="minorHAnsi"/>
          <w:bCs/>
          <w:color w:val="0070C0"/>
        </w:rPr>
        <w:t xml:space="preserve"> percent</w:t>
      </w:r>
      <w:r>
        <w:rPr>
          <w:rFonts w:cstheme="minorHAnsi"/>
          <w:bCs/>
          <w:color w:val="0070C0"/>
        </w:rPr>
        <w:t xml:space="preserve"> at TIN-NPI level analysis after inclusion criteria is applied. Similarly, </w:t>
      </w:r>
      <w:r w:rsidR="00C318B6">
        <w:rPr>
          <w:rFonts w:cstheme="minorHAnsi"/>
          <w:bCs/>
          <w:color w:val="0070C0"/>
        </w:rPr>
        <w:t>28.0</w:t>
      </w:r>
      <w:r>
        <w:rPr>
          <w:rFonts w:cstheme="minorHAnsi"/>
          <w:bCs/>
          <w:color w:val="0070C0"/>
        </w:rPr>
        <w:t xml:space="preserve"> percent of the </w:t>
      </w:r>
      <w:r w:rsidRPr="00C318B6">
        <w:rPr>
          <w:rFonts w:cstheme="minorHAnsi"/>
          <w:bCs/>
          <w:color w:val="0070C0"/>
        </w:rPr>
        <w:t xml:space="preserve">population is between ages 70 and 74 before inclusion criteria, compared with </w:t>
      </w:r>
      <w:r w:rsidR="00C318B6" w:rsidRPr="00C318B6">
        <w:rPr>
          <w:rFonts w:cstheme="minorHAnsi"/>
          <w:bCs/>
          <w:color w:val="0070C0"/>
        </w:rPr>
        <w:t>30.0</w:t>
      </w:r>
      <w:r w:rsidRPr="00C318B6">
        <w:rPr>
          <w:rFonts w:cstheme="minorHAnsi"/>
          <w:bCs/>
          <w:color w:val="0070C0"/>
        </w:rPr>
        <w:t xml:space="preserve"> percent at TIN level analysis and </w:t>
      </w:r>
      <w:r w:rsidR="00C318B6" w:rsidRPr="00C318B6">
        <w:rPr>
          <w:rFonts w:cstheme="minorHAnsi"/>
          <w:bCs/>
          <w:color w:val="0070C0"/>
        </w:rPr>
        <w:t>30.1</w:t>
      </w:r>
      <w:r w:rsidRPr="00C318B6">
        <w:rPr>
          <w:rFonts w:cstheme="minorHAnsi"/>
          <w:bCs/>
          <w:color w:val="0070C0"/>
        </w:rPr>
        <w:t xml:space="preserve"> percent at TIN-NPI level analysis after inclusion criteria. Finally, </w:t>
      </w:r>
      <w:r w:rsidR="00C318B6" w:rsidRPr="00C318B6">
        <w:rPr>
          <w:rFonts w:cstheme="minorHAnsi"/>
          <w:bCs/>
          <w:color w:val="0070C0"/>
        </w:rPr>
        <w:t>21.1</w:t>
      </w:r>
      <w:r w:rsidRPr="00C318B6">
        <w:rPr>
          <w:rFonts w:cstheme="minorHAnsi"/>
          <w:bCs/>
          <w:color w:val="0070C0"/>
        </w:rPr>
        <w:t xml:space="preserve"> percent of patients are between ages 75 and 79 before inclusion criteria, compared with </w:t>
      </w:r>
      <w:r w:rsidR="00C318B6" w:rsidRPr="00C318B6">
        <w:rPr>
          <w:rFonts w:cstheme="minorHAnsi"/>
          <w:bCs/>
          <w:color w:val="0070C0"/>
        </w:rPr>
        <w:t>21.9</w:t>
      </w:r>
      <w:r w:rsidRPr="00C318B6">
        <w:rPr>
          <w:rFonts w:cstheme="minorHAnsi"/>
          <w:bCs/>
          <w:color w:val="0070C0"/>
        </w:rPr>
        <w:t xml:space="preserve"> percent</w:t>
      </w:r>
      <w:r>
        <w:rPr>
          <w:rFonts w:cstheme="minorHAnsi"/>
          <w:bCs/>
          <w:color w:val="0070C0"/>
        </w:rPr>
        <w:t xml:space="preserve"> at TIN level analysis and </w:t>
      </w:r>
      <w:r w:rsidR="00C318B6">
        <w:rPr>
          <w:rFonts w:cstheme="minorHAnsi"/>
          <w:bCs/>
          <w:color w:val="0070C0"/>
        </w:rPr>
        <w:t>22.0</w:t>
      </w:r>
      <w:r>
        <w:rPr>
          <w:rFonts w:cstheme="minorHAnsi"/>
          <w:bCs/>
          <w:color w:val="0070C0"/>
        </w:rPr>
        <w:t xml:space="preserve"> percent at TIN-NPI level analysis after the criteria is applied. </w:t>
      </w:r>
    </w:p>
    <w:p w14:paraId="71E4B33D" w14:textId="77777777" w:rsidR="00E06AAF" w:rsidRDefault="00E06AAF" w:rsidP="00E06AAF">
      <w:pPr>
        <w:autoSpaceDE w:val="0"/>
        <w:autoSpaceDN w:val="0"/>
        <w:adjustRightInd w:val="0"/>
        <w:spacing w:after="0" w:line="240" w:lineRule="auto"/>
        <w:rPr>
          <w:rFonts w:cstheme="minorHAnsi"/>
          <w:bCs/>
          <w:color w:val="0070C0"/>
        </w:rPr>
      </w:pPr>
    </w:p>
    <w:p w14:paraId="6DBD0D64" w14:textId="54CEB766" w:rsidR="00E06AAF" w:rsidRPr="00F0437B" w:rsidRDefault="00E06AAF" w:rsidP="00E06AAF">
      <w:pPr>
        <w:autoSpaceDE w:val="0"/>
        <w:autoSpaceDN w:val="0"/>
        <w:adjustRightInd w:val="0"/>
        <w:spacing w:after="0" w:line="240" w:lineRule="auto"/>
        <w:rPr>
          <w:rFonts w:cstheme="minorHAnsi"/>
          <w:bCs/>
          <w:color w:val="0070C0"/>
        </w:rPr>
      </w:pPr>
      <w:r>
        <w:rPr>
          <w:rFonts w:cstheme="minorHAnsi"/>
          <w:bCs/>
          <w:color w:val="0070C0"/>
        </w:rPr>
        <w:t xml:space="preserve">Full results of this analysis can be seen in Appendix </w:t>
      </w:r>
      <w:r w:rsidR="009E48AC">
        <w:rPr>
          <w:rFonts w:cstheme="minorHAnsi"/>
          <w:bCs/>
          <w:color w:val="0070C0"/>
        </w:rPr>
        <w:t xml:space="preserve">Table </w:t>
      </w:r>
      <w:r>
        <w:rPr>
          <w:rFonts w:cstheme="minorHAnsi"/>
          <w:bCs/>
          <w:color w:val="0070C0"/>
        </w:rPr>
        <w:t xml:space="preserve">1.6. </w:t>
      </w:r>
      <w:r w:rsidRPr="00186EBF">
        <w:rPr>
          <w:rFonts w:cstheme="minorHAnsi"/>
          <w:bCs/>
          <w:color w:val="0070C0"/>
        </w:rPr>
        <w:t xml:space="preserve">These results indicate that there is minimal shift in patient characteristics as a results of the inclusion criteria </w:t>
      </w:r>
      <w:r>
        <w:rPr>
          <w:rFonts w:cstheme="minorHAnsi"/>
          <w:bCs/>
          <w:color w:val="0070C0"/>
        </w:rPr>
        <w:t>previously listed in this section</w:t>
      </w:r>
      <w:r w:rsidRPr="00970619">
        <w:rPr>
          <w:rFonts w:cstheme="minorHAnsi"/>
          <w:bCs/>
          <w:color w:val="0070C0"/>
        </w:rPr>
        <w:t xml:space="preserve"> </w:t>
      </w:r>
      <w:r w:rsidRPr="00A25024">
        <w:rPr>
          <w:rFonts w:cstheme="minorHAnsi"/>
          <w:bCs/>
        </w:rPr>
        <w:br/>
      </w:r>
    </w:p>
    <w:p w14:paraId="2BA6E617" w14:textId="77777777" w:rsidR="007C44A8" w:rsidRDefault="007C44A8" w:rsidP="007C44A8">
      <w:pPr>
        <w:autoSpaceDE w:val="0"/>
        <w:autoSpaceDN w:val="0"/>
        <w:adjustRightInd w:val="0"/>
        <w:spacing w:after="0" w:line="240" w:lineRule="auto"/>
        <w:rPr>
          <w:rFonts w:cstheme="minorHAnsi"/>
          <w:bCs/>
        </w:rPr>
      </w:pPr>
      <w:r>
        <w:rPr>
          <w:rFonts w:cstheme="minorHAnsi"/>
          <w:b/>
          <w:bCs/>
        </w:rPr>
        <w:t>1.</w:t>
      </w:r>
      <w:r w:rsidRPr="00A25024">
        <w:rPr>
          <w:rFonts w:cstheme="minorHAnsi"/>
          <w:b/>
          <w:bCs/>
        </w:rPr>
        <w:t>7. If there are differences in the data or sample used for different aspects of testing (e.g., reliability, validity, exclusions, risk adjustment), identify how the data or sample are different for each aspect of testing reported below</w:t>
      </w:r>
      <w:r>
        <w:rPr>
          <w:rFonts w:cstheme="minorHAnsi"/>
          <w:bCs/>
        </w:rPr>
        <w:t>.</w:t>
      </w:r>
    </w:p>
    <w:p w14:paraId="6FB6A926" w14:textId="77777777" w:rsidR="007C44A8" w:rsidRPr="003E1241" w:rsidRDefault="007C44A8" w:rsidP="007C44A8">
      <w:pPr>
        <w:pStyle w:val="CommentText"/>
        <w:rPr>
          <w:rFonts w:cstheme="minorHAnsi"/>
          <w:bCs/>
          <w:color w:val="0070C0"/>
          <w:sz w:val="22"/>
          <w:szCs w:val="22"/>
        </w:rPr>
      </w:pPr>
      <w:r w:rsidRPr="003E1241">
        <w:rPr>
          <w:rFonts w:cstheme="minorHAnsi"/>
          <w:bCs/>
          <w:color w:val="0070C0"/>
          <w:sz w:val="22"/>
          <w:szCs w:val="22"/>
        </w:rPr>
        <w:t>The split-sample te</w:t>
      </w:r>
      <w:r>
        <w:rPr>
          <w:rFonts w:cstheme="minorHAnsi"/>
          <w:bCs/>
          <w:color w:val="0070C0"/>
          <w:sz w:val="22"/>
          <w:szCs w:val="22"/>
        </w:rPr>
        <w:t>sting for reliability (described in Section 2a2</w:t>
      </w:r>
      <w:r w:rsidRPr="003E1241">
        <w:rPr>
          <w:rFonts w:cstheme="minorHAnsi"/>
          <w:bCs/>
          <w:color w:val="0070C0"/>
          <w:sz w:val="22"/>
          <w:szCs w:val="22"/>
        </w:rPr>
        <w:t xml:space="preserve">) includes episodes from calendar years 2018 and 2019. All other testing used the study period of January 1, 2019, to December 31, 2019. </w:t>
      </w:r>
    </w:p>
    <w:p w14:paraId="4D84095F" w14:textId="77777777" w:rsidR="007C44A8" w:rsidRDefault="007C44A8" w:rsidP="007C44A8">
      <w:pPr>
        <w:autoSpaceDE w:val="0"/>
        <w:autoSpaceDN w:val="0"/>
        <w:adjustRightInd w:val="0"/>
        <w:spacing w:after="0" w:line="240" w:lineRule="auto"/>
        <w:rPr>
          <w:rFonts w:cstheme="minorHAnsi"/>
          <w:bCs/>
          <w:color w:val="0070C0"/>
        </w:rPr>
      </w:pPr>
      <w:r w:rsidRPr="003E1241">
        <w:rPr>
          <w:rFonts w:cstheme="minorHAnsi"/>
          <w:bCs/>
          <w:color w:val="0070C0"/>
        </w:rPr>
        <w:t>The exclusion analysis (</w:t>
      </w:r>
      <w:r>
        <w:rPr>
          <w:rFonts w:cstheme="minorHAnsi"/>
          <w:bCs/>
          <w:color w:val="0070C0"/>
        </w:rPr>
        <w:t>described in Sections 1.6, 2b2, 2b6</w:t>
      </w:r>
      <w:r w:rsidRPr="003E1241">
        <w:rPr>
          <w:rFonts w:cstheme="minorHAnsi"/>
          <w:bCs/>
          <w:color w:val="0070C0"/>
        </w:rPr>
        <w:t xml:space="preserve">) used a greater population of episodes without inclusion criteria applied. This </w:t>
      </w:r>
      <w:r w:rsidRPr="005226E0">
        <w:rPr>
          <w:rFonts w:cstheme="minorHAnsi"/>
          <w:bCs/>
          <w:color w:val="0070C0"/>
        </w:rPr>
        <w:t>i</w:t>
      </w:r>
      <w:r>
        <w:rPr>
          <w:rFonts w:cstheme="minorHAnsi"/>
          <w:bCs/>
          <w:color w:val="0070C0"/>
        </w:rPr>
        <w:t>ncludes 1,104 TINs and 5,552 TIN-NPIs, 72,225</w:t>
      </w:r>
      <w:r w:rsidRPr="005226E0">
        <w:rPr>
          <w:rFonts w:cstheme="minorHAnsi"/>
          <w:bCs/>
          <w:color w:val="0070C0"/>
        </w:rPr>
        <w:t xml:space="preserve"> patients</w:t>
      </w:r>
      <w:r>
        <w:rPr>
          <w:rFonts w:cstheme="minorHAnsi"/>
          <w:bCs/>
          <w:color w:val="0070C0"/>
        </w:rPr>
        <w:t>, and 72,298</w:t>
      </w:r>
      <w:r w:rsidRPr="005226E0">
        <w:rPr>
          <w:rFonts w:cstheme="minorHAnsi"/>
          <w:bCs/>
          <w:color w:val="0070C0"/>
        </w:rPr>
        <w:t xml:space="preserve"> episodes</w:t>
      </w:r>
      <w:r w:rsidRPr="003E1241">
        <w:rPr>
          <w:rFonts w:cstheme="minorHAnsi"/>
          <w:bCs/>
          <w:color w:val="0070C0"/>
        </w:rPr>
        <w:t>. All other testing used the study population as outlined in Section 1.5 and Section 1.6.</w:t>
      </w:r>
    </w:p>
    <w:p w14:paraId="5D685102" w14:textId="77777777" w:rsidR="007C44A8" w:rsidRPr="00C44266" w:rsidRDefault="007C44A8" w:rsidP="007C44A8">
      <w:pPr>
        <w:autoSpaceDE w:val="0"/>
        <w:autoSpaceDN w:val="0"/>
        <w:adjustRightInd w:val="0"/>
        <w:spacing w:after="0" w:line="240" w:lineRule="auto"/>
        <w:rPr>
          <w:rFonts w:cstheme="minorHAnsi"/>
          <w:bCs/>
          <w:color w:val="0070C0"/>
        </w:rPr>
      </w:pPr>
      <w:r>
        <w:rPr>
          <w:rFonts w:cstheme="minorHAnsi"/>
          <w:bCs/>
          <w:color w:val="0070C0"/>
        </w:rPr>
        <w:t xml:space="preserve"> </w:t>
      </w:r>
    </w:p>
    <w:p w14:paraId="05F8AF38" w14:textId="77777777" w:rsidR="007C44A8" w:rsidRDefault="007C44A8" w:rsidP="007C44A8">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What were the social risk factors that were available and analyzed</w:t>
      </w:r>
      <w:r>
        <w:rPr>
          <w:rFonts w:cstheme="minorHAnsi"/>
          <w:bCs/>
        </w:rPr>
        <w:t xml:space="preserve">?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14:paraId="6CA01860" w14:textId="77777777" w:rsidR="007C44A8" w:rsidRPr="00700A35" w:rsidRDefault="007C44A8" w:rsidP="007C44A8">
      <w:pPr>
        <w:autoSpaceDE w:val="0"/>
        <w:autoSpaceDN w:val="0"/>
        <w:adjustRightInd w:val="0"/>
        <w:spacing w:after="0" w:line="240" w:lineRule="auto"/>
        <w:rPr>
          <w:rFonts w:cstheme="minorHAnsi"/>
          <w:noProof/>
          <w:color w:val="0070C0"/>
        </w:rPr>
      </w:pPr>
      <w:r w:rsidRPr="00700A35">
        <w:rPr>
          <w:rFonts w:cstheme="minorHAnsi"/>
          <w:noProof/>
          <w:color w:val="0070C0"/>
        </w:rPr>
        <w:t>The social risk factors analyzed were variables from the ACS, EDB, and CME. All ACS variables</w:t>
      </w:r>
      <w:r>
        <w:rPr>
          <w:rFonts w:cstheme="minorHAnsi"/>
          <w:noProof/>
          <w:color w:val="0070C0"/>
        </w:rPr>
        <w:t xml:space="preserve"> were</w:t>
      </w:r>
      <w:r w:rsidRPr="00700A35">
        <w:rPr>
          <w:rFonts w:cstheme="minorHAnsi"/>
          <w:noProof/>
          <w:color w:val="0070C0"/>
        </w:rPr>
        <w:t xml:space="preserve"> firstly defined at the Census Block Group level </w:t>
      </w:r>
      <w:r w:rsidRPr="00700A35">
        <w:rPr>
          <w:rFonts w:cstheme="minorHAnsi"/>
          <w:bCs/>
          <w:color w:val="0070C0"/>
        </w:rPr>
        <w:t>and then ZIP code when census block group is missing</w:t>
      </w:r>
      <w:r w:rsidRPr="00700A35">
        <w:rPr>
          <w:rFonts w:cstheme="minorHAnsi"/>
          <w:noProof/>
          <w:color w:val="0070C0"/>
        </w:rPr>
        <w:t xml:space="preserve">. Social risk variables analyzed include the following: </w:t>
      </w:r>
    </w:p>
    <w:p w14:paraId="54D40041" w14:textId="77777777" w:rsidR="007C44A8" w:rsidRPr="00700A35" w:rsidRDefault="007C44A8" w:rsidP="00211B1B">
      <w:pPr>
        <w:numPr>
          <w:ilvl w:val="0"/>
          <w:numId w:val="12"/>
        </w:numPr>
        <w:autoSpaceDE w:val="0"/>
        <w:autoSpaceDN w:val="0"/>
        <w:adjustRightInd w:val="0"/>
        <w:spacing w:after="0" w:line="240" w:lineRule="auto"/>
        <w:rPr>
          <w:rFonts w:cstheme="minorHAnsi"/>
          <w:noProof/>
          <w:color w:val="0070C0"/>
        </w:rPr>
      </w:pPr>
      <w:r w:rsidRPr="00700A35">
        <w:rPr>
          <w:rFonts w:cstheme="minorHAnsi"/>
          <w:noProof/>
          <w:color w:val="0070C0"/>
        </w:rPr>
        <w:lastRenderedPageBreak/>
        <w:t>Income (ACS): Low Income: median income &lt; 33rd percentile nationally; Medium Income: median income in the interval spanning the 33rd percentile to the 66th percentile nationally; High Income: median income &gt; 66th percentile</w:t>
      </w:r>
    </w:p>
    <w:p w14:paraId="641A8E4F" w14:textId="77777777" w:rsidR="007C44A8" w:rsidRPr="00700A35" w:rsidRDefault="007C44A8" w:rsidP="00211B1B">
      <w:pPr>
        <w:numPr>
          <w:ilvl w:val="0"/>
          <w:numId w:val="12"/>
        </w:numPr>
        <w:autoSpaceDE w:val="0"/>
        <w:autoSpaceDN w:val="0"/>
        <w:adjustRightInd w:val="0"/>
        <w:spacing w:after="0" w:line="240" w:lineRule="auto"/>
        <w:rPr>
          <w:rFonts w:cstheme="minorHAnsi"/>
          <w:noProof/>
          <w:color w:val="0070C0"/>
        </w:rPr>
      </w:pPr>
      <w:r w:rsidRPr="00700A35">
        <w:rPr>
          <w:rFonts w:cstheme="minorHAnsi"/>
          <w:noProof/>
          <w:color w:val="0070C0"/>
        </w:rPr>
        <w:t>Education (ACS): Education &lt; High School: when % with &lt; high school education is the highest for a given Census Block Group; Education = High School: when % with only high school is the highest; Education &gt; High School: when % with &gt; high school is the highest</w:t>
      </w:r>
    </w:p>
    <w:p w14:paraId="69D25E97" w14:textId="77777777" w:rsidR="007C44A8" w:rsidRPr="00700A35" w:rsidRDefault="007C44A8" w:rsidP="00211B1B">
      <w:pPr>
        <w:numPr>
          <w:ilvl w:val="0"/>
          <w:numId w:val="12"/>
        </w:numPr>
        <w:autoSpaceDE w:val="0"/>
        <w:autoSpaceDN w:val="0"/>
        <w:adjustRightInd w:val="0"/>
        <w:spacing w:after="0" w:line="240" w:lineRule="auto"/>
        <w:rPr>
          <w:rFonts w:cstheme="minorHAnsi"/>
          <w:noProof/>
          <w:color w:val="0070C0"/>
        </w:rPr>
      </w:pPr>
      <w:r w:rsidRPr="00700A35">
        <w:rPr>
          <w:rFonts w:cstheme="minorHAnsi"/>
          <w:noProof/>
          <w:color w:val="0070C0"/>
        </w:rPr>
        <w:t>Employment (ACS): Unemployment Rate &gt; 10%; Unemployment Rate &lt;= 10%</w:t>
      </w:r>
    </w:p>
    <w:p w14:paraId="4683A44A" w14:textId="77777777" w:rsidR="007C44A8" w:rsidRPr="00700A35" w:rsidRDefault="007C44A8" w:rsidP="00211B1B">
      <w:pPr>
        <w:numPr>
          <w:ilvl w:val="0"/>
          <w:numId w:val="12"/>
        </w:numPr>
        <w:autoSpaceDE w:val="0"/>
        <w:autoSpaceDN w:val="0"/>
        <w:adjustRightInd w:val="0"/>
        <w:spacing w:after="0" w:line="240" w:lineRule="auto"/>
        <w:rPr>
          <w:rFonts w:cstheme="minorHAnsi"/>
          <w:noProof/>
          <w:color w:val="0070C0"/>
        </w:rPr>
      </w:pPr>
      <w:r w:rsidRPr="00700A35">
        <w:rPr>
          <w:rFonts w:cstheme="minorHAnsi"/>
          <w:noProof/>
          <w:color w:val="0070C0"/>
        </w:rPr>
        <w:t xml:space="preserve">Race (EDB): Asian, Black, Hispanic, North American Native, White, and Other </w:t>
      </w:r>
    </w:p>
    <w:p w14:paraId="43429821" w14:textId="77777777" w:rsidR="007C44A8" w:rsidRPr="00700A35" w:rsidRDefault="007C44A8" w:rsidP="00211B1B">
      <w:pPr>
        <w:numPr>
          <w:ilvl w:val="0"/>
          <w:numId w:val="12"/>
        </w:numPr>
        <w:autoSpaceDE w:val="0"/>
        <w:autoSpaceDN w:val="0"/>
        <w:adjustRightInd w:val="0"/>
        <w:spacing w:after="0" w:line="240" w:lineRule="auto"/>
        <w:rPr>
          <w:rFonts w:cstheme="minorHAnsi"/>
          <w:noProof/>
          <w:color w:val="0070C0"/>
        </w:rPr>
      </w:pPr>
      <w:r w:rsidRPr="00700A35">
        <w:rPr>
          <w:rFonts w:cstheme="minorHAnsi"/>
          <w:noProof/>
          <w:color w:val="0070C0"/>
        </w:rPr>
        <w:t xml:space="preserve">Sex (EDB): Female, male </w:t>
      </w:r>
    </w:p>
    <w:p w14:paraId="6CD2FD62" w14:textId="77777777" w:rsidR="007C44A8" w:rsidRPr="00700A35" w:rsidRDefault="007C44A8" w:rsidP="00211B1B">
      <w:pPr>
        <w:numPr>
          <w:ilvl w:val="0"/>
          <w:numId w:val="12"/>
        </w:numPr>
        <w:autoSpaceDE w:val="0"/>
        <w:autoSpaceDN w:val="0"/>
        <w:adjustRightInd w:val="0"/>
        <w:spacing w:after="0" w:line="240" w:lineRule="auto"/>
        <w:rPr>
          <w:rFonts w:cstheme="minorHAnsi"/>
          <w:noProof/>
          <w:color w:val="0070C0"/>
        </w:rPr>
      </w:pPr>
      <w:r w:rsidRPr="00700A35">
        <w:rPr>
          <w:rFonts w:cstheme="minorHAnsi"/>
          <w:noProof/>
          <w:color w:val="0070C0"/>
        </w:rPr>
        <w:t>Dual status (CME): Full dual, partial dual, non-dual</w:t>
      </w:r>
    </w:p>
    <w:p w14:paraId="754F78CE" w14:textId="77777777" w:rsidR="007C44A8" w:rsidRPr="00700A35" w:rsidRDefault="007C44A8" w:rsidP="00211B1B">
      <w:pPr>
        <w:numPr>
          <w:ilvl w:val="0"/>
          <w:numId w:val="12"/>
        </w:numPr>
        <w:autoSpaceDE w:val="0"/>
        <w:autoSpaceDN w:val="0"/>
        <w:adjustRightInd w:val="0"/>
        <w:spacing w:after="0" w:line="240" w:lineRule="auto"/>
        <w:rPr>
          <w:rFonts w:cstheme="minorHAnsi"/>
          <w:noProof/>
          <w:color w:val="0070C0"/>
        </w:rPr>
      </w:pPr>
      <w:r w:rsidRPr="00700A35">
        <w:rPr>
          <w:rFonts w:cstheme="minorHAnsi"/>
          <w:noProof/>
          <w:color w:val="0070C0"/>
        </w:rPr>
        <w:t>Agency of Healthcare Research and Quality (AHRQ) SES Index: AHRQ index scores are calculated using the AHRQ scoring algorithm and is a continous dependent variable as a replacement of all SES variables. The index includes percentage of households containing one or more person per room, median value of owner-occupied dwelling, percentag</w:t>
      </w:r>
      <w:r>
        <w:rPr>
          <w:rFonts w:cstheme="minorHAnsi"/>
          <w:noProof/>
          <w:color w:val="0070C0"/>
        </w:rPr>
        <w:t>e of persons below the federal</w:t>
      </w:r>
      <w:r w:rsidRPr="00700A35">
        <w:rPr>
          <w:rFonts w:cstheme="minorHAnsi"/>
          <w:noProof/>
          <w:color w:val="0070C0"/>
        </w:rPr>
        <w:t xml:space="preserve"> poverty line, median household income, percentage of persons aged ≥ 25 years with at least 4 years of college, percentage of persons aged ≥ 25 years with less than a 12</w:t>
      </w:r>
      <w:r w:rsidRPr="00700A35">
        <w:rPr>
          <w:rFonts w:cstheme="minorHAnsi"/>
          <w:noProof/>
          <w:color w:val="0070C0"/>
          <w:vertAlign w:val="superscript"/>
        </w:rPr>
        <w:t>th</w:t>
      </w:r>
      <w:r w:rsidRPr="00700A35">
        <w:rPr>
          <w:rFonts w:cstheme="minorHAnsi"/>
          <w:noProof/>
          <w:color w:val="0070C0"/>
        </w:rPr>
        <w:t xml:space="preserve"> grade education, and percentage of persons aged 16 or older in the labor force who are unemployed.</w:t>
      </w:r>
      <w:r w:rsidRPr="00700A35">
        <w:rPr>
          <w:rStyle w:val="FootnoteReference"/>
          <w:rFonts w:cstheme="minorHAnsi"/>
          <w:noProof/>
          <w:color w:val="0070C0"/>
        </w:rPr>
        <w:footnoteReference w:id="2"/>
      </w:r>
      <w:r w:rsidRPr="00700A35">
        <w:rPr>
          <w:rFonts w:cstheme="minorHAnsi"/>
          <w:noProof/>
          <w:color w:val="0070C0"/>
          <w:vertAlign w:val="superscript"/>
        </w:rPr>
        <w:t>,</w:t>
      </w:r>
      <w:r w:rsidRPr="00700A35">
        <w:rPr>
          <w:rStyle w:val="FootnoteReference"/>
          <w:rFonts w:cstheme="minorHAnsi"/>
          <w:noProof/>
          <w:color w:val="0070C0"/>
        </w:rPr>
        <w:footnoteReference w:id="3"/>
      </w:r>
    </w:p>
    <w:p w14:paraId="36083EB7" w14:textId="77777777" w:rsidR="00C44266" w:rsidRDefault="00C44266" w:rsidP="000F2468">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26BD41C4"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1B0D6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A36A05">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7BB9229" w14:textId="32AB98D5" w:rsidR="00A36A05" w:rsidRPr="00C94E2A" w:rsidRDefault="00DD0FDC" w:rsidP="00A36A05">
      <w:pPr>
        <w:autoSpaceDE w:val="0"/>
        <w:autoSpaceDN w:val="0"/>
        <w:adjustRightInd w:val="0"/>
        <w:spacing w:after="0" w:line="240" w:lineRule="auto"/>
        <w:rPr>
          <w:rFonts w:cstheme="minorHAnsi"/>
          <w:bCs/>
          <w:color w:val="0070C0"/>
        </w:rPr>
      </w:pPr>
      <w:r>
        <w:rPr>
          <w:rFonts w:cstheme="minorHAnsi"/>
          <w:b/>
          <w:bCs/>
          <w:color w:val="0070C0"/>
        </w:rPr>
        <w:t>Reliability Score</w:t>
      </w:r>
    </w:p>
    <w:p w14:paraId="51E31B2A" w14:textId="287B1C78" w:rsidR="00A36A05" w:rsidRDefault="00A36A05" w:rsidP="00A36A05">
      <w:pPr>
        <w:autoSpaceDE w:val="0"/>
        <w:autoSpaceDN w:val="0"/>
        <w:adjustRightInd w:val="0"/>
        <w:spacing w:after="0" w:line="240" w:lineRule="auto"/>
        <w:rPr>
          <w:rFonts w:cstheme="minorHAnsi"/>
          <w:bCs/>
          <w:color w:val="0070C0"/>
        </w:rPr>
      </w:pPr>
      <w:r w:rsidRPr="00C94E2A">
        <w:rPr>
          <w:rFonts w:cstheme="minorHAnsi"/>
          <w:bCs/>
          <w:color w:val="0070C0"/>
        </w:rPr>
        <w:t>Measure reliability is the degree to which repeated measurements of the same entity agree with each oth</w:t>
      </w:r>
      <w:r w:rsidR="002D07AA">
        <w:rPr>
          <w:rFonts w:cstheme="minorHAnsi"/>
          <w:bCs/>
          <w:color w:val="0070C0"/>
        </w:rPr>
        <w:t>er.</w:t>
      </w:r>
      <w:r w:rsidRPr="00C94E2A">
        <w:rPr>
          <w:rFonts w:cstheme="minorHAnsi"/>
          <w:bCs/>
          <w:color w:val="0070C0"/>
        </w:rPr>
        <w:t xml:space="preserve"> For measures of </w:t>
      </w:r>
      <w:r>
        <w:rPr>
          <w:rFonts w:cstheme="minorHAnsi"/>
          <w:bCs/>
          <w:color w:val="0070C0"/>
        </w:rPr>
        <w:t>clinician</w:t>
      </w:r>
      <w:r w:rsidRPr="00C94E2A">
        <w:rPr>
          <w:rFonts w:cstheme="minorHAnsi"/>
          <w:bCs/>
          <w:color w:val="0070C0"/>
        </w:rPr>
        <w:t xml:space="preserve"> performance, the measured entity is the </w:t>
      </w:r>
      <w:r>
        <w:rPr>
          <w:rFonts w:cstheme="minorHAnsi"/>
          <w:bCs/>
          <w:color w:val="0070C0"/>
        </w:rPr>
        <w:t>TIN or TIN-NPI</w:t>
      </w:r>
      <w:r w:rsidRPr="00C94E2A">
        <w:rPr>
          <w:rFonts w:cstheme="minorHAnsi"/>
          <w:bCs/>
          <w:color w:val="0070C0"/>
        </w:rPr>
        <w:t xml:space="preserve">, and reliability is the extent to which repeated measurements of the </w:t>
      </w:r>
      <w:r>
        <w:rPr>
          <w:rFonts w:cstheme="minorHAnsi"/>
          <w:bCs/>
          <w:color w:val="0070C0"/>
        </w:rPr>
        <w:t>TIN or TIN-NPI</w:t>
      </w:r>
      <w:r w:rsidRPr="00C94E2A">
        <w:rPr>
          <w:rFonts w:cstheme="minorHAnsi"/>
          <w:bCs/>
          <w:color w:val="0070C0"/>
        </w:rPr>
        <w:t xml:space="preserve"> give similar results</w:t>
      </w:r>
      <w:r w:rsidR="00D83E9F">
        <w:rPr>
          <w:rFonts w:cstheme="minorHAnsi"/>
          <w:bCs/>
          <w:color w:val="0070C0"/>
        </w:rPr>
        <w:t xml:space="preserve">. </w:t>
      </w:r>
      <w:r w:rsidRPr="00C94E2A">
        <w:rPr>
          <w:rFonts w:cstheme="minorHAnsi"/>
          <w:bCs/>
          <w:color w:val="0070C0"/>
        </w:rPr>
        <w:t xml:space="preserve">To estimate measure reliability, we </w:t>
      </w:r>
      <w:r w:rsidR="00BF5376">
        <w:rPr>
          <w:rFonts w:cstheme="minorHAnsi"/>
          <w:bCs/>
          <w:color w:val="0070C0"/>
        </w:rPr>
        <w:t>used a signal-to-noise analysis.</w:t>
      </w:r>
      <w:r w:rsidR="00D83E9F">
        <w:rPr>
          <w:rFonts w:cstheme="minorHAnsi"/>
          <w:bCs/>
          <w:color w:val="0070C0"/>
        </w:rPr>
        <w:t xml:space="preserve"> </w:t>
      </w:r>
    </w:p>
    <w:p w14:paraId="10960628" w14:textId="77777777" w:rsidR="00A36A05" w:rsidRPr="00C94E2A" w:rsidRDefault="00A36A05" w:rsidP="00A36A05">
      <w:pPr>
        <w:autoSpaceDE w:val="0"/>
        <w:autoSpaceDN w:val="0"/>
        <w:adjustRightInd w:val="0"/>
        <w:spacing w:after="0" w:line="240" w:lineRule="auto"/>
        <w:rPr>
          <w:rFonts w:cstheme="minorHAnsi"/>
          <w:bCs/>
          <w:color w:val="0070C0"/>
        </w:rPr>
      </w:pPr>
    </w:p>
    <w:p w14:paraId="41B72879" w14:textId="3EDCA03D" w:rsidR="00A36A05" w:rsidRDefault="00ED722D" w:rsidP="00BF5376">
      <w:pPr>
        <w:tabs>
          <w:tab w:val="left" w:pos="6660"/>
        </w:tabs>
        <w:autoSpaceDE w:val="0"/>
        <w:autoSpaceDN w:val="0"/>
        <w:adjustRightInd w:val="0"/>
        <w:spacing w:after="0" w:line="240" w:lineRule="auto"/>
        <w:rPr>
          <w:rFonts w:cstheme="minorHAnsi"/>
          <w:bCs/>
          <w:color w:val="0070C0"/>
        </w:rPr>
      </w:pPr>
      <w:r>
        <w:rPr>
          <w:rFonts w:cstheme="minorHAnsi"/>
          <w:bCs/>
          <w:color w:val="0070C0"/>
        </w:rPr>
        <w:lastRenderedPageBreak/>
        <w:t>In line with NQF guidance in the Committee Guidebook, t</w:t>
      </w:r>
      <w:r w:rsidR="00BF5376">
        <w:rPr>
          <w:rFonts w:cstheme="minorHAnsi"/>
          <w:bCs/>
          <w:color w:val="0070C0"/>
        </w:rPr>
        <w:t xml:space="preserve">he signal-to-noise analysis </w:t>
      </w:r>
      <w:r w:rsidR="00A36A05" w:rsidRPr="0053241A">
        <w:rPr>
          <w:rFonts w:cstheme="minorHAnsi"/>
          <w:bCs/>
          <w:color w:val="0070C0"/>
        </w:rPr>
        <w:t xml:space="preserve">seeks to determine the extent to which variation in the measure is due to true, underlying </w:t>
      </w:r>
      <w:r w:rsidR="00A36A05">
        <w:rPr>
          <w:rFonts w:cstheme="minorHAnsi"/>
          <w:bCs/>
          <w:color w:val="0070C0"/>
        </w:rPr>
        <w:t>clinician</w:t>
      </w:r>
      <w:r w:rsidR="00A36A05" w:rsidRPr="0053241A">
        <w:rPr>
          <w:rFonts w:cstheme="minorHAnsi"/>
          <w:bCs/>
          <w:color w:val="0070C0"/>
        </w:rPr>
        <w:t xml:space="preserve"> performance</w:t>
      </w:r>
      <w:r w:rsidR="00746535">
        <w:rPr>
          <w:rFonts w:cstheme="minorHAnsi"/>
          <w:bCs/>
          <w:color w:val="0070C0"/>
        </w:rPr>
        <w:t>,</w:t>
      </w:r>
      <w:r w:rsidR="00A36A05" w:rsidRPr="0053241A">
        <w:rPr>
          <w:rFonts w:cstheme="minorHAnsi"/>
          <w:bCs/>
          <w:color w:val="0070C0"/>
        </w:rPr>
        <w:t xml:space="preserve"> rather than random variation (i.e.</w:t>
      </w:r>
      <w:r w:rsidR="00A36A05">
        <w:rPr>
          <w:rFonts w:cstheme="minorHAnsi"/>
          <w:bCs/>
          <w:color w:val="0070C0"/>
        </w:rPr>
        <w:t>,</w:t>
      </w:r>
      <w:r w:rsidR="00A36A05" w:rsidRPr="0053241A">
        <w:rPr>
          <w:rFonts w:cstheme="minorHAnsi"/>
          <w:bCs/>
          <w:color w:val="0070C0"/>
        </w:rPr>
        <w:t xml:space="preserve"> statistical noise) within </w:t>
      </w:r>
      <w:r w:rsidR="00A36A05">
        <w:rPr>
          <w:rFonts w:cstheme="minorHAnsi"/>
          <w:bCs/>
          <w:color w:val="0070C0"/>
        </w:rPr>
        <w:t>clinicians</w:t>
      </w:r>
      <w:r w:rsidR="00A36A05" w:rsidRPr="0053241A">
        <w:rPr>
          <w:rFonts w:cstheme="minorHAnsi"/>
          <w:bCs/>
          <w:color w:val="0070C0"/>
        </w:rPr>
        <w:t xml:space="preserve"> due to the sample of cases observed</w:t>
      </w:r>
      <w:r w:rsidR="00A36A05">
        <w:rPr>
          <w:rFonts w:cstheme="minorHAnsi"/>
          <w:bCs/>
          <w:color w:val="0070C0"/>
        </w:rPr>
        <w:t xml:space="preserve">. To achieve this, we </w:t>
      </w:r>
      <w:r w:rsidR="00A36A05" w:rsidRPr="0053241A">
        <w:rPr>
          <w:rFonts w:cstheme="minorHAnsi"/>
          <w:bCs/>
          <w:color w:val="0070C0"/>
        </w:rPr>
        <w:t>calc</w:t>
      </w:r>
      <w:r w:rsidR="00A36A05">
        <w:rPr>
          <w:rFonts w:cstheme="minorHAnsi"/>
          <w:bCs/>
          <w:color w:val="0070C0"/>
        </w:rPr>
        <w:t>ulate</w:t>
      </w:r>
      <w:r w:rsidR="00A36A05" w:rsidRPr="0053241A">
        <w:rPr>
          <w:rFonts w:cstheme="minorHAnsi"/>
          <w:bCs/>
          <w:color w:val="0070C0"/>
        </w:rPr>
        <w:t xml:space="preserve"> reliability scores as:</w:t>
      </w:r>
    </w:p>
    <w:p w14:paraId="2A987DCE" w14:textId="77777777" w:rsidR="00A36A05" w:rsidRDefault="002A3AA5" w:rsidP="00A36A05">
      <w:pPr>
        <w:autoSpaceDE w:val="0"/>
        <w:autoSpaceDN w:val="0"/>
        <w:adjustRightInd w:val="0"/>
        <w:spacing w:after="0" w:line="240" w:lineRule="auto"/>
        <w:jc w:val="center"/>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j</m:t>
              </m:r>
            </m:sub>
          </m:sSub>
          <m:r>
            <w:rPr>
              <w:rFonts w:ascii="Cambria Math" w:hAnsi="Cambria Math" w:cs="Times New Roman"/>
              <w:sz w:val="24"/>
              <w:szCs w:val="24"/>
            </w:rPr>
            <m:t xml:space="preserve">= </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b</m:t>
                  </m:r>
                </m:sub>
                <m:sup>
                  <m:r>
                    <w:rPr>
                      <w:rFonts w:ascii="Cambria Math" w:hAnsi="Cambria Math" w:cs="Times New Roman"/>
                      <w:sz w:val="24"/>
                      <w:szCs w:val="24"/>
                    </w:rPr>
                    <m:t>2</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σ</m:t>
                  </m:r>
                </m:e>
                <m: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sub>
                <m:sup>
                  <m:r>
                    <w:rPr>
                      <w:rFonts w:ascii="Cambria Math" w:hAnsi="Cambria Math" w:cs="Times New Roman"/>
                      <w:sz w:val="24"/>
                      <w:szCs w:val="24"/>
                    </w:rPr>
                    <m:t>2</m:t>
                  </m:r>
                </m:sup>
              </m:sSubSup>
            </m:den>
          </m:f>
        </m:oMath>
      </m:oMathPara>
    </w:p>
    <w:p w14:paraId="371F0521" w14:textId="68821E1A" w:rsidR="00A36A05" w:rsidRDefault="00A36A05" w:rsidP="00A36A05">
      <w:pPr>
        <w:autoSpaceDE w:val="0"/>
        <w:autoSpaceDN w:val="0"/>
        <w:adjustRightInd w:val="0"/>
        <w:spacing w:after="0" w:line="240" w:lineRule="auto"/>
        <w:rPr>
          <w:rFonts w:cs="Times New Roman"/>
          <w:color w:val="0070C0"/>
        </w:rPr>
      </w:pPr>
      <w:r>
        <w:rPr>
          <w:rFonts w:cs="Times New Roman"/>
          <w:color w:val="0070C0"/>
        </w:rPr>
        <w:t>w</w:t>
      </w:r>
      <w:r w:rsidRPr="004C58AD">
        <w:rPr>
          <w:rFonts w:cs="Times New Roman"/>
          <w:color w:val="0070C0"/>
        </w:rPr>
        <w:t>here</w:t>
      </w:r>
      <w:r>
        <w:rPr>
          <w:rFonts w:cs="Times New Roman"/>
          <w:color w:val="0070C0"/>
        </w:rPr>
        <w:t xml:space="preserve"> </w:t>
      </w:r>
      <m:oMath>
        <m:sSubSup>
          <m:sSubSupPr>
            <m:ctrlPr>
              <w:rPr>
                <w:rFonts w:ascii="Cambria Math" w:hAnsi="Cambria Math" w:cs="Times New Roman"/>
                <w:i/>
                <w:color w:val="0070C0"/>
              </w:rPr>
            </m:ctrlPr>
          </m:sSubSupPr>
          <m:e>
            <m:r>
              <w:rPr>
                <w:rFonts w:ascii="Cambria Math" w:hAnsi="Cambria Math" w:cs="Times New Roman"/>
                <w:color w:val="0070C0"/>
              </w:rPr>
              <m:t>σ</m:t>
            </m:r>
          </m:e>
          <m:sub>
            <m:sSub>
              <m:sSubPr>
                <m:ctrlPr>
                  <w:rPr>
                    <w:rFonts w:ascii="Cambria Math" w:hAnsi="Cambria Math" w:cs="Times New Roman"/>
                    <w:i/>
                    <w:color w:val="0070C0"/>
                  </w:rPr>
                </m:ctrlPr>
              </m:sSubPr>
              <m:e>
                <m:r>
                  <w:rPr>
                    <w:rFonts w:ascii="Cambria Math" w:hAnsi="Cambria Math" w:cs="Times New Roman"/>
                    <w:color w:val="0070C0"/>
                  </w:rPr>
                  <m:t>w</m:t>
                </m:r>
              </m:e>
              <m:sub>
                <m:r>
                  <w:rPr>
                    <w:rFonts w:ascii="Cambria Math" w:hAnsi="Cambria Math" w:cs="Times New Roman"/>
                    <w:color w:val="0070C0"/>
                  </w:rPr>
                  <m:t>j</m:t>
                </m:r>
              </m:sub>
            </m:sSub>
          </m:sub>
          <m:sup>
            <m:r>
              <w:rPr>
                <w:rFonts w:ascii="Cambria Math" w:hAnsi="Cambria Math" w:cs="Times New Roman"/>
                <w:color w:val="0070C0"/>
              </w:rPr>
              <m:t>2</m:t>
            </m:r>
          </m:sup>
        </m:sSubSup>
      </m:oMath>
      <w:r w:rsidRPr="004C58AD">
        <w:rPr>
          <w:rFonts w:cs="Times New Roman"/>
          <w:color w:val="0070C0"/>
        </w:rPr>
        <w:t xml:space="preserve"> is</w:t>
      </w:r>
      <w:r w:rsidRPr="004C58AD">
        <w:rPr>
          <w:color w:val="0070C0"/>
        </w:rPr>
        <w:t xml:space="preserve"> </w:t>
      </w:r>
      <w:r w:rsidRPr="004C58AD">
        <w:rPr>
          <w:rFonts w:cs="Times New Roman"/>
          <w:color w:val="0070C0"/>
        </w:rPr>
        <w:t xml:space="preserve">the within-group variance of the mean measure score of </w:t>
      </w:r>
      <w:r>
        <w:rPr>
          <w:rFonts w:cs="Times New Roman"/>
          <w:color w:val="0070C0"/>
        </w:rPr>
        <w:t xml:space="preserve">clinician </w:t>
      </w:r>
      <w:r>
        <w:rPr>
          <w:rFonts w:cs="Times New Roman"/>
          <w:i/>
          <w:color w:val="0070C0"/>
        </w:rPr>
        <w:t>j</w:t>
      </w:r>
      <w:r w:rsidR="00BF5376" w:rsidRPr="00BF5376">
        <w:rPr>
          <w:rFonts w:cs="Times New Roman"/>
          <w:color w:val="0070C0"/>
        </w:rPr>
        <w:t>,</w:t>
      </w:r>
      <w:r w:rsidRPr="004C58AD">
        <w:rPr>
          <w:rFonts w:cs="Times New Roman"/>
          <w:color w:val="0070C0"/>
        </w:rPr>
        <w:t xml:space="preserve"> and </w:t>
      </w:r>
      <m:oMath>
        <m:sSubSup>
          <m:sSubSupPr>
            <m:ctrlPr>
              <w:rPr>
                <w:rFonts w:ascii="Cambria Math" w:hAnsi="Cambria Math"/>
                <w:i/>
                <w:color w:val="0070C0"/>
              </w:rPr>
            </m:ctrlPr>
          </m:sSubSupPr>
          <m:e>
            <m:r>
              <w:rPr>
                <w:rFonts w:ascii="Cambria Math" w:hAnsi="Cambria Math"/>
                <w:color w:val="0070C0"/>
              </w:rPr>
              <m:t>σ</m:t>
            </m:r>
          </m:e>
          <m:sub>
            <m:r>
              <w:rPr>
                <w:rFonts w:ascii="Cambria Math" w:hAnsi="Cambria Math"/>
                <w:color w:val="0070C0"/>
              </w:rPr>
              <m:t>b</m:t>
            </m:r>
          </m:sub>
          <m:sup>
            <m:r>
              <w:rPr>
                <w:rFonts w:ascii="Cambria Math" w:hAnsi="Cambria Math"/>
                <w:color w:val="0070C0"/>
              </w:rPr>
              <m:t>2</m:t>
            </m:r>
          </m:sup>
        </m:sSubSup>
      </m:oMath>
      <w:r w:rsidRPr="004C58AD">
        <w:rPr>
          <w:rFonts w:cs="Times New Roman"/>
          <w:color w:val="0070C0"/>
        </w:rPr>
        <w:t xml:space="preserve"> is the between-group variance of </w:t>
      </w:r>
      <w:r>
        <w:rPr>
          <w:rFonts w:cs="Times New Roman"/>
          <w:color w:val="0070C0"/>
        </w:rPr>
        <w:t>clinician</w:t>
      </w:r>
      <w:r w:rsidR="00BF5376">
        <w:rPr>
          <w:rFonts w:cs="Times New Roman"/>
          <w:color w:val="0070C0"/>
        </w:rPr>
        <w:t>s</w:t>
      </w:r>
      <w:r w:rsidRPr="004C58AD">
        <w:rPr>
          <w:rFonts w:cs="Times New Roman"/>
          <w:color w:val="0070C0"/>
        </w:rPr>
        <w:t xml:space="preserve"> </w:t>
      </w:r>
      <w:r w:rsidR="00BF5376">
        <w:rPr>
          <w:rFonts w:cs="Times New Roman"/>
          <w:color w:val="0070C0"/>
        </w:rPr>
        <w:t>in the measure</w:t>
      </w:r>
      <w:r w:rsidRPr="004C58AD">
        <w:rPr>
          <w:rFonts w:cs="Times New Roman"/>
          <w:color w:val="0070C0"/>
        </w:rPr>
        <w:t>.</w:t>
      </w:r>
      <w:r>
        <w:rPr>
          <w:rFonts w:cs="Times New Roman"/>
          <w:color w:val="0070C0"/>
        </w:rPr>
        <w:t xml:space="preserve"> That is, reliability is calculated as the ratio of between-group variance to the sum of between-group variance and within-group variance. Re</w:t>
      </w:r>
      <w:r w:rsidR="00D83E9F">
        <w:rPr>
          <w:rFonts w:cs="Times New Roman"/>
          <w:color w:val="0070C0"/>
        </w:rPr>
        <w:t>liability closer to a value of one</w:t>
      </w:r>
      <w:r>
        <w:rPr>
          <w:rFonts w:cs="Times New Roman"/>
          <w:color w:val="0070C0"/>
        </w:rPr>
        <w:t xml:space="preserve"> indicates that the between-group variance is relatively large compared to the within-group variance, which suggests that the measure is effectively capturing systematic differences between the clinician and their peer cohort. </w:t>
      </w:r>
    </w:p>
    <w:p w14:paraId="62C9C833" w14:textId="77777777" w:rsidR="00DD0FDC" w:rsidRDefault="00DD0FDC" w:rsidP="00A36A05">
      <w:pPr>
        <w:autoSpaceDE w:val="0"/>
        <w:autoSpaceDN w:val="0"/>
        <w:adjustRightInd w:val="0"/>
        <w:spacing w:after="0" w:line="240" w:lineRule="auto"/>
        <w:rPr>
          <w:rFonts w:cs="Times New Roman"/>
          <w:color w:val="0070C0"/>
        </w:rPr>
      </w:pPr>
    </w:p>
    <w:p w14:paraId="4F7E8CE7" w14:textId="77777777" w:rsidR="00DD0FDC" w:rsidRDefault="00DD0FDC" w:rsidP="00DD0FDC">
      <w:pPr>
        <w:autoSpaceDE w:val="0"/>
        <w:autoSpaceDN w:val="0"/>
        <w:adjustRightInd w:val="0"/>
        <w:spacing w:after="0" w:line="240" w:lineRule="auto"/>
        <w:rPr>
          <w:rFonts w:cstheme="minorHAnsi"/>
          <w:b/>
          <w:bCs/>
          <w:color w:val="0070C0"/>
        </w:rPr>
      </w:pPr>
      <w:r w:rsidRPr="00DD0FDC">
        <w:rPr>
          <w:rFonts w:cstheme="minorHAnsi"/>
          <w:b/>
          <w:bCs/>
          <w:color w:val="0070C0"/>
        </w:rPr>
        <w:t xml:space="preserve">Split Sample </w:t>
      </w:r>
      <w:r>
        <w:rPr>
          <w:rFonts w:cstheme="minorHAnsi"/>
          <w:b/>
          <w:bCs/>
          <w:color w:val="0070C0"/>
        </w:rPr>
        <w:t>Reliability Testing</w:t>
      </w:r>
    </w:p>
    <w:p w14:paraId="00C028CB" w14:textId="230C6B8C" w:rsidR="00363288" w:rsidRDefault="00DD0FDC" w:rsidP="00DD0FDC">
      <w:pPr>
        <w:autoSpaceDE w:val="0"/>
        <w:autoSpaceDN w:val="0"/>
        <w:adjustRightInd w:val="0"/>
        <w:spacing w:after="0" w:line="240" w:lineRule="auto"/>
        <w:rPr>
          <w:rFonts w:cstheme="minorHAnsi"/>
          <w:bCs/>
          <w:color w:val="0070C0"/>
        </w:rPr>
      </w:pPr>
      <w:r>
        <w:rPr>
          <w:rFonts w:cstheme="minorHAnsi"/>
          <w:bCs/>
          <w:color w:val="0070C0"/>
        </w:rPr>
        <w:t>This test examines</w:t>
      </w:r>
      <w:r w:rsidRPr="00DD0FDC">
        <w:rPr>
          <w:rFonts w:cstheme="minorHAnsi"/>
          <w:bCs/>
          <w:color w:val="0070C0"/>
        </w:rPr>
        <w:t xml:space="preserve"> agreement between two measure scores for </w:t>
      </w:r>
      <w:r w:rsidR="00416557">
        <w:rPr>
          <w:rFonts w:cstheme="minorHAnsi"/>
          <w:bCs/>
          <w:color w:val="0070C0"/>
        </w:rPr>
        <w:t xml:space="preserve">each </w:t>
      </w:r>
      <w:r w:rsidRPr="00DD0FDC">
        <w:rPr>
          <w:rFonts w:cstheme="minorHAnsi"/>
          <w:bCs/>
          <w:color w:val="0070C0"/>
        </w:rPr>
        <w:t>TIN or TIN-NPI</w:t>
      </w:r>
      <w:r w:rsidR="00416557">
        <w:rPr>
          <w:rFonts w:cstheme="minorHAnsi"/>
          <w:bCs/>
          <w:color w:val="0070C0"/>
        </w:rPr>
        <w:t>,</w:t>
      </w:r>
      <w:r w:rsidRPr="00DD0FDC">
        <w:rPr>
          <w:rFonts w:cstheme="minorHAnsi"/>
          <w:bCs/>
          <w:color w:val="0070C0"/>
        </w:rPr>
        <w:t xml:space="preserve"> </w:t>
      </w:r>
      <w:r w:rsidR="00416557">
        <w:rPr>
          <w:rFonts w:cstheme="minorHAnsi"/>
          <w:bCs/>
          <w:color w:val="0070C0"/>
        </w:rPr>
        <w:t xml:space="preserve">calculated from two independent subsets of episodes randomly </w:t>
      </w:r>
      <w:r w:rsidR="00363288">
        <w:rPr>
          <w:rFonts w:cstheme="minorHAnsi"/>
          <w:bCs/>
          <w:color w:val="0070C0"/>
        </w:rPr>
        <w:t xml:space="preserve">and evenly </w:t>
      </w:r>
      <w:r w:rsidR="00416557">
        <w:rPr>
          <w:rFonts w:cstheme="minorHAnsi"/>
          <w:bCs/>
          <w:color w:val="0070C0"/>
        </w:rPr>
        <w:t xml:space="preserve">split from a larger sample of episodes in 2018 and 2019. For this analysis, two years of data are used to achieve episode volumes per TIN or TIN-NPI that are comparable to episode volumes in a single year, as this measure is calculated and reported for a one-year performance period in MIPS. </w:t>
      </w:r>
      <w:r w:rsidRPr="00DD0FDC">
        <w:rPr>
          <w:rFonts w:cstheme="minorHAnsi"/>
          <w:bCs/>
          <w:color w:val="0070C0"/>
        </w:rPr>
        <w:t xml:space="preserve">Good agreement </w:t>
      </w:r>
      <w:r w:rsidR="00363288">
        <w:rPr>
          <w:rFonts w:cstheme="minorHAnsi"/>
          <w:bCs/>
          <w:color w:val="0070C0"/>
        </w:rPr>
        <w:t>indicates</w:t>
      </w:r>
      <w:r w:rsidRPr="00DD0FDC">
        <w:rPr>
          <w:rFonts w:cstheme="minorHAnsi"/>
          <w:bCs/>
          <w:color w:val="0070C0"/>
        </w:rPr>
        <w:t xml:space="preserve"> that the </w:t>
      </w:r>
      <w:r w:rsidR="00363288">
        <w:rPr>
          <w:rFonts w:cstheme="minorHAnsi"/>
          <w:bCs/>
          <w:color w:val="0070C0"/>
        </w:rPr>
        <w:t xml:space="preserve">measure </w:t>
      </w:r>
      <w:r w:rsidRPr="00DD0FDC">
        <w:rPr>
          <w:rFonts w:cstheme="minorHAnsi"/>
          <w:bCs/>
          <w:color w:val="0070C0"/>
        </w:rPr>
        <w:t>score is more the result of TIN or TIN-NPI characteristics</w:t>
      </w:r>
      <w:r w:rsidR="0044018F">
        <w:rPr>
          <w:rFonts w:cstheme="minorHAnsi"/>
          <w:bCs/>
          <w:color w:val="0070C0"/>
        </w:rPr>
        <w:t xml:space="preserve"> (i.e</w:t>
      </w:r>
      <w:r w:rsidR="00363288">
        <w:rPr>
          <w:rFonts w:cstheme="minorHAnsi"/>
          <w:bCs/>
          <w:color w:val="0070C0"/>
        </w:rPr>
        <w:t>., provider care efficiency)</w:t>
      </w:r>
      <w:r w:rsidRPr="00DD0FDC">
        <w:rPr>
          <w:rFonts w:cstheme="minorHAnsi"/>
          <w:bCs/>
          <w:color w:val="0070C0"/>
        </w:rPr>
        <w:t xml:space="preserve"> rather than statistical noise due to random variation. </w:t>
      </w:r>
    </w:p>
    <w:p w14:paraId="283E4DB1" w14:textId="77777777" w:rsidR="00363288" w:rsidRDefault="00363288" w:rsidP="00DD0FDC">
      <w:pPr>
        <w:autoSpaceDE w:val="0"/>
        <w:autoSpaceDN w:val="0"/>
        <w:adjustRightInd w:val="0"/>
        <w:spacing w:after="0" w:line="240" w:lineRule="auto"/>
        <w:rPr>
          <w:rFonts w:cstheme="minorHAnsi"/>
          <w:bCs/>
          <w:color w:val="0070C0"/>
        </w:rPr>
      </w:pPr>
    </w:p>
    <w:p w14:paraId="418722B3" w14:textId="28148970" w:rsidR="00A36A05" w:rsidRDefault="00DD0FDC" w:rsidP="008C54A9">
      <w:pPr>
        <w:autoSpaceDE w:val="0"/>
        <w:autoSpaceDN w:val="0"/>
        <w:adjustRightInd w:val="0"/>
        <w:spacing w:after="0" w:line="240" w:lineRule="auto"/>
        <w:rPr>
          <w:rFonts w:cstheme="minorHAnsi"/>
          <w:bCs/>
          <w:color w:val="0070C0"/>
        </w:rPr>
      </w:pPr>
      <w:r w:rsidRPr="00DD0FDC">
        <w:rPr>
          <w:rFonts w:cstheme="minorHAnsi"/>
          <w:bCs/>
          <w:color w:val="0070C0"/>
        </w:rPr>
        <w:t xml:space="preserve">Only TIN and TIN-NPIs that met a case minimum of </w:t>
      </w:r>
      <w:r w:rsidR="00363288">
        <w:rPr>
          <w:rFonts w:cstheme="minorHAnsi"/>
          <w:bCs/>
          <w:color w:val="0070C0"/>
        </w:rPr>
        <w:t xml:space="preserve">10 </w:t>
      </w:r>
      <w:r w:rsidRPr="00DD0FDC">
        <w:rPr>
          <w:rFonts w:cstheme="minorHAnsi"/>
          <w:bCs/>
          <w:color w:val="0070C0"/>
        </w:rPr>
        <w:t xml:space="preserve">episodes in both </w:t>
      </w:r>
      <w:r w:rsidR="008D72E3">
        <w:rPr>
          <w:rFonts w:cstheme="minorHAnsi"/>
          <w:bCs/>
          <w:color w:val="0070C0"/>
        </w:rPr>
        <w:t>samples</w:t>
      </w:r>
      <w:r w:rsidRPr="00DD0FDC">
        <w:rPr>
          <w:rFonts w:cstheme="minorHAnsi"/>
          <w:bCs/>
          <w:color w:val="0070C0"/>
        </w:rPr>
        <w:t xml:space="preserve"> were included. </w:t>
      </w:r>
      <w:r w:rsidR="00363288">
        <w:rPr>
          <w:rFonts w:cstheme="minorHAnsi"/>
          <w:bCs/>
          <w:color w:val="0070C0"/>
        </w:rPr>
        <w:t>When creating the split-samples, the larger sample was stratified by calendar year</w:t>
      </w:r>
      <w:r w:rsidRPr="00DD0FDC">
        <w:rPr>
          <w:rFonts w:cstheme="minorHAnsi"/>
          <w:bCs/>
          <w:color w:val="0070C0"/>
        </w:rPr>
        <w:t>, ensuring that episodes within each calendar year were evenly distributed across the split-</w:t>
      </w:r>
      <w:r w:rsidR="00363288">
        <w:rPr>
          <w:rFonts w:cstheme="minorHAnsi"/>
          <w:bCs/>
          <w:color w:val="0070C0"/>
        </w:rPr>
        <w:t xml:space="preserve">samples </w:t>
      </w:r>
      <w:r w:rsidRPr="00DD0FDC">
        <w:rPr>
          <w:rFonts w:cstheme="minorHAnsi"/>
          <w:bCs/>
          <w:color w:val="0070C0"/>
        </w:rPr>
        <w:t xml:space="preserve">for </w:t>
      </w:r>
      <w:r w:rsidR="00363288">
        <w:rPr>
          <w:rFonts w:cstheme="minorHAnsi"/>
          <w:bCs/>
          <w:color w:val="0070C0"/>
        </w:rPr>
        <w:t xml:space="preserve">each TIN or TIN-NPI. The same methodology was used to calculate performance scores across both split-samples. </w:t>
      </w:r>
      <w:r w:rsidRPr="00DD0FDC">
        <w:rPr>
          <w:rFonts w:cstheme="minorHAnsi"/>
          <w:bCs/>
          <w:color w:val="0070C0"/>
        </w:rPr>
        <w:t xml:space="preserve">We then calculated Shrout-Fleiss intraclass correlation coefficients ICC(2,1) between the performance scores to measure reliability. </w:t>
      </w:r>
      <w:r w:rsidR="0044018F" w:rsidRPr="00DD0FDC">
        <w:rPr>
          <w:rFonts w:cstheme="minorHAnsi"/>
          <w:bCs/>
          <w:color w:val="0070C0"/>
        </w:rPr>
        <w:t>Lower ICC scores indicate less correlation between the two estimates,</w:t>
      </w:r>
      <w:r w:rsidR="0044018F">
        <w:rPr>
          <w:rFonts w:cstheme="minorHAnsi"/>
          <w:bCs/>
          <w:color w:val="0070C0"/>
        </w:rPr>
        <w:t xml:space="preserve"> while higher scores indicate greater agreement, with </w:t>
      </w:r>
      <w:r w:rsidR="0044018F" w:rsidRPr="00DD0FDC">
        <w:rPr>
          <w:rFonts w:cstheme="minorHAnsi"/>
          <w:bCs/>
          <w:color w:val="0070C0"/>
        </w:rPr>
        <w:t xml:space="preserve">a score of 1 </w:t>
      </w:r>
      <w:r w:rsidR="0044018F">
        <w:rPr>
          <w:rFonts w:cstheme="minorHAnsi"/>
          <w:bCs/>
          <w:color w:val="0070C0"/>
        </w:rPr>
        <w:t xml:space="preserve">indicating that </w:t>
      </w:r>
      <w:r w:rsidR="0044018F" w:rsidRPr="00DD0FDC">
        <w:rPr>
          <w:rFonts w:cstheme="minorHAnsi"/>
          <w:bCs/>
          <w:color w:val="0070C0"/>
        </w:rPr>
        <w:t>the estimates are exactly the same.</w:t>
      </w:r>
    </w:p>
    <w:p w14:paraId="5C17D49D" w14:textId="77777777" w:rsidR="0044018F" w:rsidRPr="00A25024" w:rsidRDefault="0044018F" w:rsidP="008C54A9">
      <w:pPr>
        <w:autoSpaceDE w:val="0"/>
        <w:autoSpaceDN w:val="0"/>
        <w:adjustRightInd w:val="0"/>
        <w:spacing w:after="0" w:line="240" w:lineRule="auto"/>
        <w:rPr>
          <w:rFonts w:cstheme="minorHAnsi"/>
          <w:bCs/>
        </w:rPr>
      </w:pPr>
    </w:p>
    <w:p w14:paraId="71BE11C5" w14:textId="258D7457" w:rsidR="003878EA" w:rsidRPr="00434FE5" w:rsidRDefault="00092566" w:rsidP="008D72E3">
      <w:pPr>
        <w:autoSpaceDE w:val="0"/>
        <w:autoSpaceDN w:val="0"/>
        <w:adjustRightInd w:val="0"/>
        <w:spacing w:after="0" w:line="240" w:lineRule="auto"/>
        <w:rPr>
          <w:rFonts w:cs="Times New Roman"/>
          <w:b/>
          <w:bCs/>
          <w:color w:val="0070C0"/>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3878EA" w:rsidRPr="00434FE5">
        <w:rPr>
          <w:rFonts w:cs="Times New Roman"/>
          <w:b/>
          <w:bCs/>
          <w:color w:val="0070C0"/>
        </w:rPr>
        <w:t xml:space="preserve">Reliability Score </w:t>
      </w:r>
    </w:p>
    <w:p w14:paraId="73ED655C" w14:textId="27251118" w:rsidR="003878EA" w:rsidRPr="00434FE5" w:rsidRDefault="003878EA" w:rsidP="008D72E3">
      <w:pPr>
        <w:autoSpaceDE w:val="0"/>
        <w:autoSpaceDN w:val="0"/>
        <w:adjustRightInd w:val="0"/>
        <w:spacing w:after="0" w:line="240" w:lineRule="auto"/>
        <w:rPr>
          <w:rFonts w:cs="Times New Roman"/>
          <w:bCs/>
          <w:color w:val="0070C0"/>
        </w:rPr>
      </w:pPr>
      <w:r w:rsidRPr="00434FE5">
        <w:rPr>
          <w:rFonts w:cs="Times New Roman"/>
          <w:bCs/>
          <w:color w:val="0070C0"/>
        </w:rPr>
        <w:t>Table 1</w:t>
      </w:r>
      <w:r w:rsidRPr="00434FE5">
        <w:rPr>
          <w:rFonts w:cs="Times New Roman"/>
          <w:b/>
          <w:bCs/>
          <w:color w:val="0070C0"/>
        </w:rPr>
        <w:t xml:space="preserve"> </w:t>
      </w:r>
      <w:r w:rsidRPr="00434FE5">
        <w:rPr>
          <w:rFonts w:cs="Times New Roman"/>
          <w:bCs/>
          <w:color w:val="0070C0"/>
        </w:rPr>
        <w:t xml:space="preserve">presents the distribution of reliability scores for TINs and TIN-NPIs captured in the measure. At a volume threshold of at least 10 episodes, the mean reliability for </w:t>
      </w:r>
      <w:r w:rsidRPr="00945113">
        <w:rPr>
          <w:rFonts w:cs="Times New Roman"/>
          <w:bCs/>
          <w:color w:val="0070C0"/>
        </w:rPr>
        <w:t xml:space="preserve">TINs is </w:t>
      </w:r>
      <w:r w:rsidR="00945113" w:rsidRPr="00945113">
        <w:rPr>
          <w:rFonts w:cs="Times New Roman"/>
          <w:bCs/>
          <w:color w:val="0070C0"/>
        </w:rPr>
        <w:t>0.84</w:t>
      </w:r>
      <w:r w:rsidRPr="00945113">
        <w:rPr>
          <w:rFonts w:cs="Times New Roman"/>
          <w:bCs/>
          <w:color w:val="0070C0"/>
        </w:rPr>
        <w:t xml:space="preserve"> and for</w:t>
      </w:r>
      <w:r w:rsidRPr="00434FE5">
        <w:rPr>
          <w:rFonts w:cs="Times New Roman"/>
          <w:bCs/>
          <w:color w:val="0070C0"/>
        </w:rPr>
        <w:t xml:space="preserve"> TIN-NPIs is </w:t>
      </w:r>
      <w:r w:rsidR="00945113">
        <w:rPr>
          <w:rFonts w:cs="Times New Roman"/>
          <w:bCs/>
          <w:color w:val="0070C0"/>
        </w:rPr>
        <w:t>0.75.</w:t>
      </w:r>
      <w:r w:rsidRPr="00434FE5">
        <w:rPr>
          <w:rFonts w:cs="Times New Roman"/>
          <w:bCs/>
          <w:color w:val="0070C0"/>
        </w:rPr>
        <w:t xml:space="preserve"> </w:t>
      </w:r>
    </w:p>
    <w:p w14:paraId="75566A83" w14:textId="77777777" w:rsidR="003878EA" w:rsidRDefault="003878EA" w:rsidP="003878EA">
      <w:pPr>
        <w:keepNext/>
        <w:autoSpaceDE w:val="0"/>
        <w:autoSpaceDN w:val="0"/>
        <w:adjustRightInd w:val="0"/>
        <w:spacing w:after="0" w:line="240" w:lineRule="auto"/>
        <w:rPr>
          <w:rFonts w:ascii="Times New Roman" w:hAnsi="Times New Roman" w:cs="Times New Roman"/>
          <w:bCs/>
          <w:color w:val="0070C0"/>
        </w:rPr>
      </w:pPr>
    </w:p>
    <w:p w14:paraId="2ECCAF8D" w14:textId="38F79714" w:rsidR="00E06AAF" w:rsidRDefault="00E06AAF" w:rsidP="00E06AAF">
      <w:pPr>
        <w:keepNext/>
        <w:autoSpaceDE w:val="0"/>
        <w:autoSpaceDN w:val="0"/>
        <w:adjustRightInd w:val="0"/>
        <w:spacing w:after="0" w:line="240" w:lineRule="auto"/>
        <w:jc w:val="center"/>
        <w:rPr>
          <w:rFonts w:ascii="Times New Roman" w:hAnsi="Times New Roman" w:cs="Times New Roman"/>
          <w:bCs/>
          <w:color w:val="0070C0"/>
        </w:rPr>
      </w:pPr>
      <w:r w:rsidRPr="00CE1567">
        <w:rPr>
          <w:rFonts w:ascii="Times New Roman" w:hAnsi="Times New Roman" w:cs="Times New Roman"/>
          <w:b/>
          <w:bCs/>
          <w:iCs/>
          <w:color w:val="000000" w:themeColor="text1"/>
        </w:rPr>
        <w:t>Table 1. Distribution of Reliability Scores for TINs and TIN-NPIs</w:t>
      </w:r>
      <w:r>
        <w:rPr>
          <w:rFonts w:ascii="Times New Roman" w:hAnsi="Times New Roman" w:cs="Times New Roman"/>
          <w:b/>
          <w:bCs/>
          <w:iCs/>
          <w:color w:val="000000" w:themeColor="text1"/>
        </w:rPr>
        <w:t xml:space="preserve"> </w:t>
      </w:r>
      <w:r w:rsidR="0000159A">
        <w:rPr>
          <w:rFonts w:ascii="Times New Roman" w:hAnsi="Times New Roman" w:cs="Times New Roman"/>
          <w:b/>
          <w:bCs/>
          <w:iCs/>
          <w:color w:val="000000" w:themeColor="text1"/>
        </w:rPr>
        <w:t>(</w:t>
      </w:r>
      <w:r>
        <w:rPr>
          <w:rFonts w:ascii="Times New Roman" w:hAnsi="Times New Roman" w:cs="Times New Roman"/>
          <w:b/>
          <w:bCs/>
          <w:iCs/>
          <w:color w:val="000000" w:themeColor="text1"/>
        </w:rPr>
        <w:t>10 Episode</w:t>
      </w:r>
      <w:r w:rsidRPr="00CE1567">
        <w:rPr>
          <w:rFonts w:ascii="Times New Roman" w:hAnsi="Times New Roman" w:cs="Times New Roman"/>
          <w:b/>
          <w:bCs/>
          <w:iCs/>
          <w:color w:val="000000" w:themeColor="text1"/>
        </w:rPr>
        <w:t xml:space="preserve"> </w:t>
      </w:r>
      <w:r>
        <w:rPr>
          <w:rFonts w:ascii="Times New Roman" w:hAnsi="Times New Roman" w:cs="Times New Roman"/>
          <w:b/>
          <w:bCs/>
          <w:iCs/>
          <w:color w:val="000000" w:themeColor="text1"/>
        </w:rPr>
        <w:t>Volume Threshold</w:t>
      </w:r>
      <w:r w:rsidR="0000159A">
        <w:rPr>
          <w:rFonts w:ascii="Times New Roman" w:hAnsi="Times New Roman" w:cs="Times New Roman"/>
          <w:b/>
          <w:bCs/>
          <w:iCs/>
          <w:color w:val="000000" w:themeColor="text1"/>
        </w:rPr>
        <w:t>)</w:t>
      </w:r>
    </w:p>
    <w:tbl>
      <w:tblPr>
        <w:tblStyle w:val="TableGrid"/>
        <w:tblW w:w="7761" w:type="dxa"/>
        <w:jc w:val="center"/>
        <w:tblCellMar>
          <w:left w:w="72" w:type="dxa"/>
          <w:right w:w="72" w:type="dxa"/>
        </w:tblCellMar>
        <w:tblLook w:val="04A0" w:firstRow="1" w:lastRow="0" w:firstColumn="1" w:lastColumn="0" w:noHBand="0" w:noVBand="1"/>
      </w:tblPr>
      <w:tblGrid>
        <w:gridCol w:w="1267"/>
        <w:gridCol w:w="1267"/>
        <w:gridCol w:w="1267"/>
        <w:gridCol w:w="792"/>
        <w:gridCol w:w="792"/>
        <w:gridCol w:w="792"/>
        <w:gridCol w:w="792"/>
        <w:gridCol w:w="792"/>
      </w:tblGrid>
      <w:tr w:rsidR="00B91309" w:rsidRPr="00CA10A7" w14:paraId="7800E32F" w14:textId="77777777" w:rsidTr="00B91309">
        <w:trPr>
          <w:jc w:val="center"/>
        </w:trPr>
        <w:tc>
          <w:tcPr>
            <w:tcW w:w="1267" w:type="dxa"/>
            <w:vMerge w:val="restart"/>
            <w:shd w:val="clear" w:color="auto" w:fill="305496"/>
            <w:vAlign w:val="center"/>
          </w:tcPr>
          <w:p w14:paraId="7D7775B5" w14:textId="77777777" w:rsidR="00B91309" w:rsidRPr="00CE1567" w:rsidRDefault="00B91309"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Reporting Level</w:t>
            </w:r>
          </w:p>
        </w:tc>
        <w:tc>
          <w:tcPr>
            <w:tcW w:w="1267" w:type="dxa"/>
            <w:vMerge w:val="restart"/>
            <w:shd w:val="clear" w:color="auto" w:fill="305496"/>
            <w:vAlign w:val="center"/>
          </w:tcPr>
          <w:p w14:paraId="6AEB9783" w14:textId="77777777" w:rsidR="00B91309" w:rsidRPr="00CE1567" w:rsidRDefault="00B91309"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 of TINs or TIN-NPIs</w:t>
            </w:r>
          </w:p>
        </w:tc>
        <w:tc>
          <w:tcPr>
            <w:tcW w:w="1267" w:type="dxa"/>
            <w:vMerge w:val="restart"/>
            <w:shd w:val="clear" w:color="auto" w:fill="305496"/>
            <w:vAlign w:val="center"/>
          </w:tcPr>
          <w:p w14:paraId="6B20790B" w14:textId="77777777" w:rsidR="00B91309" w:rsidRDefault="00B91309"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 xml:space="preserve">Mean </w:t>
            </w:r>
          </w:p>
          <w:p w14:paraId="57D08FF5" w14:textId="77777777" w:rsidR="00B91309" w:rsidRPr="00CE1567" w:rsidRDefault="00B91309"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(Std. Dev.)</w:t>
            </w:r>
          </w:p>
        </w:tc>
        <w:tc>
          <w:tcPr>
            <w:tcW w:w="3960" w:type="dxa"/>
            <w:gridSpan w:val="5"/>
            <w:shd w:val="clear" w:color="auto" w:fill="305496"/>
            <w:vAlign w:val="center"/>
          </w:tcPr>
          <w:p w14:paraId="015A6488" w14:textId="189AA1B1" w:rsidR="00B91309" w:rsidRDefault="00B91309" w:rsidP="00B91309">
            <w:pPr>
              <w:jc w:val="center"/>
              <w:rPr>
                <w:rFonts w:ascii="Arial" w:hAnsi="Arial" w:cs="Arial"/>
                <w:b/>
                <w:color w:val="FFFFFF" w:themeColor="background1"/>
                <w:sz w:val="20"/>
                <w:szCs w:val="20"/>
              </w:rPr>
            </w:pPr>
            <w:r>
              <w:rPr>
                <w:rFonts w:ascii="Arial" w:hAnsi="Arial" w:cs="Arial"/>
                <w:b/>
                <w:color w:val="FFFFFF" w:themeColor="background1"/>
                <w:sz w:val="20"/>
                <w:szCs w:val="20"/>
              </w:rPr>
              <w:t>Distribution (by Percentile)</w:t>
            </w:r>
          </w:p>
        </w:tc>
      </w:tr>
      <w:tr w:rsidR="00B91309" w:rsidRPr="00CA10A7" w14:paraId="13342BD4" w14:textId="77777777" w:rsidTr="00B91309">
        <w:trPr>
          <w:jc w:val="center"/>
        </w:trPr>
        <w:tc>
          <w:tcPr>
            <w:tcW w:w="1267" w:type="dxa"/>
            <w:vMerge/>
            <w:tcBorders>
              <w:bottom w:val="single" w:sz="4" w:space="0" w:color="auto"/>
            </w:tcBorders>
            <w:shd w:val="clear" w:color="auto" w:fill="305496"/>
            <w:vAlign w:val="center"/>
          </w:tcPr>
          <w:p w14:paraId="55188712" w14:textId="77777777" w:rsidR="00B91309" w:rsidRDefault="00B91309" w:rsidP="00E06AAF">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vAlign w:val="center"/>
          </w:tcPr>
          <w:p w14:paraId="2902A744" w14:textId="77777777" w:rsidR="00B91309" w:rsidRPr="00CE1567" w:rsidRDefault="00B91309" w:rsidP="00E06AAF">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vAlign w:val="center"/>
          </w:tcPr>
          <w:p w14:paraId="65D79A7E" w14:textId="77777777" w:rsidR="00B91309" w:rsidRPr="00CE1567" w:rsidRDefault="00B91309" w:rsidP="00E06AAF">
            <w:pPr>
              <w:jc w:val="center"/>
              <w:rPr>
                <w:rFonts w:ascii="Arial" w:hAnsi="Arial" w:cs="Arial"/>
                <w:b/>
                <w:color w:val="FFFFFF" w:themeColor="background1"/>
                <w:sz w:val="20"/>
                <w:szCs w:val="20"/>
              </w:rPr>
            </w:pPr>
          </w:p>
        </w:tc>
        <w:tc>
          <w:tcPr>
            <w:tcW w:w="792" w:type="dxa"/>
            <w:tcBorders>
              <w:bottom w:val="single" w:sz="4" w:space="0" w:color="auto"/>
            </w:tcBorders>
            <w:shd w:val="clear" w:color="auto" w:fill="305496"/>
            <w:vAlign w:val="center"/>
          </w:tcPr>
          <w:p w14:paraId="35A3637B" w14:textId="676DC28B" w:rsidR="00B91309" w:rsidRPr="00CE1567" w:rsidRDefault="00B91309" w:rsidP="00B91309">
            <w:pPr>
              <w:jc w:val="center"/>
              <w:rPr>
                <w:rFonts w:ascii="Arial" w:hAnsi="Arial" w:cs="Arial"/>
                <w:b/>
                <w:color w:val="FFFFFF" w:themeColor="background1"/>
                <w:sz w:val="20"/>
                <w:szCs w:val="20"/>
              </w:rPr>
            </w:pPr>
            <w:r>
              <w:rPr>
                <w:rFonts w:ascii="Arial" w:hAnsi="Arial" w:cs="Arial"/>
                <w:b/>
                <w:color w:val="FFFFFF" w:themeColor="background1"/>
                <w:sz w:val="20"/>
                <w:szCs w:val="20"/>
              </w:rPr>
              <w:t>10</w:t>
            </w:r>
            <w:r w:rsidRPr="005C64C8">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582C461D" w14:textId="77777777" w:rsidR="00B91309" w:rsidRPr="00CE1567" w:rsidRDefault="00B91309" w:rsidP="00B91309">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25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358ABDF9" w14:textId="77777777" w:rsidR="00B91309" w:rsidRPr="00CE1567" w:rsidRDefault="00B91309" w:rsidP="00B91309">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50</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26A6C177" w14:textId="77777777" w:rsidR="00B91309" w:rsidRPr="00CE1567" w:rsidRDefault="00B91309" w:rsidP="00B91309">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75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6658BB0F" w14:textId="78CD46E7" w:rsidR="00B91309" w:rsidRPr="00CE1567" w:rsidRDefault="00B91309" w:rsidP="00B91309">
            <w:pPr>
              <w:jc w:val="center"/>
              <w:rPr>
                <w:rFonts w:ascii="Arial" w:hAnsi="Arial" w:cs="Arial"/>
                <w:b/>
                <w:color w:val="FFFFFF" w:themeColor="background1"/>
                <w:sz w:val="20"/>
                <w:szCs w:val="20"/>
              </w:rPr>
            </w:pPr>
            <w:r>
              <w:rPr>
                <w:rFonts w:ascii="Arial" w:hAnsi="Arial" w:cs="Arial"/>
                <w:b/>
                <w:color w:val="FFFFFF" w:themeColor="background1"/>
                <w:sz w:val="20"/>
                <w:szCs w:val="20"/>
              </w:rPr>
              <w:t>90</w:t>
            </w:r>
            <w:r w:rsidRPr="005C64C8">
              <w:rPr>
                <w:rFonts w:ascii="Arial" w:hAnsi="Arial" w:cs="Arial"/>
                <w:b/>
                <w:color w:val="FFFFFF" w:themeColor="background1"/>
                <w:sz w:val="20"/>
                <w:szCs w:val="20"/>
                <w:vertAlign w:val="superscript"/>
              </w:rPr>
              <w:t>th</w:t>
            </w:r>
          </w:p>
        </w:tc>
      </w:tr>
      <w:tr w:rsidR="00B91309" w:rsidRPr="00CA10A7" w14:paraId="17DCA0EA" w14:textId="77777777" w:rsidTr="00B91309">
        <w:trPr>
          <w:jc w:val="center"/>
        </w:trPr>
        <w:tc>
          <w:tcPr>
            <w:tcW w:w="1267" w:type="dxa"/>
            <w:tcBorders>
              <w:top w:val="single" w:sz="4" w:space="0" w:color="auto"/>
            </w:tcBorders>
          </w:tcPr>
          <w:p w14:paraId="53822A13" w14:textId="77777777" w:rsidR="00B91309" w:rsidRPr="00E92F3A" w:rsidRDefault="00B91309" w:rsidP="00E06AAF">
            <w:pPr>
              <w:rPr>
                <w:rFonts w:ascii="Arial" w:hAnsi="Arial" w:cs="Arial"/>
                <w:sz w:val="20"/>
                <w:szCs w:val="20"/>
              </w:rPr>
            </w:pPr>
            <w:r w:rsidRPr="00E92F3A">
              <w:rPr>
                <w:rFonts w:ascii="Arial" w:hAnsi="Arial" w:cs="Arial"/>
                <w:sz w:val="20"/>
                <w:szCs w:val="20"/>
              </w:rPr>
              <w:t>TIN</w:t>
            </w:r>
          </w:p>
        </w:tc>
        <w:tc>
          <w:tcPr>
            <w:tcW w:w="1267" w:type="dxa"/>
            <w:tcBorders>
              <w:top w:val="single" w:sz="4" w:space="0" w:color="auto"/>
            </w:tcBorders>
            <w:vAlign w:val="center"/>
          </w:tcPr>
          <w:p w14:paraId="4394EE5F" w14:textId="68DBB834" w:rsidR="00B91309" w:rsidRPr="00E92F3A" w:rsidRDefault="00B91309" w:rsidP="00945113">
            <w:pPr>
              <w:jc w:val="center"/>
              <w:rPr>
                <w:rFonts w:ascii="Arial" w:hAnsi="Arial" w:cs="Arial"/>
                <w:sz w:val="20"/>
                <w:szCs w:val="20"/>
              </w:rPr>
            </w:pPr>
            <w:r>
              <w:rPr>
                <w:rFonts w:ascii="Arial" w:hAnsi="Arial" w:cs="Arial"/>
                <w:sz w:val="20"/>
                <w:szCs w:val="20"/>
              </w:rPr>
              <w:t>804</w:t>
            </w:r>
          </w:p>
        </w:tc>
        <w:tc>
          <w:tcPr>
            <w:tcW w:w="1267" w:type="dxa"/>
            <w:tcBorders>
              <w:top w:val="single" w:sz="4" w:space="0" w:color="auto"/>
            </w:tcBorders>
            <w:vAlign w:val="center"/>
          </w:tcPr>
          <w:p w14:paraId="438999B0" w14:textId="40004BEA" w:rsidR="00B91309" w:rsidRPr="00E92F3A" w:rsidRDefault="00B91309" w:rsidP="00945113">
            <w:pPr>
              <w:jc w:val="center"/>
              <w:rPr>
                <w:rFonts w:ascii="Arial" w:hAnsi="Arial" w:cs="Arial"/>
                <w:sz w:val="20"/>
                <w:szCs w:val="20"/>
              </w:rPr>
            </w:pPr>
            <w:r>
              <w:rPr>
                <w:rFonts w:ascii="Arial" w:hAnsi="Arial" w:cs="Arial"/>
                <w:sz w:val="20"/>
                <w:szCs w:val="20"/>
              </w:rPr>
              <w:t>0.84 (0.10)</w:t>
            </w:r>
          </w:p>
        </w:tc>
        <w:tc>
          <w:tcPr>
            <w:tcW w:w="792" w:type="dxa"/>
            <w:tcBorders>
              <w:top w:val="single" w:sz="4" w:space="0" w:color="auto"/>
            </w:tcBorders>
            <w:vAlign w:val="center"/>
          </w:tcPr>
          <w:p w14:paraId="0F8DD214" w14:textId="5170C289" w:rsidR="00B91309" w:rsidRPr="00E92F3A" w:rsidRDefault="00B91309" w:rsidP="00B91309">
            <w:pPr>
              <w:jc w:val="center"/>
              <w:rPr>
                <w:rFonts w:ascii="Arial" w:hAnsi="Arial" w:cs="Arial"/>
                <w:sz w:val="20"/>
                <w:szCs w:val="20"/>
              </w:rPr>
            </w:pPr>
            <w:r>
              <w:rPr>
                <w:rFonts w:ascii="Arial" w:hAnsi="Arial" w:cs="Arial"/>
                <w:sz w:val="20"/>
                <w:szCs w:val="20"/>
              </w:rPr>
              <w:t>0.69</w:t>
            </w:r>
          </w:p>
        </w:tc>
        <w:tc>
          <w:tcPr>
            <w:tcW w:w="792" w:type="dxa"/>
            <w:tcBorders>
              <w:top w:val="single" w:sz="4" w:space="0" w:color="auto"/>
            </w:tcBorders>
            <w:vAlign w:val="center"/>
          </w:tcPr>
          <w:p w14:paraId="4EC10D73" w14:textId="453DE738" w:rsidR="00B91309" w:rsidRPr="00E92F3A" w:rsidRDefault="00B91309" w:rsidP="00B91309">
            <w:pPr>
              <w:jc w:val="center"/>
              <w:rPr>
                <w:rFonts w:ascii="Arial" w:hAnsi="Arial" w:cs="Arial"/>
                <w:sz w:val="20"/>
                <w:szCs w:val="20"/>
              </w:rPr>
            </w:pPr>
            <w:r>
              <w:rPr>
                <w:rFonts w:ascii="Arial" w:hAnsi="Arial" w:cs="Arial"/>
                <w:sz w:val="20"/>
                <w:szCs w:val="20"/>
              </w:rPr>
              <w:t>0.77</w:t>
            </w:r>
          </w:p>
        </w:tc>
        <w:tc>
          <w:tcPr>
            <w:tcW w:w="792" w:type="dxa"/>
            <w:tcBorders>
              <w:top w:val="single" w:sz="4" w:space="0" w:color="auto"/>
            </w:tcBorders>
            <w:vAlign w:val="center"/>
          </w:tcPr>
          <w:p w14:paraId="5F2DD9DB" w14:textId="6F4ED038" w:rsidR="00B91309" w:rsidRPr="00E92F3A" w:rsidRDefault="00B91309" w:rsidP="00B91309">
            <w:pPr>
              <w:jc w:val="center"/>
              <w:rPr>
                <w:rFonts w:ascii="Arial" w:hAnsi="Arial" w:cs="Arial"/>
                <w:sz w:val="20"/>
                <w:szCs w:val="20"/>
              </w:rPr>
            </w:pPr>
            <w:r>
              <w:rPr>
                <w:rFonts w:ascii="Arial" w:hAnsi="Arial" w:cs="Arial"/>
                <w:sz w:val="20"/>
                <w:szCs w:val="20"/>
              </w:rPr>
              <w:t>0.86</w:t>
            </w:r>
          </w:p>
        </w:tc>
        <w:tc>
          <w:tcPr>
            <w:tcW w:w="792" w:type="dxa"/>
            <w:tcBorders>
              <w:top w:val="single" w:sz="4" w:space="0" w:color="auto"/>
            </w:tcBorders>
            <w:vAlign w:val="center"/>
          </w:tcPr>
          <w:p w14:paraId="7D0B81AB" w14:textId="3B1A7141" w:rsidR="00B91309" w:rsidRPr="00E92F3A" w:rsidRDefault="00B91309" w:rsidP="00B91309">
            <w:pPr>
              <w:jc w:val="center"/>
              <w:rPr>
                <w:rFonts w:ascii="Arial" w:hAnsi="Arial" w:cs="Arial"/>
                <w:sz w:val="20"/>
                <w:szCs w:val="20"/>
              </w:rPr>
            </w:pPr>
            <w:r>
              <w:rPr>
                <w:rFonts w:ascii="Arial" w:hAnsi="Arial" w:cs="Arial"/>
                <w:sz w:val="20"/>
                <w:szCs w:val="20"/>
              </w:rPr>
              <w:t>0.92</w:t>
            </w:r>
          </w:p>
        </w:tc>
        <w:tc>
          <w:tcPr>
            <w:tcW w:w="792" w:type="dxa"/>
            <w:tcBorders>
              <w:top w:val="single" w:sz="4" w:space="0" w:color="auto"/>
            </w:tcBorders>
            <w:vAlign w:val="center"/>
          </w:tcPr>
          <w:p w14:paraId="3D7A7887" w14:textId="4E4F4A8A" w:rsidR="00B91309" w:rsidRPr="00E92F3A" w:rsidRDefault="00B91309" w:rsidP="00B91309">
            <w:pPr>
              <w:jc w:val="center"/>
              <w:rPr>
                <w:rFonts w:ascii="Arial" w:hAnsi="Arial" w:cs="Arial"/>
                <w:sz w:val="20"/>
                <w:szCs w:val="20"/>
              </w:rPr>
            </w:pPr>
            <w:r>
              <w:rPr>
                <w:rFonts w:ascii="Arial" w:hAnsi="Arial" w:cs="Arial"/>
                <w:sz w:val="20"/>
                <w:szCs w:val="20"/>
              </w:rPr>
              <w:t>0.95</w:t>
            </w:r>
          </w:p>
        </w:tc>
      </w:tr>
      <w:tr w:rsidR="00B91309" w:rsidRPr="00CA10A7" w14:paraId="77E9B690" w14:textId="77777777" w:rsidTr="00B91309">
        <w:trPr>
          <w:jc w:val="center"/>
        </w:trPr>
        <w:tc>
          <w:tcPr>
            <w:tcW w:w="1267" w:type="dxa"/>
            <w:tcBorders>
              <w:top w:val="single" w:sz="4" w:space="0" w:color="auto"/>
            </w:tcBorders>
          </w:tcPr>
          <w:p w14:paraId="0615E324" w14:textId="77777777" w:rsidR="00B91309" w:rsidRPr="00E92F3A" w:rsidRDefault="00B91309" w:rsidP="00E06AAF">
            <w:pPr>
              <w:rPr>
                <w:rFonts w:ascii="Arial" w:hAnsi="Arial" w:cs="Arial"/>
                <w:sz w:val="20"/>
                <w:szCs w:val="20"/>
              </w:rPr>
            </w:pPr>
            <w:r w:rsidRPr="00E92F3A">
              <w:rPr>
                <w:rFonts w:ascii="Arial" w:hAnsi="Arial" w:cs="Arial"/>
                <w:sz w:val="20"/>
                <w:szCs w:val="20"/>
              </w:rPr>
              <w:t>TIN-NPI</w:t>
            </w:r>
          </w:p>
        </w:tc>
        <w:tc>
          <w:tcPr>
            <w:tcW w:w="1267" w:type="dxa"/>
            <w:tcBorders>
              <w:top w:val="single" w:sz="4" w:space="0" w:color="auto"/>
            </w:tcBorders>
            <w:vAlign w:val="center"/>
          </w:tcPr>
          <w:p w14:paraId="10B77D0D" w14:textId="3CA8E893" w:rsidR="00B91309" w:rsidRPr="00E92F3A" w:rsidRDefault="00B91309" w:rsidP="00945113">
            <w:pPr>
              <w:jc w:val="center"/>
              <w:rPr>
                <w:rFonts w:ascii="Arial" w:hAnsi="Arial" w:cs="Arial"/>
                <w:sz w:val="20"/>
                <w:szCs w:val="20"/>
              </w:rPr>
            </w:pPr>
            <w:r>
              <w:rPr>
                <w:rFonts w:ascii="Arial" w:hAnsi="Arial" w:cs="Arial"/>
                <w:sz w:val="20"/>
                <w:szCs w:val="20"/>
              </w:rPr>
              <w:t>2,550</w:t>
            </w:r>
          </w:p>
        </w:tc>
        <w:tc>
          <w:tcPr>
            <w:tcW w:w="1267" w:type="dxa"/>
            <w:tcBorders>
              <w:top w:val="single" w:sz="4" w:space="0" w:color="auto"/>
            </w:tcBorders>
            <w:vAlign w:val="center"/>
          </w:tcPr>
          <w:p w14:paraId="6A450C33" w14:textId="079E50FD" w:rsidR="00B91309" w:rsidRPr="00E92F3A" w:rsidRDefault="00B91309" w:rsidP="00945113">
            <w:pPr>
              <w:jc w:val="center"/>
              <w:rPr>
                <w:rFonts w:ascii="Arial" w:hAnsi="Arial" w:cs="Arial"/>
                <w:sz w:val="20"/>
                <w:szCs w:val="20"/>
              </w:rPr>
            </w:pPr>
            <w:r>
              <w:rPr>
                <w:rFonts w:ascii="Arial" w:hAnsi="Arial" w:cs="Arial"/>
                <w:sz w:val="20"/>
                <w:szCs w:val="20"/>
              </w:rPr>
              <w:t>0.75 (0.08)</w:t>
            </w:r>
          </w:p>
        </w:tc>
        <w:tc>
          <w:tcPr>
            <w:tcW w:w="792" w:type="dxa"/>
            <w:tcBorders>
              <w:top w:val="single" w:sz="4" w:space="0" w:color="auto"/>
            </w:tcBorders>
            <w:vAlign w:val="center"/>
          </w:tcPr>
          <w:p w14:paraId="5D52974A" w14:textId="26810492" w:rsidR="00B91309" w:rsidRPr="00E92F3A" w:rsidRDefault="00B91309" w:rsidP="00B91309">
            <w:pPr>
              <w:jc w:val="center"/>
              <w:rPr>
                <w:rFonts w:ascii="Arial" w:hAnsi="Arial" w:cs="Arial"/>
                <w:sz w:val="20"/>
                <w:szCs w:val="20"/>
              </w:rPr>
            </w:pPr>
            <w:r>
              <w:rPr>
                <w:rFonts w:ascii="Arial" w:hAnsi="Arial" w:cs="Arial"/>
                <w:sz w:val="20"/>
                <w:szCs w:val="20"/>
              </w:rPr>
              <w:t>0.64</w:t>
            </w:r>
          </w:p>
        </w:tc>
        <w:tc>
          <w:tcPr>
            <w:tcW w:w="792" w:type="dxa"/>
            <w:tcBorders>
              <w:top w:val="single" w:sz="4" w:space="0" w:color="auto"/>
            </w:tcBorders>
            <w:vAlign w:val="center"/>
          </w:tcPr>
          <w:p w14:paraId="4482D790" w14:textId="20EAF9D7" w:rsidR="00B91309" w:rsidRPr="00E92F3A" w:rsidRDefault="00B91309" w:rsidP="00B91309">
            <w:pPr>
              <w:jc w:val="center"/>
              <w:rPr>
                <w:rFonts w:ascii="Arial" w:hAnsi="Arial" w:cs="Arial"/>
                <w:sz w:val="20"/>
                <w:szCs w:val="20"/>
              </w:rPr>
            </w:pPr>
            <w:r>
              <w:rPr>
                <w:rFonts w:ascii="Arial" w:hAnsi="Arial" w:cs="Arial"/>
                <w:sz w:val="20"/>
                <w:szCs w:val="20"/>
              </w:rPr>
              <w:t>0.67</w:t>
            </w:r>
          </w:p>
        </w:tc>
        <w:tc>
          <w:tcPr>
            <w:tcW w:w="792" w:type="dxa"/>
            <w:tcBorders>
              <w:top w:val="single" w:sz="4" w:space="0" w:color="auto"/>
            </w:tcBorders>
            <w:vAlign w:val="center"/>
          </w:tcPr>
          <w:p w14:paraId="6A947571" w14:textId="5B325783" w:rsidR="00B91309" w:rsidRPr="00E92F3A" w:rsidRDefault="00B91309" w:rsidP="00B91309">
            <w:pPr>
              <w:jc w:val="center"/>
              <w:rPr>
                <w:rFonts w:ascii="Arial" w:hAnsi="Arial" w:cs="Arial"/>
                <w:sz w:val="20"/>
                <w:szCs w:val="20"/>
              </w:rPr>
            </w:pPr>
            <w:r>
              <w:rPr>
                <w:rFonts w:ascii="Arial" w:hAnsi="Arial" w:cs="Arial"/>
                <w:sz w:val="20"/>
                <w:szCs w:val="20"/>
              </w:rPr>
              <w:t>0.74</w:t>
            </w:r>
          </w:p>
        </w:tc>
        <w:tc>
          <w:tcPr>
            <w:tcW w:w="792" w:type="dxa"/>
            <w:tcBorders>
              <w:top w:val="single" w:sz="4" w:space="0" w:color="auto"/>
            </w:tcBorders>
            <w:vAlign w:val="center"/>
          </w:tcPr>
          <w:p w14:paraId="5C6A70DA" w14:textId="456CB8D8" w:rsidR="00B91309" w:rsidRPr="00E92F3A" w:rsidRDefault="00B91309" w:rsidP="00B91309">
            <w:pPr>
              <w:jc w:val="center"/>
              <w:rPr>
                <w:rFonts w:ascii="Arial" w:hAnsi="Arial" w:cs="Arial"/>
                <w:sz w:val="20"/>
                <w:szCs w:val="20"/>
              </w:rPr>
            </w:pPr>
            <w:r>
              <w:rPr>
                <w:rFonts w:ascii="Arial" w:hAnsi="Arial" w:cs="Arial"/>
                <w:sz w:val="20"/>
                <w:szCs w:val="20"/>
              </w:rPr>
              <w:t>0.81</w:t>
            </w:r>
          </w:p>
        </w:tc>
        <w:tc>
          <w:tcPr>
            <w:tcW w:w="792" w:type="dxa"/>
            <w:tcBorders>
              <w:top w:val="single" w:sz="4" w:space="0" w:color="auto"/>
            </w:tcBorders>
            <w:vAlign w:val="center"/>
          </w:tcPr>
          <w:p w14:paraId="7A783E3F" w14:textId="30CBB193" w:rsidR="00B91309" w:rsidRPr="00E92F3A" w:rsidRDefault="00B91309" w:rsidP="00B91309">
            <w:pPr>
              <w:jc w:val="center"/>
              <w:rPr>
                <w:rFonts w:ascii="Arial" w:hAnsi="Arial" w:cs="Arial"/>
                <w:sz w:val="20"/>
                <w:szCs w:val="20"/>
              </w:rPr>
            </w:pPr>
            <w:r>
              <w:rPr>
                <w:rFonts w:ascii="Arial" w:hAnsi="Arial" w:cs="Arial"/>
                <w:sz w:val="20"/>
                <w:szCs w:val="20"/>
              </w:rPr>
              <w:t>0.86</w:t>
            </w:r>
          </w:p>
        </w:tc>
      </w:tr>
    </w:tbl>
    <w:p w14:paraId="5C0DB5A9" w14:textId="77777777" w:rsidR="00E06AAF" w:rsidRDefault="00E06AAF" w:rsidP="00E06AAF">
      <w:pPr>
        <w:keepNext/>
        <w:autoSpaceDE w:val="0"/>
        <w:autoSpaceDN w:val="0"/>
        <w:adjustRightInd w:val="0"/>
        <w:spacing w:after="0" w:line="240" w:lineRule="auto"/>
        <w:rPr>
          <w:rFonts w:ascii="Times New Roman" w:hAnsi="Times New Roman" w:cs="Times New Roman"/>
          <w:bCs/>
          <w:color w:val="0070C0"/>
        </w:rPr>
      </w:pPr>
    </w:p>
    <w:p w14:paraId="0291CD57" w14:textId="296312F3" w:rsidR="003878EA" w:rsidRPr="005C64C8" w:rsidRDefault="003878EA" w:rsidP="003878EA">
      <w:pPr>
        <w:keepNext/>
        <w:autoSpaceDE w:val="0"/>
        <w:autoSpaceDN w:val="0"/>
        <w:adjustRightInd w:val="0"/>
        <w:spacing w:after="0" w:line="240" w:lineRule="auto"/>
        <w:rPr>
          <w:rFonts w:cs="Times New Roman"/>
          <w:bCs/>
          <w:color w:val="0070C0"/>
        </w:rPr>
      </w:pPr>
      <w:r w:rsidRPr="005C64C8">
        <w:rPr>
          <w:rFonts w:cs="Times New Roman"/>
          <w:bCs/>
          <w:color w:val="0070C0"/>
        </w:rPr>
        <w:t xml:space="preserve">In response to stakeholder interest in seeing measure reliability for clinician groups of different practice size, </w:t>
      </w:r>
      <w:r w:rsidRPr="0000159A">
        <w:rPr>
          <w:rFonts w:cs="Times New Roman"/>
          <w:bCs/>
          <w:color w:val="0070C0"/>
        </w:rPr>
        <w:t>Table 2</w:t>
      </w:r>
      <w:r w:rsidRPr="005C64C8">
        <w:rPr>
          <w:rFonts w:cs="Times New Roman"/>
          <w:bCs/>
          <w:color w:val="0070C0"/>
        </w:rPr>
        <w:t xml:space="preserve"> shows the distribution of reliability scores by the number of TIN-NPIs within a TIN. When </w:t>
      </w:r>
      <w:r w:rsidRPr="005C64C8">
        <w:rPr>
          <w:rFonts w:cs="Times New Roman"/>
          <w:bCs/>
          <w:color w:val="0070C0"/>
        </w:rPr>
        <w:lastRenderedPageBreak/>
        <w:t>examined by number of clinicians within the practice, the average reliability scores increase f</w:t>
      </w:r>
      <w:r w:rsidRPr="00945113">
        <w:rPr>
          <w:rFonts w:cs="Times New Roman"/>
          <w:bCs/>
          <w:color w:val="0070C0"/>
        </w:rPr>
        <w:t xml:space="preserve">rom </w:t>
      </w:r>
      <w:r w:rsidR="00945113" w:rsidRPr="00945113">
        <w:rPr>
          <w:rFonts w:cs="Times New Roman"/>
          <w:bCs/>
          <w:color w:val="0070C0"/>
        </w:rPr>
        <w:t>0.76 (1 clinician) to 0.97</w:t>
      </w:r>
      <w:r w:rsidRPr="00945113">
        <w:rPr>
          <w:rFonts w:cs="Times New Roman"/>
          <w:bCs/>
          <w:color w:val="0070C0"/>
        </w:rPr>
        <w:t xml:space="preserve"> (21+ clinicians) for TINs.</w:t>
      </w:r>
      <w:r w:rsidRPr="005C64C8">
        <w:rPr>
          <w:rFonts w:cs="Times New Roman"/>
          <w:bCs/>
          <w:color w:val="0070C0"/>
        </w:rPr>
        <w:t xml:space="preserve"> </w:t>
      </w:r>
    </w:p>
    <w:p w14:paraId="2E7F2167" w14:textId="77777777" w:rsidR="003878EA" w:rsidRDefault="003878EA" w:rsidP="003878EA">
      <w:pPr>
        <w:autoSpaceDE w:val="0"/>
        <w:autoSpaceDN w:val="0"/>
        <w:adjustRightInd w:val="0"/>
        <w:spacing w:after="0" w:line="240" w:lineRule="auto"/>
        <w:rPr>
          <w:rFonts w:cstheme="minorHAnsi"/>
          <w:b/>
          <w:bCs/>
          <w:iCs/>
          <w:color w:val="0070C0"/>
        </w:rPr>
      </w:pPr>
    </w:p>
    <w:p w14:paraId="492B0E14" w14:textId="04DE7078" w:rsidR="00E06AAF" w:rsidRPr="00CE1567" w:rsidRDefault="00E06AAF" w:rsidP="00E06AAF">
      <w:pPr>
        <w:keepNext/>
        <w:autoSpaceDE w:val="0"/>
        <w:autoSpaceDN w:val="0"/>
        <w:adjustRightInd w:val="0"/>
        <w:spacing w:after="0" w:line="240" w:lineRule="auto"/>
        <w:jc w:val="center"/>
        <w:rPr>
          <w:rFonts w:ascii="Times New Roman" w:hAnsi="Times New Roman" w:cs="Times New Roman"/>
          <w:b/>
          <w:bCs/>
          <w:iCs/>
          <w:color w:val="000000" w:themeColor="text1"/>
        </w:rPr>
      </w:pPr>
      <w:r w:rsidRPr="00CE1567">
        <w:rPr>
          <w:rFonts w:ascii="Times New Roman" w:hAnsi="Times New Roman" w:cs="Times New Roman"/>
          <w:b/>
          <w:bCs/>
          <w:iCs/>
          <w:color w:val="000000" w:themeColor="text1"/>
        </w:rPr>
        <w:t xml:space="preserve">Table </w:t>
      </w:r>
      <w:r>
        <w:rPr>
          <w:rFonts w:ascii="Times New Roman" w:hAnsi="Times New Roman" w:cs="Times New Roman"/>
          <w:b/>
          <w:bCs/>
          <w:iCs/>
          <w:color w:val="000000" w:themeColor="text1"/>
        </w:rPr>
        <w:t>2</w:t>
      </w:r>
      <w:r w:rsidRPr="00CE1567">
        <w:rPr>
          <w:rFonts w:ascii="Times New Roman" w:hAnsi="Times New Roman" w:cs="Times New Roman"/>
          <w:b/>
          <w:bCs/>
          <w:iCs/>
          <w:color w:val="000000" w:themeColor="text1"/>
        </w:rPr>
        <w:t xml:space="preserve">. Distribution of Reliability Scores for TINs by </w:t>
      </w:r>
      <w:r>
        <w:rPr>
          <w:rFonts w:ascii="Times New Roman" w:hAnsi="Times New Roman" w:cs="Times New Roman"/>
          <w:b/>
          <w:bCs/>
          <w:iCs/>
          <w:color w:val="000000" w:themeColor="text1"/>
        </w:rPr>
        <w:t>Practice Size</w:t>
      </w:r>
      <w:r w:rsidR="0000159A">
        <w:rPr>
          <w:rFonts w:ascii="Times New Roman" w:hAnsi="Times New Roman" w:cs="Times New Roman"/>
          <w:b/>
          <w:bCs/>
          <w:iCs/>
          <w:color w:val="000000" w:themeColor="text1"/>
        </w:rPr>
        <w:t xml:space="preserve"> (10 Episode Volume Threshold)</w:t>
      </w:r>
    </w:p>
    <w:tbl>
      <w:tblPr>
        <w:tblStyle w:val="TableGrid"/>
        <w:tblW w:w="7856" w:type="dxa"/>
        <w:jc w:val="center"/>
        <w:tblLook w:val="04A0" w:firstRow="1" w:lastRow="0" w:firstColumn="1" w:lastColumn="0" w:noHBand="0" w:noVBand="1"/>
      </w:tblPr>
      <w:tblGrid>
        <w:gridCol w:w="1362"/>
        <w:gridCol w:w="1267"/>
        <w:gridCol w:w="1267"/>
        <w:gridCol w:w="792"/>
        <w:gridCol w:w="792"/>
        <w:gridCol w:w="792"/>
        <w:gridCol w:w="792"/>
        <w:gridCol w:w="792"/>
      </w:tblGrid>
      <w:tr w:rsidR="00B91309" w:rsidRPr="00E92F3A" w14:paraId="32686E38" w14:textId="77777777" w:rsidTr="00B91309">
        <w:trPr>
          <w:trHeight w:val="258"/>
          <w:jc w:val="center"/>
        </w:trPr>
        <w:tc>
          <w:tcPr>
            <w:tcW w:w="1362" w:type="dxa"/>
            <w:vMerge w:val="restart"/>
            <w:shd w:val="clear" w:color="auto" w:fill="305496"/>
            <w:vAlign w:val="center"/>
          </w:tcPr>
          <w:p w14:paraId="13C8007E" w14:textId="77777777" w:rsidR="00B91309" w:rsidRPr="005C49F6" w:rsidRDefault="00B91309" w:rsidP="00E06AAF">
            <w:pPr>
              <w:jc w:val="center"/>
              <w:rPr>
                <w:rFonts w:ascii="Arial" w:hAnsi="Arial" w:cs="Arial"/>
                <w:b/>
                <w:color w:val="FFFFFF" w:themeColor="background1"/>
                <w:sz w:val="20"/>
                <w:szCs w:val="20"/>
              </w:rPr>
            </w:pPr>
            <w:r w:rsidRPr="005C49F6">
              <w:rPr>
                <w:rFonts w:ascii="Arial" w:hAnsi="Arial" w:cs="Arial"/>
                <w:b/>
                <w:color w:val="FFFFFF" w:themeColor="background1"/>
                <w:sz w:val="20"/>
                <w:szCs w:val="20"/>
              </w:rPr>
              <w:t xml:space="preserve"># of </w:t>
            </w:r>
            <w:r>
              <w:rPr>
                <w:rFonts w:ascii="Arial" w:hAnsi="Arial" w:cs="Arial"/>
                <w:b/>
                <w:color w:val="FFFFFF" w:themeColor="background1"/>
                <w:sz w:val="20"/>
                <w:szCs w:val="20"/>
              </w:rPr>
              <w:t>TIN-NPIs in TIN</w:t>
            </w:r>
          </w:p>
        </w:tc>
        <w:tc>
          <w:tcPr>
            <w:tcW w:w="1267" w:type="dxa"/>
            <w:vMerge w:val="restart"/>
            <w:shd w:val="clear" w:color="auto" w:fill="305496"/>
            <w:vAlign w:val="center"/>
          </w:tcPr>
          <w:p w14:paraId="7AC79279" w14:textId="77777777" w:rsidR="00B91309" w:rsidRPr="00C14A31" w:rsidRDefault="00B91309"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 of TINs</w:t>
            </w:r>
          </w:p>
        </w:tc>
        <w:tc>
          <w:tcPr>
            <w:tcW w:w="1267" w:type="dxa"/>
            <w:vMerge w:val="restart"/>
            <w:shd w:val="clear" w:color="auto" w:fill="305496"/>
          </w:tcPr>
          <w:p w14:paraId="554B2EB5" w14:textId="77777777" w:rsidR="00B91309" w:rsidRPr="00E92F3A" w:rsidRDefault="00B91309" w:rsidP="00E06AAF">
            <w:pPr>
              <w:jc w:val="center"/>
              <w:rPr>
                <w:rFonts w:ascii="Arial" w:hAnsi="Arial" w:cs="Arial"/>
                <w:b/>
                <w:color w:val="FFFFFF" w:themeColor="background1"/>
                <w:sz w:val="20"/>
                <w:szCs w:val="20"/>
              </w:rPr>
            </w:pPr>
            <w:r w:rsidRPr="00E92F3A">
              <w:rPr>
                <w:rFonts w:ascii="Arial" w:hAnsi="Arial" w:cs="Arial"/>
                <w:b/>
                <w:color w:val="FFFFFF" w:themeColor="background1"/>
                <w:sz w:val="20"/>
                <w:szCs w:val="20"/>
              </w:rPr>
              <w:t>Mean (Std. Dev.)</w:t>
            </w:r>
          </w:p>
        </w:tc>
        <w:tc>
          <w:tcPr>
            <w:tcW w:w="3960" w:type="dxa"/>
            <w:gridSpan w:val="5"/>
            <w:shd w:val="clear" w:color="auto" w:fill="305496"/>
          </w:tcPr>
          <w:p w14:paraId="709D5389" w14:textId="70BFDAE4" w:rsidR="00B91309" w:rsidRDefault="00B91309"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Distribution (by Percentile)</w:t>
            </w:r>
          </w:p>
        </w:tc>
      </w:tr>
      <w:tr w:rsidR="00B91309" w:rsidRPr="00E92F3A" w14:paraId="2EFA217D" w14:textId="77777777" w:rsidTr="00B91309">
        <w:trPr>
          <w:trHeight w:val="258"/>
          <w:jc w:val="center"/>
        </w:trPr>
        <w:tc>
          <w:tcPr>
            <w:tcW w:w="1362" w:type="dxa"/>
            <w:vMerge/>
            <w:tcBorders>
              <w:bottom w:val="single" w:sz="4" w:space="0" w:color="auto"/>
            </w:tcBorders>
            <w:shd w:val="clear" w:color="auto" w:fill="305496"/>
            <w:vAlign w:val="center"/>
          </w:tcPr>
          <w:p w14:paraId="6B59312F" w14:textId="77777777" w:rsidR="00B91309" w:rsidRPr="00975462" w:rsidRDefault="00B91309" w:rsidP="00E06AAF">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tcPr>
          <w:p w14:paraId="57C0C5EB" w14:textId="77777777" w:rsidR="00B91309" w:rsidRPr="00C14A31" w:rsidRDefault="00B91309" w:rsidP="00E06AAF">
            <w:pPr>
              <w:jc w:val="center"/>
              <w:rPr>
                <w:rFonts w:ascii="Arial" w:hAnsi="Arial" w:cs="Arial"/>
                <w:b/>
                <w:color w:val="FFFFFF" w:themeColor="background1"/>
                <w:sz w:val="20"/>
                <w:szCs w:val="20"/>
              </w:rPr>
            </w:pPr>
          </w:p>
        </w:tc>
        <w:tc>
          <w:tcPr>
            <w:tcW w:w="1267" w:type="dxa"/>
            <w:vMerge/>
            <w:tcBorders>
              <w:bottom w:val="single" w:sz="4" w:space="0" w:color="auto"/>
            </w:tcBorders>
            <w:shd w:val="clear" w:color="auto" w:fill="305496"/>
          </w:tcPr>
          <w:p w14:paraId="1975AD4D" w14:textId="77777777" w:rsidR="00B91309" w:rsidRPr="00E92F3A" w:rsidRDefault="00B91309" w:rsidP="00E06AAF">
            <w:pPr>
              <w:jc w:val="center"/>
              <w:rPr>
                <w:rFonts w:ascii="Arial" w:hAnsi="Arial" w:cs="Arial"/>
                <w:b/>
                <w:color w:val="FFFFFF" w:themeColor="background1"/>
                <w:sz w:val="20"/>
                <w:szCs w:val="20"/>
              </w:rPr>
            </w:pPr>
          </w:p>
        </w:tc>
        <w:tc>
          <w:tcPr>
            <w:tcW w:w="792" w:type="dxa"/>
            <w:tcBorders>
              <w:bottom w:val="single" w:sz="4" w:space="0" w:color="auto"/>
            </w:tcBorders>
            <w:shd w:val="clear" w:color="auto" w:fill="305496"/>
            <w:vAlign w:val="center"/>
          </w:tcPr>
          <w:p w14:paraId="00F1FF18" w14:textId="77777777" w:rsidR="00B91309" w:rsidRPr="00E92F3A" w:rsidRDefault="00B91309"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10</w:t>
            </w:r>
            <w:r w:rsidRPr="005C64C8">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5ED3F4AA" w14:textId="77777777" w:rsidR="00B91309" w:rsidRPr="00E92F3A" w:rsidRDefault="00B91309"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25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045DF966" w14:textId="77777777" w:rsidR="00B91309" w:rsidRPr="00E92F3A" w:rsidRDefault="00B91309"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50</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2435829E" w14:textId="77777777" w:rsidR="00B91309" w:rsidRPr="00E92F3A" w:rsidRDefault="00B91309" w:rsidP="00E06AAF">
            <w:pPr>
              <w:jc w:val="center"/>
              <w:rPr>
                <w:rFonts w:ascii="Arial" w:hAnsi="Arial" w:cs="Arial"/>
                <w:b/>
                <w:color w:val="FFFFFF" w:themeColor="background1"/>
                <w:sz w:val="20"/>
                <w:szCs w:val="20"/>
              </w:rPr>
            </w:pPr>
            <w:r w:rsidRPr="00CE1567">
              <w:rPr>
                <w:rFonts w:ascii="Arial" w:hAnsi="Arial" w:cs="Arial"/>
                <w:b/>
                <w:color w:val="FFFFFF" w:themeColor="background1"/>
                <w:sz w:val="20"/>
                <w:szCs w:val="20"/>
              </w:rPr>
              <w:t>75</w:t>
            </w:r>
            <w:r w:rsidRPr="00CE1567">
              <w:rPr>
                <w:rFonts w:ascii="Arial" w:hAnsi="Arial" w:cs="Arial"/>
                <w:b/>
                <w:color w:val="FFFFFF" w:themeColor="background1"/>
                <w:sz w:val="20"/>
                <w:szCs w:val="20"/>
                <w:vertAlign w:val="superscript"/>
              </w:rPr>
              <w:t>th</w:t>
            </w:r>
          </w:p>
        </w:tc>
        <w:tc>
          <w:tcPr>
            <w:tcW w:w="792" w:type="dxa"/>
            <w:tcBorders>
              <w:bottom w:val="single" w:sz="4" w:space="0" w:color="auto"/>
            </w:tcBorders>
            <w:shd w:val="clear" w:color="auto" w:fill="305496"/>
            <w:vAlign w:val="center"/>
          </w:tcPr>
          <w:p w14:paraId="33E0A298" w14:textId="77777777" w:rsidR="00B91309" w:rsidRPr="00E92F3A" w:rsidRDefault="00B91309" w:rsidP="00E06AAF">
            <w:pPr>
              <w:jc w:val="center"/>
              <w:rPr>
                <w:rFonts w:ascii="Arial" w:hAnsi="Arial" w:cs="Arial"/>
                <w:b/>
                <w:color w:val="FFFFFF" w:themeColor="background1"/>
                <w:sz w:val="20"/>
                <w:szCs w:val="20"/>
              </w:rPr>
            </w:pPr>
            <w:r>
              <w:rPr>
                <w:rFonts w:ascii="Arial" w:hAnsi="Arial" w:cs="Arial"/>
                <w:b/>
                <w:color w:val="FFFFFF" w:themeColor="background1"/>
                <w:sz w:val="20"/>
                <w:szCs w:val="20"/>
              </w:rPr>
              <w:t>90</w:t>
            </w:r>
            <w:r w:rsidRPr="005C64C8">
              <w:rPr>
                <w:rFonts w:ascii="Arial" w:hAnsi="Arial" w:cs="Arial"/>
                <w:b/>
                <w:color w:val="FFFFFF" w:themeColor="background1"/>
                <w:sz w:val="20"/>
                <w:szCs w:val="20"/>
                <w:vertAlign w:val="superscript"/>
              </w:rPr>
              <w:t>th</w:t>
            </w:r>
          </w:p>
        </w:tc>
      </w:tr>
      <w:tr w:rsidR="00B91309" w:rsidRPr="00E92F3A" w14:paraId="231EB0AD" w14:textId="77777777" w:rsidTr="00B91309">
        <w:trPr>
          <w:trHeight w:val="258"/>
          <w:jc w:val="center"/>
        </w:trPr>
        <w:tc>
          <w:tcPr>
            <w:tcW w:w="1362" w:type="dxa"/>
            <w:tcBorders>
              <w:top w:val="single" w:sz="4" w:space="0" w:color="auto"/>
            </w:tcBorders>
          </w:tcPr>
          <w:p w14:paraId="4CE386DC" w14:textId="77777777" w:rsidR="00B91309" w:rsidRPr="005C49F6" w:rsidRDefault="00B91309" w:rsidP="00945113">
            <w:pPr>
              <w:jc w:val="center"/>
              <w:rPr>
                <w:rFonts w:ascii="Arial" w:hAnsi="Arial" w:cs="Arial"/>
                <w:b/>
                <w:sz w:val="20"/>
                <w:szCs w:val="20"/>
              </w:rPr>
            </w:pPr>
            <w:r>
              <w:rPr>
                <w:rFonts w:ascii="Arial" w:hAnsi="Arial" w:cs="Arial"/>
                <w:b/>
                <w:sz w:val="20"/>
                <w:szCs w:val="20"/>
              </w:rPr>
              <w:t>All</w:t>
            </w:r>
          </w:p>
        </w:tc>
        <w:tc>
          <w:tcPr>
            <w:tcW w:w="1267" w:type="dxa"/>
            <w:tcBorders>
              <w:top w:val="single" w:sz="4" w:space="0" w:color="auto"/>
            </w:tcBorders>
            <w:vAlign w:val="center"/>
          </w:tcPr>
          <w:p w14:paraId="4FB98694" w14:textId="44450D68" w:rsidR="00B91309" w:rsidRPr="005C49F6" w:rsidRDefault="00B91309" w:rsidP="00945113">
            <w:pPr>
              <w:jc w:val="center"/>
              <w:rPr>
                <w:rFonts w:ascii="Arial" w:hAnsi="Arial" w:cs="Arial"/>
                <w:b/>
                <w:sz w:val="20"/>
                <w:szCs w:val="20"/>
              </w:rPr>
            </w:pPr>
            <w:r>
              <w:rPr>
                <w:rFonts w:ascii="Arial" w:hAnsi="Arial" w:cs="Arial"/>
                <w:sz w:val="20"/>
                <w:szCs w:val="20"/>
              </w:rPr>
              <w:t>804</w:t>
            </w:r>
          </w:p>
        </w:tc>
        <w:tc>
          <w:tcPr>
            <w:tcW w:w="1267" w:type="dxa"/>
            <w:tcBorders>
              <w:top w:val="single" w:sz="4" w:space="0" w:color="auto"/>
            </w:tcBorders>
            <w:vAlign w:val="center"/>
          </w:tcPr>
          <w:p w14:paraId="1B6CC1BF" w14:textId="28203A88" w:rsidR="00B91309" w:rsidRPr="005C49F6" w:rsidRDefault="00B91309" w:rsidP="00945113">
            <w:pPr>
              <w:jc w:val="center"/>
              <w:rPr>
                <w:rFonts w:ascii="Arial" w:hAnsi="Arial" w:cs="Arial"/>
                <w:b/>
                <w:sz w:val="20"/>
                <w:szCs w:val="20"/>
              </w:rPr>
            </w:pPr>
            <w:r>
              <w:rPr>
                <w:rFonts w:ascii="Arial" w:hAnsi="Arial" w:cs="Arial"/>
                <w:sz w:val="20"/>
                <w:szCs w:val="20"/>
              </w:rPr>
              <w:t>0.84 (0.10)</w:t>
            </w:r>
          </w:p>
        </w:tc>
        <w:tc>
          <w:tcPr>
            <w:tcW w:w="792" w:type="dxa"/>
            <w:tcBorders>
              <w:top w:val="single" w:sz="4" w:space="0" w:color="auto"/>
            </w:tcBorders>
            <w:vAlign w:val="center"/>
          </w:tcPr>
          <w:p w14:paraId="6E7694DC" w14:textId="726FB094" w:rsidR="00B91309" w:rsidRPr="00E92F3A" w:rsidRDefault="00B91309" w:rsidP="00945113">
            <w:pPr>
              <w:jc w:val="center"/>
              <w:rPr>
                <w:rFonts w:ascii="Arial" w:hAnsi="Arial" w:cs="Arial"/>
                <w:b/>
                <w:color w:val="000000"/>
                <w:sz w:val="20"/>
                <w:szCs w:val="20"/>
              </w:rPr>
            </w:pPr>
            <w:r>
              <w:rPr>
                <w:rFonts w:ascii="Arial" w:hAnsi="Arial" w:cs="Arial"/>
                <w:sz w:val="20"/>
                <w:szCs w:val="20"/>
              </w:rPr>
              <w:t>0.69</w:t>
            </w:r>
          </w:p>
        </w:tc>
        <w:tc>
          <w:tcPr>
            <w:tcW w:w="792" w:type="dxa"/>
            <w:tcBorders>
              <w:top w:val="single" w:sz="4" w:space="0" w:color="auto"/>
            </w:tcBorders>
            <w:vAlign w:val="center"/>
          </w:tcPr>
          <w:p w14:paraId="5639A07A" w14:textId="41D61F2B" w:rsidR="00B91309" w:rsidRPr="00E92F3A" w:rsidRDefault="00B91309" w:rsidP="00945113">
            <w:pPr>
              <w:jc w:val="center"/>
              <w:rPr>
                <w:rFonts w:ascii="Arial" w:hAnsi="Arial" w:cs="Arial"/>
                <w:b/>
                <w:color w:val="000000"/>
                <w:sz w:val="20"/>
                <w:szCs w:val="20"/>
              </w:rPr>
            </w:pPr>
            <w:r>
              <w:rPr>
                <w:rFonts w:ascii="Arial" w:hAnsi="Arial" w:cs="Arial"/>
                <w:sz w:val="20"/>
                <w:szCs w:val="20"/>
              </w:rPr>
              <w:t>0.77</w:t>
            </w:r>
          </w:p>
        </w:tc>
        <w:tc>
          <w:tcPr>
            <w:tcW w:w="792" w:type="dxa"/>
            <w:tcBorders>
              <w:top w:val="single" w:sz="4" w:space="0" w:color="auto"/>
            </w:tcBorders>
            <w:vAlign w:val="center"/>
          </w:tcPr>
          <w:p w14:paraId="7BCE392A" w14:textId="4E7682C5" w:rsidR="00B91309" w:rsidRPr="00E92F3A" w:rsidRDefault="00B91309" w:rsidP="00945113">
            <w:pPr>
              <w:jc w:val="center"/>
              <w:rPr>
                <w:rFonts w:ascii="Arial" w:hAnsi="Arial" w:cs="Arial"/>
                <w:b/>
                <w:color w:val="000000"/>
                <w:sz w:val="20"/>
                <w:szCs w:val="20"/>
              </w:rPr>
            </w:pPr>
            <w:r>
              <w:rPr>
                <w:rFonts w:ascii="Arial" w:hAnsi="Arial" w:cs="Arial"/>
                <w:sz w:val="20"/>
                <w:szCs w:val="20"/>
              </w:rPr>
              <w:t>0.86</w:t>
            </w:r>
          </w:p>
        </w:tc>
        <w:tc>
          <w:tcPr>
            <w:tcW w:w="792" w:type="dxa"/>
            <w:tcBorders>
              <w:top w:val="single" w:sz="4" w:space="0" w:color="auto"/>
            </w:tcBorders>
            <w:vAlign w:val="center"/>
          </w:tcPr>
          <w:p w14:paraId="31740016" w14:textId="3383AAB7" w:rsidR="00B91309" w:rsidRPr="00E92F3A" w:rsidRDefault="00B91309" w:rsidP="00945113">
            <w:pPr>
              <w:jc w:val="center"/>
              <w:rPr>
                <w:rFonts w:ascii="Arial" w:hAnsi="Arial" w:cs="Arial"/>
                <w:b/>
                <w:color w:val="000000"/>
                <w:sz w:val="20"/>
                <w:szCs w:val="20"/>
              </w:rPr>
            </w:pPr>
            <w:r>
              <w:rPr>
                <w:rFonts w:ascii="Arial" w:hAnsi="Arial" w:cs="Arial"/>
                <w:sz w:val="20"/>
                <w:szCs w:val="20"/>
              </w:rPr>
              <w:t>0.92</w:t>
            </w:r>
          </w:p>
        </w:tc>
        <w:tc>
          <w:tcPr>
            <w:tcW w:w="792" w:type="dxa"/>
            <w:tcBorders>
              <w:top w:val="single" w:sz="4" w:space="0" w:color="auto"/>
            </w:tcBorders>
            <w:vAlign w:val="center"/>
          </w:tcPr>
          <w:p w14:paraId="4A342156" w14:textId="5D38FE94" w:rsidR="00B91309" w:rsidRPr="00E92F3A" w:rsidRDefault="00B91309" w:rsidP="00945113">
            <w:pPr>
              <w:jc w:val="center"/>
              <w:rPr>
                <w:rFonts w:ascii="Arial" w:hAnsi="Arial" w:cs="Arial"/>
                <w:b/>
                <w:color w:val="000000"/>
                <w:sz w:val="20"/>
                <w:szCs w:val="20"/>
              </w:rPr>
            </w:pPr>
            <w:r>
              <w:rPr>
                <w:rFonts w:ascii="Arial" w:hAnsi="Arial" w:cs="Arial"/>
                <w:sz w:val="20"/>
                <w:szCs w:val="20"/>
              </w:rPr>
              <w:t>0.95</w:t>
            </w:r>
          </w:p>
        </w:tc>
      </w:tr>
      <w:tr w:rsidR="00B91309" w:rsidRPr="00E92F3A" w14:paraId="2EC9D0CF" w14:textId="77777777" w:rsidTr="00B91309">
        <w:trPr>
          <w:trHeight w:val="258"/>
          <w:jc w:val="center"/>
        </w:trPr>
        <w:tc>
          <w:tcPr>
            <w:tcW w:w="1362" w:type="dxa"/>
          </w:tcPr>
          <w:p w14:paraId="6B6C9498" w14:textId="77777777" w:rsidR="00B91309" w:rsidRPr="005C49F6" w:rsidRDefault="00B91309" w:rsidP="00945113">
            <w:pPr>
              <w:jc w:val="center"/>
              <w:rPr>
                <w:rFonts w:ascii="Arial" w:hAnsi="Arial" w:cs="Arial"/>
                <w:sz w:val="20"/>
                <w:szCs w:val="20"/>
              </w:rPr>
            </w:pPr>
            <w:r>
              <w:rPr>
                <w:rFonts w:ascii="Arial" w:hAnsi="Arial" w:cs="Arial"/>
                <w:sz w:val="20"/>
                <w:szCs w:val="20"/>
              </w:rPr>
              <w:t>1</w:t>
            </w:r>
          </w:p>
        </w:tc>
        <w:tc>
          <w:tcPr>
            <w:tcW w:w="1267" w:type="dxa"/>
            <w:vAlign w:val="center"/>
          </w:tcPr>
          <w:p w14:paraId="3F8D6A74" w14:textId="5AB60D94" w:rsidR="00B91309" w:rsidRPr="005C49F6" w:rsidRDefault="00B91309" w:rsidP="00945113">
            <w:pPr>
              <w:jc w:val="center"/>
              <w:rPr>
                <w:rFonts w:ascii="Arial" w:hAnsi="Arial" w:cs="Arial"/>
                <w:sz w:val="20"/>
                <w:szCs w:val="20"/>
              </w:rPr>
            </w:pPr>
            <w:r>
              <w:rPr>
                <w:rFonts w:ascii="Arial" w:hAnsi="Arial" w:cs="Arial"/>
                <w:sz w:val="20"/>
                <w:szCs w:val="20"/>
              </w:rPr>
              <w:t>134</w:t>
            </w:r>
          </w:p>
        </w:tc>
        <w:tc>
          <w:tcPr>
            <w:tcW w:w="1267" w:type="dxa"/>
            <w:vAlign w:val="center"/>
          </w:tcPr>
          <w:p w14:paraId="2F39B8E3" w14:textId="5697F2AE" w:rsidR="00B91309" w:rsidRPr="005C49F6" w:rsidRDefault="00B91309" w:rsidP="00945113">
            <w:pPr>
              <w:jc w:val="center"/>
              <w:rPr>
                <w:rFonts w:ascii="Arial" w:hAnsi="Arial" w:cs="Arial"/>
                <w:sz w:val="20"/>
                <w:szCs w:val="20"/>
              </w:rPr>
            </w:pPr>
            <w:r>
              <w:rPr>
                <w:rFonts w:ascii="Arial" w:hAnsi="Arial" w:cs="Arial"/>
                <w:sz w:val="20"/>
                <w:szCs w:val="20"/>
              </w:rPr>
              <w:t>0.76 (0.09)</w:t>
            </w:r>
          </w:p>
        </w:tc>
        <w:tc>
          <w:tcPr>
            <w:tcW w:w="792" w:type="dxa"/>
            <w:vAlign w:val="center"/>
          </w:tcPr>
          <w:p w14:paraId="65FDE562" w14:textId="2B0A830C" w:rsidR="00B91309" w:rsidRDefault="00B91309" w:rsidP="00945113">
            <w:pPr>
              <w:jc w:val="center"/>
              <w:rPr>
                <w:rFonts w:ascii="Arial" w:hAnsi="Arial" w:cs="Arial"/>
                <w:color w:val="000000"/>
                <w:sz w:val="20"/>
                <w:szCs w:val="20"/>
              </w:rPr>
            </w:pPr>
            <w:r>
              <w:rPr>
                <w:rFonts w:ascii="Arial" w:hAnsi="Arial" w:cs="Arial"/>
                <w:color w:val="000000"/>
                <w:sz w:val="20"/>
                <w:szCs w:val="20"/>
              </w:rPr>
              <w:t>0.64</w:t>
            </w:r>
          </w:p>
        </w:tc>
        <w:tc>
          <w:tcPr>
            <w:tcW w:w="792" w:type="dxa"/>
            <w:vAlign w:val="center"/>
          </w:tcPr>
          <w:p w14:paraId="5855BBB7" w14:textId="1BA2CC29" w:rsidR="00B91309" w:rsidRDefault="00B91309" w:rsidP="00945113">
            <w:pPr>
              <w:jc w:val="center"/>
              <w:rPr>
                <w:rFonts w:ascii="Arial" w:hAnsi="Arial" w:cs="Arial"/>
                <w:color w:val="000000"/>
                <w:sz w:val="20"/>
                <w:szCs w:val="20"/>
              </w:rPr>
            </w:pPr>
            <w:r>
              <w:rPr>
                <w:rFonts w:ascii="Arial" w:hAnsi="Arial" w:cs="Arial"/>
                <w:color w:val="000000"/>
                <w:sz w:val="20"/>
                <w:szCs w:val="20"/>
              </w:rPr>
              <w:t>0.68</w:t>
            </w:r>
          </w:p>
        </w:tc>
        <w:tc>
          <w:tcPr>
            <w:tcW w:w="792" w:type="dxa"/>
            <w:vAlign w:val="center"/>
          </w:tcPr>
          <w:p w14:paraId="6C0F3086" w14:textId="2D852D51" w:rsidR="00B91309" w:rsidRDefault="00B91309" w:rsidP="00945113">
            <w:pPr>
              <w:jc w:val="center"/>
              <w:rPr>
                <w:rFonts w:ascii="Arial" w:hAnsi="Arial" w:cs="Arial"/>
                <w:color w:val="000000"/>
                <w:sz w:val="20"/>
                <w:szCs w:val="20"/>
              </w:rPr>
            </w:pPr>
            <w:r>
              <w:rPr>
                <w:rFonts w:ascii="Arial" w:hAnsi="Arial" w:cs="Arial"/>
                <w:color w:val="000000"/>
                <w:sz w:val="20"/>
                <w:szCs w:val="20"/>
              </w:rPr>
              <w:t>0.75</w:t>
            </w:r>
          </w:p>
        </w:tc>
        <w:tc>
          <w:tcPr>
            <w:tcW w:w="792" w:type="dxa"/>
            <w:vAlign w:val="center"/>
          </w:tcPr>
          <w:p w14:paraId="1DC564BD" w14:textId="23AC38EE" w:rsidR="00B91309" w:rsidRDefault="00B91309" w:rsidP="00945113">
            <w:pPr>
              <w:jc w:val="center"/>
              <w:rPr>
                <w:rFonts w:ascii="Arial" w:hAnsi="Arial" w:cs="Arial"/>
                <w:color w:val="000000"/>
                <w:sz w:val="20"/>
                <w:szCs w:val="20"/>
              </w:rPr>
            </w:pPr>
            <w:r>
              <w:rPr>
                <w:rFonts w:ascii="Arial" w:hAnsi="Arial" w:cs="Arial"/>
                <w:color w:val="000000"/>
                <w:sz w:val="20"/>
                <w:szCs w:val="20"/>
              </w:rPr>
              <w:t>0.83</w:t>
            </w:r>
          </w:p>
        </w:tc>
        <w:tc>
          <w:tcPr>
            <w:tcW w:w="792" w:type="dxa"/>
            <w:vAlign w:val="center"/>
          </w:tcPr>
          <w:p w14:paraId="38B67B68" w14:textId="689672DF" w:rsidR="00B91309" w:rsidRDefault="00B91309" w:rsidP="00945113">
            <w:pPr>
              <w:jc w:val="center"/>
              <w:rPr>
                <w:rFonts w:ascii="Arial" w:hAnsi="Arial" w:cs="Arial"/>
                <w:color w:val="000000"/>
                <w:sz w:val="20"/>
                <w:szCs w:val="20"/>
              </w:rPr>
            </w:pPr>
            <w:r>
              <w:rPr>
                <w:rFonts w:ascii="Arial" w:hAnsi="Arial" w:cs="Arial"/>
                <w:color w:val="000000"/>
                <w:sz w:val="20"/>
                <w:szCs w:val="20"/>
              </w:rPr>
              <w:t>0.87</w:t>
            </w:r>
          </w:p>
        </w:tc>
      </w:tr>
      <w:tr w:rsidR="00B91309" w:rsidRPr="00E92F3A" w14:paraId="3CF73315" w14:textId="77777777" w:rsidTr="00B91309">
        <w:trPr>
          <w:trHeight w:val="242"/>
          <w:jc w:val="center"/>
        </w:trPr>
        <w:tc>
          <w:tcPr>
            <w:tcW w:w="1362" w:type="dxa"/>
          </w:tcPr>
          <w:p w14:paraId="0F5C7051" w14:textId="77777777" w:rsidR="00B91309" w:rsidRPr="005C49F6" w:rsidRDefault="00B91309" w:rsidP="00945113">
            <w:pPr>
              <w:jc w:val="center"/>
              <w:rPr>
                <w:rFonts w:ascii="Arial" w:hAnsi="Arial" w:cs="Arial"/>
                <w:sz w:val="20"/>
                <w:szCs w:val="20"/>
              </w:rPr>
            </w:pPr>
            <w:r>
              <w:rPr>
                <w:rFonts w:ascii="Arial" w:hAnsi="Arial" w:cs="Arial"/>
                <w:sz w:val="20"/>
                <w:szCs w:val="20"/>
              </w:rPr>
              <w:t>2-4</w:t>
            </w:r>
          </w:p>
        </w:tc>
        <w:tc>
          <w:tcPr>
            <w:tcW w:w="1267" w:type="dxa"/>
            <w:vAlign w:val="center"/>
          </w:tcPr>
          <w:p w14:paraId="684D821B" w14:textId="35B7F64D" w:rsidR="00B91309" w:rsidRPr="005C49F6" w:rsidRDefault="00B91309" w:rsidP="00945113">
            <w:pPr>
              <w:jc w:val="center"/>
              <w:rPr>
                <w:rFonts w:ascii="Arial" w:hAnsi="Arial" w:cs="Arial"/>
                <w:sz w:val="20"/>
                <w:szCs w:val="20"/>
              </w:rPr>
            </w:pPr>
            <w:r>
              <w:rPr>
                <w:rFonts w:ascii="Arial" w:hAnsi="Arial" w:cs="Arial"/>
                <w:sz w:val="20"/>
                <w:szCs w:val="20"/>
              </w:rPr>
              <w:t>267</w:t>
            </w:r>
          </w:p>
        </w:tc>
        <w:tc>
          <w:tcPr>
            <w:tcW w:w="1267" w:type="dxa"/>
            <w:vAlign w:val="center"/>
          </w:tcPr>
          <w:p w14:paraId="008525DF" w14:textId="400257DB" w:rsidR="00B91309" w:rsidRPr="005C49F6" w:rsidRDefault="00B91309" w:rsidP="00945113">
            <w:pPr>
              <w:jc w:val="center"/>
              <w:rPr>
                <w:rFonts w:ascii="Arial" w:hAnsi="Arial" w:cs="Arial"/>
                <w:sz w:val="20"/>
                <w:szCs w:val="20"/>
              </w:rPr>
            </w:pPr>
            <w:r>
              <w:rPr>
                <w:rFonts w:ascii="Arial" w:hAnsi="Arial" w:cs="Arial"/>
                <w:sz w:val="20"/>
                <w:szCs w:val="20"/>
              </w:rPr>
              <w:t>0.81 (0.09)</w:t>
            </w:r>
          </w:p>
        </w:tc>
        <w:tc>
          <w:tcPr>
            <w:tcW w:w="792" w:type="dxa"/>
            <w:vAlign w:val="center"/>
          </w:tcPr>
          <w:p w14:paraId="22664923" w14:textId="155E3D4E" w:rsidR="00B91309" w:rsidRDefault="00B91309" w:rsidP="00945113">
            <w:pPr>
              <w:jc w:val="center"/>
              <w:rPr>
                <w:rFonts w:ascii="Arial" w:hAnsi="Arial" w:cs="Arial"/>
                <w:color w:val="000000"/>
                <w:sz w:val="20"/>
                <w:szCs w:val="20"/>
              </w:rPr>
            </w:pPr>
            <w:r>
              <w:rPr>
                <w:rFonts w:ascii="Arial" w:hAnsi="Arial" w:cs="Arial"/>
                <w:color w:val="000000"/>
                <w:sz w:val="20"/>
                <w:szCs w:val="20"/>
              </w:rPr>
              <w:t>0.68</w:t>
            </w:r>
          </w:p>
        </w:tc>
        <w:tc>
          <w:tcPr>
            <w:tcW w:w="792" w:type="dxa"/>
            <w:vAlign w:val="center"/>
          </w:tcPr>
          <w:p w14:paraId="4910962C" w14:textId="45F98176" w:rsidR="00B91309" w:rsidRDefault="00B91309" w:rsidP="00945113">
            <w:pPr>
              <w:jc w:val="center"/>
              <w:rPr>
                <w:rFonts w:ascii="Arial" w:hAnsi="Arial" w:cs="Arial"/>
                <w:color w:val="000000"/>
                <w:sz w:val="20"/>
                <w:szCs w:val="20"/>
              </w:rPr>
            </w:pPr>
            <w:r>
              <w:rPr>
                <w:rFonts w:ascii="Arial" w:hAnsi="Arial" w:cs="Arial"/>
                <w:color w:val="000000"/>
                <w:sz w:val="20"/>
                <w:szCs w:val="20"/>
              </w:rPr>
              <w:t>0.74</w:t>
            </w:r>
          </w:p>
        </w:tc>
        <w:tc>
          <w:tcPr>
            <w:tcW w:w="792" w:type="dxa"/>
            <w:vAlign w:val="center"/>
          </w:tcPr>
          <w:p w14:paraId="1C5DFF00" w14:textId="2947D46D" w:rsidR="00B91309" w:rsidRDefault="00B91309" w:rsidP="00945113">
            <w:pPr>
              <w:jc w:val="center"/>
              <w:rPr>
                <w:rFonts w:ascii="Arial" w:hAnsi="Arial" w:cs="Arial"/>
                <w:color w:val="000000"/>
                <w:sz w:val="20"/>
                <w:szCs w:val="20"/>
              </w:rPr>
            </w:pPr>
            <w:r>
              <w:rPr>
                <w:rFonts w:ascii="Arial" w:hAnsi="Arial" w:cs="Arial"/>
                <w:color w:val="000000"/>
                <w:sz w:val="20"/>
                <w:szCs w:val="20"/>
              </w:rPr>
              <w:t>0.83</w:t>
            </w:r>
          </w:p>
        </w:tc>
        <w:tc>
          <w:tcPr>
            <w:tcW w:w="792" w:type="dxa"/>
            <w:vAlign w:val="center"/>
          </w:tcPr>
          <w:p w14:paraId="5D0C5919" w14:textId="48D8CA84" w:rsidR="00B91309" w:rsidRDefault="00B91309" w:rsidP="00945113">
            <w:pPr>
              <w:jc w:val="center"/>
              <w:rPr>
                <w:rFonts w:ascii="Arial" w:hAnsi="Arial" w:cs="Arial"/>
                <w:color w:val="000000"/>
                <w:sz w:val="20"/>
                <w:szCs w:val="20"/>
              </w:rPr>
            </w:pPr>
            <w:r>
              <w:rPr>
                <w:rFonts w:ascii="Arial" w:hAnsi="Arial" w:cs="Arial"/>
                <w:color w:val="000000"/>
                <w:sz w:val="20"/>
                <w:szCs w:val="20"/>
              </w:rPr>
              <w:t>0.88</w:t>
            </w:r>
          </w:p>
        </w:tc>
        <w:tc>
          <w:tcPr>
            <w:tcW w:w="792" w:type="dxa"/>
            <w:vAlign w:val="center"/>
          </w:tcPr>
          <w:p w14:paraId="3DC2F377" w14:textId="6F3B2B46" w:rsidR="00B91309" w:rsidRDefault="00B91309" w:rsidP="00945113">
            <w:pPr>
              <w:jc w:val="center"/>
              <w:rPr>
                <w:rFonts w:ascii="Arial" w:hAnsi="Arial" w:cs="Arial"/>
                <w:color w:val="000000"/>
                <w:sz w:val="20"/>
                <w:szCs w:val="20"/>
              </w:rPr>
            </w:pPr>
            <w:r>
              <w:rPr>
                <w:rFonts w:ascii="Arial" w:hAnsi="Arial" w:cs="Arial"/>
                <w:color w:val="000000"/>
                <w:sz w:val="20"/>
                <w:szCs w:val="20"/>
              </w:rPr>
              <w:t>0.92</w:t>
            </w:r>
          </w:p>
        </w:tc>
      </w:tr>
      <w:tr w:rsidR="00B91309" w:rsidRPr="00E92F3A" w14:paraId="25A03BD6" w14:textId="77777777" w:rsidTr="00B91309">
        <w:trPr>
          <w:trHeight w:val="258"/>
          <w:jc w:val="center"/>
        </w:trPr>
        <w:tc>
          <w:tcPr>
            <w:tcW w:w="1362" w:type="dxa"/>
          </w:tcPr>
          <w:p w14:paraId="726F7049" w14:textId="77777777" w:rsidR="00B91309" w:rsidRPr="005C49F6" w:rsidRDefault="00B91309" w:rsidP="00945113">
            <w:pPr>
              <w:jc w:val="center"/>
              <w:rPr>
                <w:rFonts w:ascii="Arial" w:hAnsi="Arial" w:cs="Arial"/>
                <w:sz w:val="20"/>
                <w:szCs w:val="20"/>
              </w:rPr>
            </w:pPr>
            <w:r>
              <w:rPr>
                <w:rFonts w:ascii="Arial" w:hAnsi="Arial" w:cs="Arial"/>
                <w:sz w:val="20"/>
                <w:szCs w:val="20"/>
              </w:rPr>
              <w:t>5-20</w:t>
            </w:r>
          </w:p>
        </w:tc>
        <w:tc>
          <w:tcPr>
            <w:tcW w:w="1267" w:type="dxa"/>
            <w:vAlign w:val="center"/>
          </w:tcPr>
          <w:p w14:paraId="3833A18C" w14:textId="3EBCFB34" w:rsidR="00B91309" w:rsidRPr="005C49F6" w:rsidRDefault="00B91309" w:rsidP="00945113">
            <w:pPr>
              <w:jc w:val="center"/>
              <w:rPr>
                <w:rFonts w:ascii="Arial" w:hAnsi="Arial" w:cs="Arial"/>
                <w:sz w:val="20"/>
                <w:szCs w:val="20"/>
              </w:rPr>
            </w:pPr>
            <w:r>
              <w:rPr>
                <w:rFonts w:ascii="Arial" w:hAnsi="Arial" w:cs="Arial"/>
                <w:sz w:val="20"/>
                <w:szCs w:val="20"/>
              </w:rPr>
              <w:t>384</w:t>
            </w:r>
          </w:p>
        </w:tc>
        <w:tc>
          <w:tcPr>
            <w:tcW w:w="1267" w:type="dxa"/>
            <w:vAlign w:val="center"/>
          </w:tcPr>
          <w:p w14:paraId="2FC9499C" w14:textId="63C224AA" w:rsidR="00B91309" w:rsidRPr="005C49F6" w:rsidRDefault="00B91309" w:rsidP="00945113">
            <w:pPr>
              <w:jc w:val="center"/>
              <w:rPr>
                <w:rFonts w:ascii="Arial" w:hAnsi="Arial" w:cs="Arial"/>
                <w:sz w:val="20"/>
                <w:szCs w:val="20"/>
              </w:rPr>
            </w:pPr>
            <w:r>
              <w:rPr>
                <w:rFonts w:ascii="Arial" w:hAnsi="Arial" w:cs="Arial"/>
                <w:sz w:val="20"/>
                <w:szCs w:val="20"/>
              </w:rPr>
              <w:t>0.88 (0.07)</w:t>
            </w:r>
          </w:p>
        </w:tc>
        <w:tc>
          <w:tcPr>
            <w:tcW w:w="792" w:type="dxa"/>
            <w:vAlign w:val="center"/>
          </w:tcPr>
          <w:p w14:paraId="6A0F2D39" w14:textId="5114C497" w:rsidR="00B91309" w:rsidRDefault="00B91309" w:rsidP="00945113">
            <w:pPr>
              <w:jc w:val="center"/>
              <w:rPr>
                <w:rFonts w:ascii="Arial" w:hAnsi="Arial" w:cs="Arial"/>
                <w:color w:val="000000"/>
                <w:sz w:val="20"/>
                <w:szCs w:val="20"/>
              </w:rPr>
            </w:pPr>
            <w:r>
              <w:rPr>
                <w:rFonts w:ascii="Arial" w:hAnsi="Arial" w:cs="Arial"/>
                <w:color w:val="000000"/>
                <w:sz w:val="20"/>
                <w:szCs w:val="20"/>
              </w:rPr>
              <w:t>0.76</w:t>
            </w:r>
          </w:p>
        </w:tc>
        <w:tc>
          <w:tcPr>
            <w:tcW w:w="792" w:type="dxa"/>
            <w:vAlign w:val="center"/>
          </w:tcPr>
          <w:p w14:paraId="6346D632" w14:textId="2364D1D2" w:rsidR="00B91309" w:rsidRDefault="00B91309" w:rsidP="00945113">
            <w:pPr>
              <w:jc w:val="center"/>
              <w:rPr>
                <w:rFonts w:ascii="Arial" w:hAnsi="Arial" w:cs="Arial"/>
                <w:color w:val="000000"/>
                <w:sz w:val="20"/>
                <w:szCs w:val="20"/>
              </w:rPr>
            </w:pPr>
            <w:r>
              <w:rPr>
                <w:rFonts w:ascii="Arial" w:hAnsi="Arial" w:cs="Arial"/>
                <w:color w:val="000000"/>
                <w:sz w:val="20"/>
                <w:szCs w:val="20"/>
              </w:rPr>
              <w:t>0.85</w:t>
            </w:r>
          </w:p>
        </w:tc>
        <w:tc>
          <w:tcPr>
            <w:tcW w:w="792" w:type="dxa"/>
            <w:vAlign w:val="center"/>
          </w:tcPr>
          <w:p w14:paraId="2F942AFC" w14:textId="4A75DFA3" w:rsidR="00B91309" w:rsidRDefault="00B91309" w:rsidP="00945113">
            <w:pPr>
              <w:jc w:val="center"/>
              <w:rPr>
                <w:rFonts w:ascii="Arial" w:hAnsi="Arial" w:cs="Arial"/>
                <w:color w:val="000000"/>
                <w:sz w:val="20"/>
                <w:szCs w:val="20"/>
              </w:rPr>
            </w:pPr>
            <w:r>
              <w:rPr>
                <w:rFonts w:ascii="Arial" w:hAnsi="Arial" w:cs="Arial"/>
                <w:color w:val="000000"/>
                <w:sz w:val="20"/>
                <w:szCs w:val="20"/>
              </w:rPr>
              <w:t>0.90</w:t>
            </w:r>
          </w:p>
        </w:tc>
        <w:tc>
          <w:tcPr>
            <w:tcW w:w="792" w:type="dxa"/>
            <w:vAlign w:val="center"/>
          </w:tcPr>
          <w:p w14:paraId="6241D1D2" w14:textId="1070CAD6" w:rsidR="00B91309" w:rsidRDefault="00B91309" w:rsidP="00945113">
            <w:pPr>
              <w:jc w:val="center"/>
              <w:rPr>
                <w:rFonts w:ascii="Arial" w:hAnsi="Arial" w:cs="Arial"/>
                <w:color w:val="000000"/>
                <w:sz w:val="20"/>
                <w:szCs w:val="20"/>
              </w:rPr>
            </w:pPr>
            <w:r>
              <w:rPr>
                <w:rFonts w:ascii="Arial" w:hAnsi="Arial" w:cs="Arial"/>
                <w:color w:val="000000"/>
                <w:sz w:val="20"/>
                <w:szCs w:val="20"/>
              </w:rPr>
              <w:t>0.94</w:t>
            </w:r>
          </w:p>
        </w:tc>
        <w:tc>
          <w:tcPr>
            <w:tcW w:w="792" w:type="dxa"/>
            <w:vAlign w:val="center"/>
          </w:tcPr>
          <w:p w14:paraId="121B620C" w14:textId="197B0C17" w:rsidR="00B91309" w:rsidRDefault="00B91309" w:rsidP="00945113">
            <w:pPr>
              <w:jc w:val="center"/>
              <w:rPr>
                <w:rFonts w:ascii="Arial" w:hAnsi="Arial" w:cs="Arial"/>
                <w:color w:val="000000"/>
                <w:sz w:val="20"/>
                <w:szCs w:val="20"/>
              </w:rPr>
            </w:pPr>
            <w:r>
              <w:rPr>
                <w:rFonts w:ascii="Arial" w:hAnsi="Arial" w:cs="Arial"/>
                <w:color w:val="000000"/>
                <w:sz w:val="20"/>
                <w:szCs w:val="20"/>
              </w:rPr>
              <w:t>0.96</w:t>
            </w:r>
          </w:p>
        </w:tc>
      </w:tr>
      <w:tr w:rsidR="00B91309" w:rsidRPr="00E92F3A" w14:paraId="6BC70595" w14:textId="77777777" w:rsidTr="00B91309">
        <w:trPr>
          <w:trHeight w:val="242"/>
          <w:jc w:val="center"/>
        </w:trPr>
        <w:tc>
          <w:tcPr>
            <w:tcW w:w="1362" w:type="dxa"/>
          </w:tcPr>
          <w:p w14:paraId="0F243DBD" w14:textId="77777777" w:rsidR="00B91309" w:rsidRPr="005C49F6" w:rsidRDefault="00B91309" w:rsidP="00945113">
            <w:pPr>
              <w:jc w:val="center"/>
              <w:rPr>
                <w:rFonts w:ascii="Arial" w:hAnsi="Arial" w:cs="Arial"/>
                <w:sz w:val="20"/>
                <w:szCs w:val="20"/>
              </w:rPr>
            </w:pPr>
            <w:r>
              <w:rPr>
                <w:rFonts w:ascii="Arial" w:hAnsi="Arial" w:cs="Arial"/>
                <w:sz w:val="20"/>
                <w:szCs w:val="20"/>
              </w:rPr>
              <w:t>21+</w:t>
            </w:r>
          </w:p>
        </w:tc>
        <w:tc>
          <w:tcPr>
            <w:tcW w:w="1267" w:type="dxa"/>
            <w:vAlign w:val="center"/>
          </w:tcPr>
          <w:p w14:paraId="7C612996" w14:textId="53E0425F" w:rsidR="00B91309" w:rsidRPr="005C49F6" w:rsidRDefault="00B91309" w:rsidP="00945113">
            <w:pPr>
              <w:jc w:val="center"/>
              <w:rPr>
                <w:rFonts w:ascii="Arial" w:hAnsi="Arial" w:cs="Arial"/>
                <w:sz w:val="20"/>
                <w:szCs w:val="20"/>
              </w:rPr>
            </w:pPr>
            <w:r>
              <w:rPr>
                <w:rFonts w:ascii="Arial" w:hAnsi="Arial" w:cs="Arial"/>
                <w:sz w:val="20"/>
                <w:szCs w:val="20"/>
              </w:rPr>
              <w:t>19</w:t>
            </w:r>
          </w:p>
        </w:tc>
        <w:tc>
          <w:tcPr>
            <w:tcW w:w="1267" w:type="dxa"/>
            <w:vAlign w:val="center"/>
          </w:tcPr>
          <w:p w14:paraId="36856CF5" w14:textId="45CE9972" w:rsidR="00B91309" w:rsidRPr="005C49F6" w:rsidRDefault="00B91309" w:rsidP="00945113">
            <w:pPr>
              <w:jc w:val="center"/>
              <w:rPr>
                <w:rFonts w:ascii="Arial" w:hAnsi="Arial" w:cs="Arial"/>
                <w:sz w:val="20"/>
                <w:szCs w:val="20"/>
              </w:rPr>
            </w:pPr>
            <w:r>
              <w:rPr>
                <w:rFonts w:ascii="Arial" w:hAnsi="Arial" w:cs="Arial"/>
                <w:sz w:val="20"/>
                <w:szCs w:val="20"/>
              </w:rPr>
              <w:t>0.97 (0.01)</w:t>
            </w:r>
          </w:p>
        </w:tc>
        <w:tc>
          <w:tcPr>
            <w:tcW w:w="792" w:type="dxa"/>
            <w:vAlign w:val="center"/>
          </w:tcPr>
          <w:p w14:paraId="3AB05048" w14:textId="66B74057" w:rsidR="00B91309" w:rsidRDefault="00B91309" w:rsidP="00945113">
            <w:pPr>
              <w:jc w:val="center"/>
              <w:rPr>
                <w:rFonts w:ascii="Arial" w:hAnsi="Arial" w:cs="Arial"/>
                <w:color w:val="000000"/>
                <w:sz w:val="20"/>
                <w:szCs w:val="20"/>
              </w:rPr>
            </w:pPr>
            <w:r>
              <w:rPr>
                <w:rFonts w:ascii="Arial" w:hAnsi="Arial" w:cs="Arial"/>
                <w:color w:val="000000"/>
                <w:sz w:val="20"/>
                <w:szCs w:val="20"/>
              </w:rPr>
              <w:t>0.94</w:t>
            </w:r>
          </w:p>
        </w:tc>
        <w:tc>
          <w:tcPr>
            <w:tcW w:w="792" w:type="dxa"/>
            <w:vAlign w:val="center"/>
          </w:tcPr>
          <w:p w14:paraId="19049DF8" w14:textId="17DB4336" w:rsidR="00B91309" w:rsidRDefault="00B91309" w:rsidP="00945113">
            <w:pPr>
              <w:jc w:val="center"/>
              <w:rPr>
                <w:rFonts w:ascii="Arial" w:hAnsi="Arial" w:cs="Arial"/>
                <w:color w:val="000000"/>
                <w:sz w:val="20"/>
                <w:szCs w:val="20"/>
              </w:rPr>
            </w:pPr>
            <w:r>
              <w:rPr>
                <w:rFonts w:ascii="Arial" w:hAnsi="Arial" w:cs="Arial"/>
                <w:color w:val="000000"/>
                <w:sz w:val="20"/>
                <w:szCs w:val="20"/>
              </w:rPr>
              <w:t>0.96</w:t>
            </w:r>
          </w:p>
        </w:tc>
        <w:tc>
          <w:tcPr>
            <w:tcW w:w="792" w:type="dxa"/>
            <w:vAlign w:val="center"/>
          </w:tcPr>
          <w:p w14:paraId="612CF554" w14:textId="2591275D" w:rsidR="00B91309" w:rsidRDefault="00B91309" w:rsidP="00945113">
            <w:pPr>
              <w:jc w:val="center"/>
              <w:rPr>
                <w:rFonts w:ascii="Arial" w:hAnsi="Arial" w:cs="Arial"/>
                <w:color w:val="000000"/>
                <w:sz w:val="20"/>
                <w:szCs w:val="20"/>
              </w:rPr>
            </w:pPr>
            <w:r>
              <w:rPr>
                <w:rFonts w:ascii="Arial" w:hAnsi="Arial" w:cs="Arial"/>
                <w:color w:val="000000"/>
                <w:sz w:val="20"/>
                <w:szCs w:val="20"/>
              </w:rPr>
              <w:t>0.97</w:t>
            </w:r>
          </w:p>
        </w:tc>
        <w:tc>
          <w:tcPr>
            <w:tcW w:w="792" w:type="dxa"/>
            <w:vAlign w:val="center"/>
          </w:tcPr>
          <w:p w14:paraId="14CC873D" w14:textId="5599F408" w:rsidR="00B91309" w:rsidRDefault="00B91309" w:rsidP="00945113">
            <w:pPr>
              <w:jc w:val="center"/>
              <w:rPr>
                <w:rFonts w:ascii="Arial" w:hAnsi="Arial" w:cs="Arial"/>
                <w:color w:val="000000"/>
                <w:sz w:val="20"/>
                <w:szCs w:val="20"/>
              </w:rPr>
            </w:pPr>
            <w:r>
              <w:rPr>
                <w:rFonts w:ascii="Arial" w:hAnsi="Arial" w:cs="Arial"/>
                <w:color w:val="000000"/>
                <w:sz w:val="20"/>
                <w:szCs w:val="20"/>
              </w:rPr>
              <w:t>0.98</w:t>
            </w:r>
          </w:p>
        </w:tc>
        <w:tc>
          <w:tcPr>
            <w:tcW w:w="792" w:type="dxa"/>
            <w:vAlign w:val="center"/>
          </w:tcPr>
          <w:p w14:paraId="056CDBF9" w14:textId="51B1DF0A" w:rsidR="00B91309" w:rsidRDefault="00B91309" w:rsidP="00945113">
            <w:pPr>
              <w:jc w:val="center"/>
              <w:rPr>
                <w:rFonts w:ascii="Arial" w:hAnsi="Arial" w:cs="Arial"/>
                <w:color w:val="000000"/>
                <w:sz w:val="20"/>
                <w:szCs w:val="20"/>
              </w:rPr>
            </w:pPr>
            <w:r>
              <w:rPr>
                <w:rFonts w:ascii="Arial" w:hAnsi="Arial" w:cs="Arial"/>
                <w:color w:val="000000"/>
                <w:sz w:val="20"/>
                <w:szCs w:val="20"/>
              </w:rPr>
              <w:t>0.99</w:t>
            </w:r>
          </w:p>
        </w:tc>
      </w:tr>
    </w:tbl>
    <w:p w14:paraId="16BA119E" w14:textId="55136D03" w:rsidR="003878EA" w:rsidRPr="001F1484" w:rsidRDefault="003878EA" w:rsidP="00945113">
      <w:pPr>
        <w:autoSpaceDE w:val="0"/>
        <w:autoSpaceDN w:val="0"/>
        <w:adjustRightInd w:val="0"/>
        <w:spacing w:after="0" w:line="240" w:lineRule="auto"/>
        <w:ind w:firstLine="720"/>
        <w:jc w:val="center"/>
        <w:rPr>
          <w:rFonts w:cstheme="minorHAnsi"/>
          <w:bCs/>
          <w:color w:val="000000" w:themeColor="text1"/>
          <w:sz w:val="20"/>
          <w:szCs w:val="20"/>
        </w:rPr>
      </w:pPr>
    </w:p>
    <w:p w14:paraId="352C6342" w14:textId="2C777861" w:rsidR="00D92234" w:rsidRPr="001F1484" w:rsidRDefault="003878EA" w:rsidP="003878EA">
      <w:pPr>
        <w:autoSpaceDE w:val="0"/>
        <w:autoSpaceDN w:val="0"/>
        <w:adjustRightInd w:val="0"/>
        <w:spacing w:after="0" w:line="240" w:lineRule="auto"/>
        <w:rPr>
          <w:rFonts w:cs="Times New Roman"/>
          <w:b/>
          <w:bCs/>
          <w:color w:val="0070C0"/>
        </w:rPr>
      </w:pPr>
      <w:r w:rsidRPr="001F1484">
        <w:rPr>
          <w:rFonts w:cs="Times New Roman"/>
          <w:b/>
          <w:bCs/>
          <w:color w:val="0070C0"/>
        </w:rPr>
        <w:t xml:space="preserve">Split-sample </w:t>
      </w:r>
      <w:r w:rsidR="00D92234" w:rsidRPr="001F1484">
        <w:rPr>
          <w:rFonts w:cs="Times New Roman"/>
          <w:b/>
          <w:bCs/>
          <w:color w:val="0070C0"/>
        </w:rPr>
        <w:t>Reliability Testing Results</w:t>
      </w:r>
    </w:p>
    <w:p w14:paraId="7B429524" w14:textId="17CD2483" w:rsidR="003878EA" w:rsidRPr="001F1484" w:rsidRDefault="003878EA" w:rsidP="003878EA">
      <w:pPr>
        <w:autoSpaceDE w:val="0"/>
        <w:autoSpaceDN w:val="0"/>
        <w:adjustRightInd w:val="0"/>
        <w:spacing w:after="0" w:line="240" w:lineRule="auto"/>
        <w:rPr>
          <w:rFonts w:cs="Times New Roman"/>
          <w:b/>
          <w:bCs/>
          <w:color w:val="0070C0"/>
        </w:rPr>
      </w:pPr>
      <w:r w:rsidRPr="001F1484">
        <w:rPr>
          <w:rStyle w:val="Style1"/>
          <w:rFonts w:cs="Times New Roman"/>
          <w:color w:val="0070C0"/>
        </w:rPr>
        <w:t>Table 3 presents</w:t>
      </w:r>
      <w:r w:rsidR="001F1484">
        <w:rPr>
          <w:rStyle w:val="Style1"/>
          <w:rFonts w:cs="Times New Roman"/>
          <w:color w:val="0070C0"/>
        </w:rPr>
        <w:t xml:space="preserve"> the Pearson correlation and </w:t>
      </w:r>
      <w:r w:rsidRPr="001F1484">
        <w:rPr>
          <w:rStyle w:val="Style1"/>
          <w:rFonts w:cs="Times New Roman"/>
          <w:color w:val="0070C0"/>
        </w:rPr>
        <w:t xml:space="preserve">ICC(2,1) </w:t>
      </w:r>
      <w:r w:rsidR="001F1484">
        <w:rPr>
          <w:rStyle w:val="Style1"/>
          <w:rFonts w:cs="Times New Roman"/>
          <w:color w:val="0070C0"/>
        </w:rPr>
        <w:t xml:space="preserve">coefficients </w:t>
      </w:r>
      <w:r w:rsidRPr="001F1484">
        <w:rPr>
          <w:rStyle w:val="Style1"/>
          <w:rFonts w:cs="Times New Roman"/>
          <w:color w:val="0070C0"/>
        </w:rPr>
        <w:t>between the split-sample measures scores</w:t>
      </w:r>
      <w:r w:rsidR="001F1484">
        <w:rPr>
          <w:rStyle w:val="Style1"/>
          <w:rFonts w:cs="Times New Roman"/>
          <w:color w:val="0070C0"/>
        </w:rPr>
        <w:t>. This analysis included</w:t>
      </w:r>
      <w:r w:rsidRPr="001F1484">
        <w:rPr>
          <w:rStyle w:val="Style1"/>
          <w:rFonts w:cs="Times New Roman"/>
          <w:color w:val="0070C0"/>
        </w:rPr>
        <w:t xml:space="preserve"> </w:t>
      </w:r>
      <w:r w:rsidR="00420045">
        <w:rPr>
          <w:rStyle w:val="Style1"/>
          <w:rFonts w:cs="Times New Roman"/>
          <w:color w:val="0070C0"/>
        </w:rPr>
        <w:t>721</w:t>
      </w:r>
      <w:r w:rsidR="00D92234" w:rsidRPr="001F1484">
        <w:rPr>
          <w:rStyle w:val="Style1"/>
          <w:rFonts w:cs="Times New Roman"/>
          <w:color w:val="0070C0"/>
        </w:rPr>
        <w:t xml:space="preserve"> </w:t>
      </w:r>
      <w:r w:rsidRPr="001F1484">
        <w:rPr>
          <w:rStyle w:val="Style1"/>
          <w:rFonts w:cs="Times New Roman"/>
          <w:color w:val="0070C0"/>
        </w:rPr>
        <w:t xml:space="preserve">TINs and </w:t>
      </w:r>
      <w:r w:rsidR="00420045">
        <w:rPr>
          <w:rStyle w:val="Style1"/>
          <w:rFonts w:cs="Times New Roman"/>
          <w:color w:val="0070C0"/>
        </w:rPr>
        <w:t>1,875</w:t>
      </w:r>
      <w:r w:rsidR="00D92234" w:rsidRPr="001F1484">
        <w:rPr>
          <w:rStyle w:val="Style1"/>
          <w:rFonts w:cs="Times New Roman"/>
          <w:color w:val="0070C0"/>
        </w:rPr>
        <w:t xml:space="preserve"> </w:t>
      </w:r>
      <w:r w:rsidRPr="001F1484">
        <w:rPr>
          <w:rStyle w:val="Style1"/>
          <w:rFonts w:cs="Times New Roman"/>
          <w:color w:val="0070C0"/>
        </w:rPr>
        <w:t xml:space="preserve">TIN-NPIs. The ICC </w:t>
      </w:r>
      <w:r w:rsidR="001F1484">
        <w:rPr>
          <w:rStyle w:val="Style1"/>
          <w:rFonts w:cs="Times New Roman"/>
          <w:color w:val="0070C0"/>
        </w:rPr>
        <w:t xml:space="preserve">coefficient </w:t>
      </w:r>
      <w:r w:rsidRPr="001F1484">
        <w:rPr>
          <w:rStyle w:val="Style1"/>
          <w:rFonts w:cs="Times New Roman"/>
          <w:color w:val="0070C0"/>
        </w:rPr>
        <w:t xml:space="preserve">was </w:t>
      </w:r>
      <w:r w:rsidR="00420045">
        <w:rPr>
          <w:rStyle w:val="Style1"/>
          <w:rFonts w:cs="Times New Roman"/>
          <w:color w:val="0070C0"/>
        </w:rPr>
        <w:t>0.80</w:t>
      </w:r>
      <w:r w:rsidRPr="001F1484">
        <w:rPr>
          <w:rStyle w:val="Style1"/>
          <w:rFonts w:cs="Times New Roman"/>
          <w:color w:val="0070C0"/>
        </w:rPr>
        <w:t xml:space="preserve"> </w:t>
      </w:r>
      <w:r w:rsidR="001F1484">
        <w:rPr>
          <w:rStyle w:val="Style1"/>
          <w:rFonts w:cs="Times New Roman"/>
          <w:color w:val="0070C0"/>
        </w:rPr>
        <w:t xml:space="preserve">at the TIN-level, </w:t>
      </w:r>
      <w:r w:rsidRPr="001F1484">
        <w:rPr>
          <w:rStyle w:val="Style1"/>
          <w:rFonts w:cs="Times New Roman"/>
          <w:color w:val="0070C0"/>
        </w:rPr>
        <w:t xml:space="preserve">and </w:t>
      </w:r>
      <w:r w:rsidR="00420045">
        <w:rPr>
          <w:rStyle w:val="Style1"/>
          <w:rFonts w:cs="Times New Roman"/>
          <w:color w:val="0070C0"/>
        </w:rPr>
        <w:t>0.64</w:t>
      </w:r>
      <w:r w:rsidRPr="001F1484">
        <w:rPr>
          <w:rStyle w:val="Style1"/>
          <w:rFonts w:cs="Times New Roman"/>
          <w:color w:val="0070C0"/>
        </w:rPr>
        <w:t xml:space="preserve"> </w:t>
      </w:r>
      <w:r w:rsidR="001F1484">
        <w:rPr>
          <w:rStyle w:val="Style1"/>
          <w:rFonts w:cs="Times New Roman"/>
          <w:color w:val="0070C0"/>
        </w:rPr>
        <w:t xml:space="preserve">at the </w:t>
      </w:r>
      <w:r w:rsidRPr="001F1484">
        <w:rPr>
          <w:rStyle w:val="Style1"/>
          <w:rFonts w:cs="Times New Roman"/>
          <w:color w:val="0070C0"/>
        </w:rPr>
        <w:t xml:space="preserve">TIN-NPI </w:t>
      </w:r>
      <w:r w:rsidR="001F1484">
        <w:rPr>
          <w:rStyle w:val="Style1"/>
          <w:rFonts w:cs="Times New Roman"/>
          <w:color w:val="0070C0"/>
        </w:rPr>
        <w:t>level</w:t>
      </w:r>
      <w:r w:rsidRPr="001F1484">
        <w:rPr>
          <w:rStyle w:val="Style1"/>
          <w:rFonts w:cs="Times New Roman"/>
          <w:color w:val="0070C0"/>
        </w:rPr>
        <w:t xml:space="preserve">. </w:t>
      </w:r>
    </w:p>
    <w:p w14:paraId="44606F81" w14:textId="77777777" w:rsidR="003878EA" w:rsidRDefault="003878EA" w:rsidP="003878EA">
      <w:pPr>
        <w:autoSpaceDE w:val="0"/>
        <w:autoSpaceDN w:val="0"/>
        <w:adjustRightInd w:val="0"/>
        <w:spacing w:after="0" w:line="240" w:lineRule="auto"/>
        <w:rPr>
          <w:rFonts w:cstheme="minorHAnsi"/>
          <w:bCs/>
          <w:color w:val="0070C0"/>
        </w:rPr>
      </w:pPr>
    </w:p>
    <w:p w14:paraId="42A27138" w14:textId="710B443B" w:rsidR="003878EA" w:rsidRPr="00CE1567" w:rsidRDefault="003878EA" w:rsidP="00D92234">
      <w:pPr>
        <w:keepNext/>
        <w:autoSpaceDE w:val="0"/>
        <w:autoSpaceDN w:val="0"/>
        <w:adjustRightInd w:val="0"/>
        <w:spacing w:after="0" w:line="240" w:lineRule="auto"/>
        <w:jc w:val="center"/>
        <w:rPr>
          <w:rFonts w:ascii="Times New Roman" w:hAnsi="Times New Roman" w:cs="Times New Roman"/>
          <w:bCs/>
          <w:color w:val="0070C0"/>
        </w:rPr>
      </w:pPr>
      <w:r w:rsidRPr="00CE1567">
        <w:rPr>
          <w:rFonts w:ascii="Times New Roman" w:hAnsi="Times New Roman" w:cs="Times New Roman"/>
          <w:b/>
          <w:bCs/>
          <w:iCs/>
          <w:color w:val="000000" w:themeColor="text1"/>
        </w:rPr>
        <w:t xml:space="preserve">Table </w:t>
      </w:r>
      <w:r>
        <w:rPr>
          <w:rFonts w:ascii="Times New Roman" w:hAnsi="Times New Roman" w:cs="Times New Roman"/>
          <w:b/>
          <w:bCs/>
          <w:iCs/>
          <w:color w:val="000000" w:themeColor="text1"/>
        </w:rPr>
        <w:t>3</w:t>
      </w:r>
      <w:r w:rsidRPr="00CE1567">
        <w:rPr>
          <w:rFonts w:ascii="Times New Roman" w:hAnsi="Times New Roman" w:cs="Times New Roman"/>
          <w:b/>
          <w:bCs/>
          <w:iCs/>
          <w:color w:val="000000" w:themeColor="text1"/>
        </w:rPr>
        <w:t xml:space="preserve">. Split-sample </w:t>
      </w:r>
      <w:r w:rsidR="001F1484">
        <w:rPr>
          <w:rFonts w:ascii="Times New Roman" w:hAnsi="Times New Roman" w:cs="Times New Roman"/>
          <w:b/>
          <w:bCs/>
          <w:iCs/>
          <w:color w:val="000000" w:themeColor="text1"/>
        </w:rPr>
        <w:t>Analysis Results</w:t>
      </w:r>
    </w:p>
    <w:tbl>
      <w:tblPr>
        <w:tblStyle w:val="TableGrid"/>
        <w:tblW w:w="8729" w:type="dxa"/>
        <w:jc w:val="center"/>
        <w:tblLayout w:type="fixed"/>
        <w:tblLook w:val="04A0" w:firstRow="1" w:lastRow="0" w:firstColumn="1" w:lastColumn="0" w:noHBand="0" w:noVBand="1"/>
      </w:tblPr>
      <w:tblGrid>
        <w:gridCol w:w="1454"/>
        <w:gridCol w:w="1455"/>
        <w:gridCol w:w="1455"/>
        <w:gridCol w:w="1455"/>
        <w:gridCol w:w="1455"/>
        <w:gridCol w:w="1455"/>
      </w:tblGrid>
      <w:tr w:rsidR="003878EA" w:rsidRPr="009B6809" w14:paraId="2A73999C" w14:textId="77777777" w:rsidTr="001F1484">
        <w:trPr>
          <w:trHeight w:val="260"/>
          <w:tblHeader/>
          <w:jc w:val="center"/>
        </w:trPr>
        <w:tc>
          <w:tcPr>
            <w:tcW w:w="1454" w:type="dxa"/>
            <w:shd w:val="clear" w:color="auto" w:fill="305496"/>
            <w:vAlign w:val="center"/>
          </w:tcPr>
          <w:p w14:paraId="6CDE4483"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Reporting Level</w:t>
            </w:r>
          </w:p>
        </w:tc>
        <w:tc>
          <w:tcPr>
            <w:tcW w:w="1455" w:type="dxa"/>
            <w:shd w:val="clear" w:color="auto" w:fill="305496"/>
            <w:vAlign w:val="center"/>
          </w:tcPr>
          <w:p w14:paraId="25F74742"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 of TINs or TIN-NPIs</w:t>
            </w:r>
          </w:p>
        </w:tc>
        <w:tc>
          <w:tcPr>
            <w:tcW w:w="1455" w:type="dxa"/>
            <w:shd w:val="clear" w:color="auto" w:fill="305496"/>
            <w:vAlign w:val="center"/>
          </w:tcPr>
          <w:p w14:paraId="1A757796"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Mean Score: Sample 1</w:t>
            </w:r>
          </w:p>
        </w:tc>
        <w:tc>
          <w:tcPr>
            <w:tcW w:w="1455" w:type="dxa"/>
            <w:shd w:val="clear" w:color="auto" w:fill="305496"/>
            <w:vAlign w:val="center"/>
          </w:tcPr>
          <w:p w14:paraId="27796958"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Mean Score: Sample 2</w:t>
            </w:r>
          </w:p>
        </w:tc>
        <w:tc>
          <w:tcPr>
            <w:tcW w:w="1455" w:type="dxa"/>
            <w:shd w:val="clear" w:color="auto" w:fill="305496"/>
            <w:vAlign w:val="center"/>
          </w:tcPr>
          <w:p w14:paraId="77CB231E" w14:textId="77777777"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Pearson Correlation Coefficient</w:t>
            </w:r>
          </w:p>
        </w:tc>
        <w:tc>
          <w:tcPr>
            <w:tcW w:w="1455" w:type="dxa"/>
            <w:shd w:val="clear" w:color="auto" w:fill="305496"/>
            <w:vAlign w:val="center"/>
          </w:tcPr>
          <w:p w14:paraId="470F210C" w14:textId="3E9361B4" w:rsidR="003878EA" w:rsidRPr="00834C6D" w:rsidRDefault="003878EA" w:rsidP="004D05B4">
            <w:pPr>
              <w:autoSpaceDE w:val="0"/>
              <w:autoSpaceDN w:val="0"/>
              <w:adjustRightInd w:val="0"/>
              <w:jc w:val="center"/>
              <w:rPr>
                <w:rFonts w:ascii="Arial" w:hAnsi="Arial" w:cs="Arial"/>
                <w:b/>
                <w:bCs/>
                <w:color w:val="FFFFFF" w:themeColor="background1"/>
                <w:sz w:val="20"/>
                <w:szCs w:val="20"/>
              </w:rPr>
            </w:pPr>
            <w:r w:rsidRPr="00834C6D">
              <w:rPr>
                <w:rFonts w:ascii="Arial" w:hAnsi="Arial" w:cs="Arial"/>
                <w:b/>
                <w:bCs/>
                <w:color w:val="FFFFFF" w:themeColor="background1"/>
                <w:sz w:val="20"/>
                <w:szCs w:val="20"/>
              </w:rPr>
              <w:t>ICC(2,1)</w:t>
            </w:r>
            <w:r w:rsidR="001F1484">
              <w:rPr>
                <w:rFonts w:ascii="Arial" w:hAnsi="Arial" w:cs="Arial"/>
                <w:b/>
                <w:bCs/>
                <w:color w:val="FFFFFF" w:themeColor="background1"/>
                <w:sz w:val="20"/>
                <w:szCs w:val="20"/>
              </w:rPr>
              <w:t xml:space="preserve"> Coefficient</w:t>
            </w:r>
          </w:p>
        </w:tc>
      </w:tr>
      <w:tr w:rsidR="003878EA" w:rsidRPr="009B6809" w14:paraId="4172D76F" w14:textId="77777777" w:rsidTr="001F1484">
        <w:trPr>
          <w:jc w:val="center"/>
        </w:trPr>
        <w:tc>
          <w:tcPr>
            <w:tcW w:w="1454" w:type="dxa"/>
          </w:tcPr>
          <w:p w14:paraId="2FD8BDC1" w14:textId="77777777" w:rsidR="003878EA" w:rsidRPr="00834C6D" w:rsidRDefault="003878EA" w:rsidP="004D05B4">
            <w:pPr>
              <w:autoSpaceDE w:val="0"/>
              <w:autoSpaceDN w:val="0"/>
              <w:adjustRightInd w:val="0"/>
              <w:rPr>
                <w:rFonts w:ascii="Arial" w:hAnsi="Arial" w:cs="Arial"/>
                <w:bCs/>
                <w:color w:val="000000" w:themeColor="text1"/>
                <w:sz w:val="20"/>
                <w:szCs w:val="20"/>
              </w:rPr>
            </w:pPr>
            <w:r w:rsidRPr="00834C6D">
              <w:rPr>
                <w:rFonts w:ascii="Arial" w:hAnsi="Arial" w:cs="Arial"/>
                <w:bCs/>
                <w:color w:val="000000" w:themeColor="text1"/>
                <w:sz w:val="20"/>
                <w:szCs w:val="20"/>
              </w:rPr>
              <w:t>TIN</w:t>
            </w:r>
          </w:p>
        </w:tc>
        <w:tc>
          <w:tcPr>
            <w:tcW w:w="1455" w:type="dxa"/>
            <w:vAlign w:val="center"/>
          </w:tcPr>
          <w:p w14:paraId="28F464EA" w14:textId="0FF627AE"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721</w:t>
            </w:r>
          </w:p>
        </w:tc>
        <w:tc>
          <w:tcPr>
            <w:tcW w:w="1455" w:type="dxa"/>
            <w:vAlign w:val="center"/>
          </w:tcPr>
          <w:p w14:paraId="42D029A4" w14:textId="595BBECE"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1455" w:type="dxa"/>
          </w:tcPr>
          <w:p w14:paraId="46DA611A" w14:textId="14B5A8F6"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1.01</w:t>
            </w:r>
          </w:p>
        </w:tc>
        <w:tc>
          <w:tcPr>
            <w:tcW w:w="1455" w:type="dxa"/>
            <w:vAlign w:val="center"/>
          </w:tcPr>
          <w:p w14:paraId="42CC0B32" w14:textId="14B9DD11"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0.80</w:t>
            </w:r>
          </w:p>
        </w:tc>
        <w:tc>
          <w:tcPr>
            <w:tcW w:w="1455" w:type="dxa"/>
            <w:vAlign w:val="center"/>
          </w:tcPr>
          <w:p w14:paraId="28D65475" w14:textId="57DBDCF4"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0.80</w:t>
            </w:r>
          </w:p>
        </w:tc>
      </w:tr>
      <w:tr w:rsidR="003878EA" w:rsidRPr="009B6809" w14:paraId="25847DAB" w14:textId="77777777" w:rsidTr="001F1484">
        <w:trPr>
          <w:jc w:val="center"/>
        </w:trPr>
        <w:tc>
          <w:tcPr>
            <w:tcW w:w="1454" w:type="dxa"/>
          </w:tcPr>
          <w:p w14:paraId="6DBF8960" w14:textId="77777777" w:rsidR="003878EA" w:rsidRPr="00834C6D" w:rsidRDefault="003878EA" w:rsidP="004D05B4">
            <w:pPr>
              <w:autoSpaceDE w:val="0"/>
              <w:autoSpaceDN w:val="0"/>
              <w:adjustRightInd w:val="0"/>
              <w:rPr>
                <w:rFonts w:ascii="Arial" w:hAnsi="Arial" w:cs="Arial"/>
                <w:bCs/>
                <w:color w:val="000000" w:themeColor="text1"/>
                <w:sz w:val="20"/>
                <w:szCs w:val="20"/>
              </w:rPr>
            </w:pPr>
            <w:r w:rsidRPr="00834C6D">
              <w:rPr>
                <w:rFonts w:ascii="Arial" w:hAnsi="Arial" w:cs="Arial"/>
                <w:bCs/>
                <w:color w:val="000000" w:themeColor="text1"/>
                <w:sz w:val="20"/>
                <w:szCs w:val="20"/>
              </w:rPr>
              <w:t>TIN-NPI</w:t>
            </w:r>
          </w:p>
        </w:tc>
        <w:tc>
          <w:tcPr>
            <w:tcW w:w="1455" w:type="dxa"/>
            <w:vAlign w:val="center"/>
          </w:tcPr>
          <w:p w14:paraId="68060FB9" w14:textId="5AFADFDE"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1,875</w:t>
            </w:r>
          </w:p>
        </w:tc>
        <w:tc>
          <w:tcPr>
            <w:tcW w:w="1455" w:type="dxa"/>
            <w:vAlign w:val="center"/>
          </w:tcPr>
          <w:p w14:paraId="4B96231E" w14:textId="77FEE0FD"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455" w:type="dxa"/>
          </w:tcPr>
          <w:p w14:paraId="59CE19DA" w14:textId="3BF77B06"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1.00</w:t>
            </w:r>
          </w:p>
        </w:tc>
        <w:tc>
          <w:tcPr>
            <w:tcW w:w="1455" w:type="dxa"/>
            <w:vAlign w:val="center"/>
          </w:tcPr>
          <w:p w14:paraId="52C2A5DF" w14:textId="4DFADEBC"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0.64</w:t>
            </w:r>
          </w:p>
        </w:tc>
        <w:tc>
          <w:tcPr>
            <w:tcW w:w="1455" w:type="dxa"/>
            <w:vAlign w:val="center"/>
          </w:tcPr>
          <w:p w14:paraId="10624883" w14:textId="5C462CBC" w:rsidR="003878EA" w:rsidRPr="00834C6D" w:rsidRDefault="00420045" w:rsidP="00420045">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0.64</w:t>
            </w:r>
          </w:p>
        </w:tc>
      </w:tr>
    </w:tbl>
    <w:p w14:paraId="5D6CE431" w14:textId="732BC1AB" w:rsidR="006873C5" w:rsidRPr="00385F1B" w:rsidRDefault="006873C5" w:rsidP="006873C5">
      <w:pPr>
        <w:autoSpaceDE w:val="0"/>
        <w:autoSpaceDN w:val="0"/>
        <w:adjustRightInd w:val="0"/>
        <w:spacing w:after="0" w:line="240" w:lineRule="auto"/>
        <w:rPr>
          <w:rFonts w:cstheme="minorHAnsi"/>
          <w:bCs/>
          <w:color w:val="0070C0"/>
        </w:rPr>
      </w:pPr>
    </w:p>
    <w:p w14:paraId="648B078E" w14:textId="0082A715" w:rsidR="009F6841" w:rsidRPr="009F6841" w:rsidRDefault="00092566" w:rsidP="009F6841">
      <w:pPr>
        <w:autoSpaceDE w:val="0"/>
        <w:autoSpaceDN w:val="0"/>
        <w:adjustRightInd w:val="0"/>
        <w:spacing w:after="0" w:line="240" w:lineRule="auto"/>
        <w:rPr>
          <w:rFonts w:cstheme="minorHAnsi"/>
          <w:bCs/>
          <w:color w:val="0070C0"/>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9F6841" w:rsidRPr="00AA0201">
        <w:rPr>
          <w:rFonts w:cstheme="minorHAnsi"/>
          <w:bCs/>
          <w:color w:val="0070C0"/>
        </w:rPr>
        <w:t xml:space="preserve">Overall, testing results indicated high measure score reliability with an average of </w:t>
      </w:r>
      <w:r w:rsidR="00385F1B" w:rsidRPr="00AA0201">
        <w:rPr>
          <w:rFonts w:cstheme="minorHAnsi"/>
          <w:bCs/>
          <w:color w:val="0070C0"/>
        </w:rPr>
        <w:t>0.84</w:t>
      </w:r>
      <w:r w:rsidR="009F6841" w:rsidRPr="00AA0201">
        <w:rPr>
          <w:rFonts w:cstheme="minorHAnsi"/>
          <w:bCs/>
          <w:color w:val="0070C0"/>
        </w:rPr>
        <w:t xml:space="preserve"> for TINs and </w:t>
      </w:r>
      <w:r w:rsidR="00385F1B" w:rsidRPr="00AA0201">
        <w:rPr>
          <w:rFonts w:cstheme="minorHAnsi"/>
          <w:bCs/>
          <w:color w:val="0070C0"/>
        </w:rPr>
        <w:t>0.75</w:t>
      </w:r>
      <w:r w:rsidR="009F6841" w:rsidRPr="00AA0201">
        <w:rPr>
          <w:rFonts w:cstheme="minorHAnsi"/>
          <w:bCs/>
          <w:color w:val="0070C0"/>
        </w:rPr>
        <w:t xml:space="preserve"> for TIN-NPIs at a volume threshold of 10 episod</w:t>
      </w:r>
      <w:r w:rsidR="00DD28D3" w:rsidRPr="00AA0201">
        <w:rPr>
          <w:rFonts w:cstheme="minorHAnsi"/>
          <w:bCs/>
          <w:color w:val="0070C0"/>
        </w:rPr>
        <w:t>es.</w:t>
      </w:r>
      <w:r w:rsidR="00DD28D3" w:rsidRPr="00AA0201">
        <w:rPr>
          <w:rStyle w:val="FootnoteReference"/>
          <w:rFonts w:ascii="Times New Roman" w:hAnsi="Times New Roman"/>
          <w:color w:val="0070C0"/>
        </w:rPr>
        <w:t xml:space="preserve"> </w:t>
      </w:r>
      <w:r w:rsidR="00DD28D3" w:rsidRPr="00AA0201">
        <w:rPr>
          <w:rStyle w:val="FootnoteReference"/>
          <w:rFonts w:ascii="Times New Roman" w:hAnsi="Times New Roman"/>
          <w:color w:val="0070C0"/>
        </w:rPr>
        <w:footnoteReference w:id="4"/>
      </w:r>
      <w:r w:rsidR="009F6841" w:rsidRPr="00AA0201">
        <w:rPr>
          <w:rFonts w:cstheme="minorHAnsi"/>
          <w:bCs/>
          <w:color w:val="0070C0"/>
        </w:rPr>
        <w:t xml:space="preserve"> Reliability for groups of different practice sizes was </w:t>
      </w:r>
      <w:r w:rsidR="0000159A">
        <w:rPr>
          <w:rFonts w:cstheme="minorHAnsi"/>
          <w:bCs/>
          <w:color w:val="0070C0"/>
        </w:rPr>
        <w:t>also high</w:t>
      </w:r>
      <w:r w:rsidR="009F6841" w:rsidRPr="00AA0201">
        <w:rPr>
          <w:rFonts w:cstheme="minorHAnsi"/>
          <w:bCs/>
          <w:color w:val="0070C0"/>
        </w:rPr>
        <w:t>, with mean reliability for the smallest TINs at 0.7</w:t>
      </w:r>
      <w:r w:rsidR="00AA0201" w:rsidRPr="00AA0201">
        <w:rPr>
          <w:rFonts w:cstheme="minorHAnsi"/>
          <w:bCs/>
          <w:color w:val="0070C0"/>
        </w:rPr>
        <w:t>6</w:t>
      </w:r>
      <w:r w:rsidR="009F6841" w:rsidRPr="00AA0201">
        <w:rPr>
          <w:rFonts w:cstheme="minorHAnsi"/>
          <w:bCs/>
          <w:color w:val="0070C0"/>
        </w:rPr>
        <w:t>.</w:t>
      </w:r>
      <w:r w:rsidR="009F6841" w:rsidRPr="009F6841">
        <w:rPr>
          <w:rFonts w:cstheme="minorHAnsi"/>
          <w:bCs/>
          <w:color w:val="0070C0"/>
        </w:rPr>
        <w:t xml:space="preserve"> </w:t>
      </w:r>
    </w:p>
    <w:p w14:paraId="44ADB1D2" w14:textId="0C0BFB37" w:rsidR="009F6841" w:rsidRPr="009F6841" w:rsidRDefault="009F6841" w:rsidP="009F6841">
      <w:pPr>
        <w:autoSpaceDE w:val="0"/>
        <w:autoSpaceDN w:val="0"/>
        <w:adjustRightInd w:val="0"/>
        <w:spacing w:after="0" w:line="240" w:lineRule="auto"/>
        <w:rPr>
          <w:rFonts w:cstheme="minorHAnsi"/>
          <w:bCs/>
          <w:color w:val="0070C0"/>
        </w:rPr>
      </w:pPr>
    </w:p>
    <w:p w14:paraId="568B99F5" w14:textId="0AC3CD79" w:rsidR="009F6841" w:rsidRPr="009F6841" w:rsidRDefault="009F6841" w:rsidP="00385F1B">
      <w:pPr>
        <w:autoSpaceDE w:val="0"/>
        <w:autoSpaceDN w:val="0"/>
        <w:adjustRightInd w:val="0"/>
        <w:spacing w:after="0" w:line="240" w:lineRule="auto"/>
        <w:rPr>
          <w:rFonts w:cstheme="minorHAnsi"/>
          <w:bCs/>
          <w:color w:val="0070C0"/>
        </w:rPr>
      </w:pPr>
      <w:r w:rsidRPr="009F6841">
        <w:rPr>
          <w:rFonts w:cstheme="minorHAnsi"/>
          <w:bCs/>
          <w:color w:val="0070C0"/>
        </w:rPr>
        <w:t xml:space="preserve">The split-sample reliability analysis provides further evidence of reliability and repeatability of the performance measure. </w:t>
      </w:r>
      <w:r w:rsidR="00DD28D3">
        <w:rPr>
          <w:rFonts w:cstheme="minorHAnsi"/>
          <w:bCs/>
          <w:color w:val="0070C0"/>
        </w:rPr>
        <w:t xml:space="preserve">The ICC(2,1) coefficient </w:t>
      </w:r>
      <w:r w:rsidRPr="009F6841">
        <w:rPr>
          <w:rFonts w:cstheme="minorHAnsi"/>
          <w:bCs/>
          <w:color w:val="0070C0"/>
        </w:rPr>
        <w:t xml:space="preserve">was </w:t>
      </w:r>
      <w:r w:rsidR="00F06F00">
        <w:rPr>
          <w:rFonts w:cstheme="minorHAnsi"/>
          <w:bCs/>
          <w:color w:val="0070C0"/>
        </w:rPr>
        <w:t>0.80</w:t>
      </w:r>
      <w:r w:rsidRPr="009F6841">
        <w:rPr>
          <w:rFonts w:cstheme="minorHAnsi"/>
          <w:bCs/>
          <w:color w:val="0070C0"/>
        </w:rPr>
        <w:t xml:space="preserve"> for TINs </w:t>
      </w:r>
      <w:r w:rsidRPr="00F06F00">
        <w:rPr>
          <w:rFonts w:cstheme="minorHAnsi"/>
          <w:bCs/>
          <w:color w:val="0070C0"/>
        </w:rPr>
        <w:t xml:space="preserve">and </w:t>
      </w:r>
      <w:r w:rsidR="00F06F00" w:rsidRPr="00F06F00">
        <w:rPr>
          <w:rFonts w:cstheme="minorHAnsi"/>
          <w:bCs/>
          <w:color w:val="0070C0"/>
        </w:rPr>
        <w:t>0.64</w:t>
      </w:r>
      <w:r w:rsidRPr="00F06F00">
        <w:rPr>
          <w:rFonts w:cstheme="minorHAnsi"/>
          <w:bCs/>
          <w:color w:val="0070C0"/>
        </w:rPr>
        <w:t xml:space="preserve"> for TIN-NPIs, </w:t>
      </w:r>
      <w:r w:rsidR="00DD28D3" w:rsidRPr="00F06F00">
        <w:rPr>
          <w:rFonts w:cstheme="minorHAnsi"/>
          <w:bCs/>
          <w:color w:val="0070C0"/>
        </w:rPr>
        <w:t>indicating</w:t>
      </w:r>
      <w:r w:rsidRPr="00F06F00">
        <w:rPr>
          <w:rFonts w:cstheme="minorHAnsi"/>
          <w:bCs/>
          <w:color w:val="0070C0"/>
        </w:rPr>
        <w:t xml:space="preserve"> </w:t>
      </w:r>
      <w:r w:rsidR="00F06F00" w:rsidRPr="00F06F00">
        <w:rPr>
          <w:rFonts w:cstheme="minorHAnsi"/>
          <w:bCs/>
          <w:color w:val="0070C0"/>
        </w:rPr>
        <w:t>high</w:t>
      </w:r>
      <w:r w:rsidRPr="00F06F00">
        <w:rPr>
          <w:rFonts w:cstheme="minorHAnsi"/>
          <w:bCs/>
          <w:color w:val="0070C0"/>
        </w:rPr>
        <w:t xml:space="preserve"> overall reliability for TINs</w:t>
      </w:r>
      <w:r w:rsidR="00F06F00" w:rsidRPr="00F06F00">
        <w:rPr>
          <w:rFonts w:cstheme="minorHAnsi"/>
          <w:bCs/>
          <w:color w:val="0070C0"/>
        </w:rPr>
        <w:t>,</w:t>
      </w:r>
      <w:r w:rsidRPr="00F06F00">
        <w:rPr>
          <w:rFonts w:cstheme="minorHAnsi"/>
          <w:bCs/>
          <w:color w:val="0070C0"/>
        </w:rPr>
        <w:t xml:space="preserve"> and </w:t>
      </w:r>
      <w:r w:rsidR="00F06F00" w:rsidRPr="00F06F00">
        <w:rPr>
          <w:rFonts w:cstheme="minorHAnsi"/>
          <w:bCs/>
          <w:color w:val="0070C0"/>
        </w:rPr>
        <w:t xml:space="preserve">substantial to </w:t>
      </w:r>
      <w:r w:rsidRPr="00F06F00">
        <w:rPr>
          <w:rFonts w:cstheme="minorHAnsi"/>
          <w:bCs/>
          <w:color w:val="0070C0"/>
        </w:rPr>
        <w:t xml:space="preserve">moderate </w:t>
      </w:r>
      <w:r w:rsidR="00F06F00" w:rsidRPr="00F06F00">
        <w:rPr>
          <w:rFonts w:cstheme="minorHAnsi"/>
          <w:bCs/>
          <w:color w:val="0070C0"/>
        </w:rPr>
        <w:t xml:space="preserve">reliability </w:t>
      </w:r>
      <w:r w:rsidRPr="00F06F00">
        <w:rPr>
          <w:rFonts w:cstheme="minorHAnsi"/>
          <w:bCs/>
          <w:color w:val="0070C0"/>
        </w:rPr>
        <w:t>for TIN-NPIs.</w:t>
      </w:r>
    </w:p>
    <w:p w14:paraId="449E2F95" w14:textId="77777777" w:rsidR="009F6841" w:rsidRPr="009F6841" w:rsidRDefault="009F6841" w:rsidP="009F6841">
      <w:pPr>
        <w:autoSpaceDE w:val="0"/>
        <w:autoSpaceDN w:val="0"/>
        <w:adjustRightInd w:val="0"/>
        <w:spacing w:after="0" w:line="240" w:lineRule="auto"/>
        <w:rPr>
          <w:rFonts w:cstheme="minorHAnsi"/>
          <w:bCs/>
          <w:color w:val="0070C0"/>
        </w:rPr>
      </w:pPr>
    </w:p>
    <w:p w14:paraId="7466AF11" w14:textId="77D972BE" w:rsidR="00D83E9F" w:rsidRDefault="009F6841" w:rsidP="009F6841">
      <w:pPr>
        <w:autoSpaceDE w:val="0"/>
        <w:autoSpaceDN w:val="0"/>
        <w:adjustRightInd w:val="0"/>
        <w:spacing w:after="0" w:line="240" w:lineRule="auto"/>
        <w:rPr>
          <w:rFonts w:cstheme="minorHAnsi"/>
          <w:bCs/>
          <w:color w:val="0070C0"/>
        </w:rPr>
      </w:pPr>
      <w:r w:rsidRPr="009F6841">
        <w:rPr>
          <w:rFonts w:cstheme="minorHAnsi"/>
          <w:bCs/>
          <w:color w:val="0070C0"/>
        </w:rPr>
        <w:t xml:space="preserve">The two reliability metrics capture related, but distinct, concepts. Our ICC(2,1) metric will tend to differ from our signal-to-noise metric for two reasons: (i) The denominator of ICC(2,1) includes additional statistical variation arising from true differences in a provider’s performance across performance </w:t>
      </w:r>
      <w:r w:rsidRPr="009F6841">
        <w:rPr>
          <w:rFonts w:cstheme="minorHAnsi"/>
          <w:bCs/>
          <w:color w:val="0070C0"/>
        </w:rPr>
        <w:lastRenderedPageBreak/>
        <w:t xml:space="preserve">periods; and (ii) The denominator of ICC(2,1) imposes a common variance for the residual across providers, ignoring differences in precision arising from differences in case sizes. Reason (i) makes ICC(2,1) a less relevant metric in this context, since program goals actually require accurately distinguishing systematic performance changes from one period to another, rather than treating them as statistical noise. To avoid this issue, one could alternatively calculate ICC(2,1) using split-half samples from a single performance period. However, this approach also underestimates reliability of the measure for use in the program; in this case, under-estimation occurs because case sizes are artificially cut in half from true case sizes, mechanically reducing precision from the intended application of the measures. We still present both reliability metrics for completeness, but for reasons (i) and (ii), view the signal-to-noise metric as the preferred and more relevant </w:t>
      </w:r>
      <w:r w:rsidR="00DD28D3">
        <w:rPr>
          <w:rFonts w:cstheme="minorHAnsi"/>
          <w:bCs/>
          <w:color w:val="0070C0"/>
        </w:rPr>
        <w:t>metric</w:t>
      </w:r>
      <w:r w:rsidRPr="009F6841">
        <w:rPr>
          <w:rFonts w:cstheme="minorHAnsi"/>
          <w:bCs/>
          <w:color w:val="0070C0"/>
        </w:rPr>
        <w:t>.</w:t>
      </w:r>
    </w:p>
    <w:p w14:paraId="0417CF06" w14:textId="77777777" w:rsidR="007C44A8" w:rsidRPr="00A25024" w:rsidRDefault="007C44A8" w:rsidP="007C44A8">
      <w:pPr>
        <w:autoSpaceDE w:val="0"/>
        <w:autoSpaceDN w:val="0"/>
        <w:adjustRightInd w:val="0"/>
        <w:spacing w:after="0" w:line="240" w:lineRule="auto"/>
        <w:rPr>
          <w:rFonts w:cstheme="minorHAnsi"/>
          <w:noProof/>
        </w:rPr>
      </w:pPr>
      <w:r>
        <w:rPr>
          <w:rFonts w:cstheme="minorHAnsi"/>
          <w:noProof/>
        </w:rPr>
        <w:t>_________________________________</w:t>
      </w:r>
    </w:p>
    <w:p w14:paraId="4878595D" w14:textId="77777777" w:rsidR="007C44A8" w:rsidRPr="00A25024" w:rsidRDefault="007C44A8" w:rsidP="007C44A8">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Pr="00A25024">
        <w:rPr>
          <w:rFonts w:cstheme="minorHAnsi"/>
          <w:b/>
          <w:noProof/>
        </w:rPr>
        <w:t xml:space="preserve">. </w:t>
      </w:r>
      <w:r w:rsidRPr="00A25024">
        <w:rPr>
          <w:rFonts w:cstheme="minorHAnsi"/>
          <w:b/>
          <w:bCs/>
        </w:rPr>
        <w:t xml:space="preserve">VALIDITY TESTING </w:t>
      </w:r>
    </w:p>
    <w:p w14:paraId="4C09219F" w14:textId="77777777" w:rsidR="007C44A8" w:rsidRPr="000414E8" w:rsidRDefault="007C44A8" w:rsidP="007C44A8">
      <w:pPr>
        <w:autoSpaceDE w:val="0"/>
        <w:autoSpaceDN w:val="0"/>
        <w:adjustRightInd w:val="0"/>
        <w:spacing w:after="0" w:line="240" w:lineRule="auto"/>
        <w:rPr>
          <w:rFonts w:cstheme="minorHAnsi"/>
          <w:bCs/>
        </w:rPr>
      </w:pPr>
      <w:r>
        <w:rPr>
          <w:rFonts w:cstheme="minorHAnsi"/>
          <w:b/>
          <w:bCs/>
        </w:rPr>
        <w:t>2b1.</w:t>
      </w:r>
      <w:r w:rsidRPr="00A25024">
        <w:rPr>
          <w:rFonts w:cstheme="minorHAnsi"/>
          <w:b/>
          <w:bCs/>
        </w:rPr>
        <w:t>1. What level of validity testing was conducted</w:t>
      </w:r>
      <w:r w:rsidRPr="00A25024">
        <w:rPr>
          <w:rFonts w:cstheme="minorHAnsi"/>
          <w:bCs/>
        </w:rPr>
        <w:t>? (</w:t>
      </w:r>
      <w:r w:rsidRPr="00A25024">
        <w:rPr>
          <w:rFonts w:cstheme="minorHAnsi"/>
          <w:bCs/>
          <w:i/>
        </w:rPr>
        <w:t>may be one or both levels</w:t>
      </w:r>
      <w:r w:rsidRPr="00A25024">
        <w:rPr>
          <w:rFonts w:cstheme="minorHAnsi"/>
          <w:bCs/>
        </w:rPr>
        <w:t>)</w:t>
      </w:r>
      <w:r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w:t>
      </w:r>
      <w:r>
        <w:rPr>
          <w:rFonts w:cstheme="minorHAnsi"/>
          <w:b/>
          <w:bCs/>
        </w:rPr>
        <w:t xml:space="preserve"> </w:t>
      </w:r>
      <w:r>
        <w:rPr>
          <w:rFonts w:cstheme="minorHAnsi"/>
          <w:bCs/>
        </w:rPr>
        <w:t>(</w:t>
      </w:r>
      <w:r w:rsidRPr="000414E8">
        <w:rPr>
          <w:rFonts w:cstheme="minorHAnsi"/>
          <w:bCs/>
          <w:i/>
        </w:rPr>
        <w:t>data element validity must address ALL critical data elements</w:t>
      </w:r>
      <w:r>
        <w:rPr>
          <w:rFonts w:cstheme="minorHAnsi"/>
          <w:bCs/>
        </w:rPr>
        <w:t>)</w:t>
      </w:r>
    </w:p>
    <w:p w14:paraId="155BACA0" w14:textId="77777777" w:rsidR="007C44A8" w:rsidRPr="00A25024" w:rsidRDefault="002A3AA5" w:rsidP="007C44A8">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Pr>
          <w:rFonts w:eastAsia="MS Mincho" w:cstheme="minorHAnsi"/>
          <w:b/>
          <w:bCs/>
          <w:color w:val="0000FF"/>
        </w:rPr>
        <w:t xml:space="preserve"> </w:t>
      </w:r>
      <w:r w:rsidR="007C44A8">
        <w:rPr>
          <w:rFonts w:eastAsia="MS Gothic" w:cstheme="minorHAnsi"/>
          <w:b/>
          <w:bCs/>
        </w:rPr>
        <w:t>P</w:t>
      </w:r>
      <w:r w:rsidR="007C44A8" w:rsidRPr="00A25024">
        <w:rPr>
          <w:rFonts w:eastAsia="MS Gothic" w:cstheme="minorHAnsi"/>
          <w:b/>
          <w:bCs/>
        </w:rPr>
        <w:t xml:space="preserve">erformance </w:t>
      </w:r>
      <w:r w:rsidR="007C44A8" w:rsidRPr="00A25024">
        <w:rPr>
          <w:rFonts w:cstheme="minorHAnsi"/>
          <w:b/>
          <w:bCs/>
        </w:rPr>
        <w:t>measure score</w:t>
      </w:r>
    </w:p>
    <w:p w14:paraId="78FA441F" w14:textId="77777777" w:rsidR="007C44A8" w:rsidRPr="00A25024" w:rsidRDefault="002A3AA5" w:rsidP="007C44A8">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Pr>
          <w:rFonts w:eastAsia="MS Mincho" w:cstheme="minorHAnsi"/>
          <w:b/>
          <w:bCs/>
          <w:color w:val="0000FF"/>
        </w:rPr>
        <w:t xml:space="preserve"> </w:t>
      </w:r>
      <w:r w:rsidR="007C44A8">
        <w:rPr>
          <w:rFonts w:eastAsia="MS Mincho" w:cstheme="minorHAnsi"/>
          <w:b/>
          <w:bCs/>
        </w:rPr>
        <w:t>E</w:t>
      </w:r>
      <w:r w:rsidR="007C44A8" w:rsidRPr="00A25024">
        <w:rPr>
          <w:rFonts w:eastAsia="MS Mincho" w:cstheme="minorHAnsi"/>
          <w:b/>
          <w:bCs/>
        </w:rPr>
        <w:t>mpirical validity testing</w:t>
      </w:r>
      <w:r w:rsidR="007C44A8"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Content>
          <w:r w:rsidR="007C44A8">
            <w:rPr>
              <w:rFonts w:ascii="MS Gothic" w:eastAsia="MS Gothic" w:hAnsi="MS Gothic" w:cstheme="minorHAnsi" w:hint="eastAsia"/>
              <w:bCs/>
              <w:color w:val="0000FF"/>
            </w:rPr>
            <w:t>☒</w:t>
          </w:r>
        </w:sdtContent>
      </w:sdt>
      <w:r w:rsidR="007C44A8" w:rsidRPr="00A25024">
        <w:rPr>
          <w:rFonts w:eastAsia="MS Mincho" w:cstheme="minorHAnsi"/>
          <w:b/>
          <w:bCs/>
          <w:color w:val="0000FF"/>
        </w:rPr>
        <w:t xml:space="preserve"> </w:t>
      </w:r>
      <w:r w:rsidR="007C44A8">
        <w:rPr>
          <w:rFonts w:cstheme="minorHAnsi"/>
          <w:b/>
          <w:bCs/>
        </w:rPr>
        <w:t>S</w:t>
      </w:r>
      <w:r w:rsidR="007C44A8" w:rsidRPr="00A25024">
        <w:rPr>
          <w:rFonts w:cstheme="minorHAnsi"/>
          <w:b/>
          <w:bCs/>
        </w:rPr>
        <w:t xml:space="preserve">ystematic assessment of face </w:t>
      </w:r>
      <w:r w:rsidR="007C44A8" w:rsidRPr="00A25024">
        <w:rPr>
          <w:rFonts w:eastAsia="MS Gothic" w:cstheme="minorHAnsi"/>
          <w:b/>
          <w:bCs/>
        </w:rPr>
        <w:t xml:space="preserve">validity of </w:t>
      </w:r>
      <w:r w:rsidR="007C44A8" w:rsidRPr="00A25024">
        <w:rPr>
          <w:rFonts w:eastAsia="MS Gothic" w:cstheme="minorHAnsi"/>
          <w:b/>
          <w:bCs/>
          <w:u w:val="single"/>
        </w:rPr>
        <w:t>performance measure score</w:t>
      </w:r>
      <w:r w:rsidR="007C44A8" w:rsidRPr="00A25024">
        <w:rPr>
          <w:rFonts w:eastAsia="MS Gothic" w:cstheme="minorHAnsi"/>
          <w:b/>
          <w:bCs/>
        </w:rPr>
        <w:t xml:space="preserve"> as a</w:t>
      </w:r>
      <w:r w:rsidR="007C44A8">
        <w:rPr>
          <w:rFonts w:eastAsia="MS Gothic" w:cstheme="minorHAnsi"/>
          <w:b/>
          <w:bCs/>
        </w:rPr>
        <w:t>n</w:t>
      </w:r>
      <w:r w:rsidR="007C44A8" w:rsidRPr="00A25024">
        <w:rPr>
          <w:rFonts w:eastAsia="MS Gothic" w:cstheme="minorHAnsi"/>
          <w:b/>
          <w:bCs/>
        </w:rPr>
        <w:t xml:space="preserve"> indicator</w:t>
      </w:r>
      <w:r w:rsidR="007C44A8" w:rsidRPr="00A25024">
        <w:rPr>
          <w:rFonts w:eastAsia="MS Gothic" w:cstheme="minorHAnsi"/>
          <w:bCs/>
        </w:rPr>
        <w:t xml:space="preserve"> </w:t>
      </w:r>
      <w:r w:rsidR="007C44A8">
        <w:rPr>
          <w:rFonts w:eastAsia="MS Gothic" w:cstheme="minorHAnsi"/>
          <w:bCs/>
        </w:rPr>
        <w:t xml:space="preserve">of quality or resource use </w:t>
      </w:r>
      <w:r w:rsidR="007C44A8" w:rsidRPr="00A25024">
        <w:rPr>
          <w:rFonts w:eastAsia="MS Gothic" w:cstheme="minorHAnsi"/>
          <w:bCs/>
        </w:rPr>
        <w:t>(</w:t>
      </w:r>
      <w:r w:rsidR="007C44A8" w:rsidRPr="00A25024">
        <w:rPr>
          <w:rFonts w:eastAsia="MS Gothic" w:cstheme="minorHAnsi"/>
          <w:bCs/>
          <w:i/>
        </w:rPr>
        <w:t>i.e., is an accurate reflection of</w:t>
      </w:r>
      <w:r w:rsidR="007C44A8">
        <w:rPr>
          <w:rFonts w:eastAsia="MS Gothic" w:cstheme="minorHAnsi"/>
          <w:bCs/>
          <w:i/>
        </w:rPr>
        <w:t xml:space="preserve"> performance</w:t>
      </w:r>
      <w:r w:rsidR="007C44A8" w:rsidRPr="00A25024">
        <w:rPr>
          <w:rFonts w:eastAsia="MS Gothic" w:cstheme="minorHAnsi"/>
          <w:bCs/>
          <w:i/>
        </w:rPr>
        <w:t xml:space="preserve"> </w:t>
      </w:r>
      <w:r w:rsidR="007C44A8">
        <w:rPr>
          <w:rFonts w:eastAsia="MS Gothic" w:cstheme="minorHAnsi"/>
          <w:bCs/>
          <w:i/>
        </w:rPr>
        <w:t xml:space="preserve">on quality or resource use </w:t>
      </w:r>
      <w:r w:rsidR="007C44A8" w:rsidRPr="00A25024">
        <w:rPr>
          <w:rFonts w:eastAsia="MS Gothic" w:cstheme="minorHAnsi"/>
          <w:bCs/>
          <w:i/>
        </w:rPr>
        <w:t xml:space="preserve">and can distinguish </w:t>
      </w:r>
      <w:r w:rsidR="007C44A8">
        <w:rPr>
          <w:rFonts w:eastAsia="MS Gothic" w:cstheme="minorHAnsi"/>
          <w:bCs/>
          <w:i/>
        </w:rPr>
        <w:t>good from poor performance</w:t>
      </w:r>
      <w:r w:rsidR="007C44A8" w:rsidRPr="00A25024">
        <w:rPr>
          <w:rFonts w:eastAsia="MS Gothic" w:cstheme="minorHAnsi"/>
          <w:bCs/>
        </w:rPr>
        <w:t>)</w:t>
      </w:r>
      <w:r w:rsidR="007C44A8">
        <w:rPr>
          <w:rFonts w:eastAsia="MS Gothic" w:cstheme="minorHAnsi"/>
          <w:bCs/>
        </w:rPr>
        <w:t xml:space="preserve">  </w:t>
      </w:r>
      <w:r w:rsidR="007C44A8" w:rsidRPr="000F1B7A">
        <w:rPr>
          <w:rFonts w:eastAsia="MS Gothic" w:cstheme="minorHAnsi"/>
          <w:b/>
          <w:bCs/>
        </w:rPr>
        <w:t>NOTE</w:t>
      </w:r>
      <w:r w:rsidR="007C44A8">
        <w:rPr>
          <w:rFonts w:eastAsia="MS Gothic" w:cstheme="minorHAnsi"/>
          <w:bCs/>
        </w:rPr>
        <w:t>:  Empirical validity testing is expected at time of maintenance review; if not possible, justification is required.</w:t>
      </w:r>
    </w:p>
    <w:p w14:paraId="34145CD6" w14:textId="77777777" w:rsidR="007C44A8" w:rsidRPr="00A25024" w:rsidRDefault="007C44A8" w:rsidP="007C44A8">
      <w:pPr>
        <w:autoSpaceDE w:val="0"/>
        <w:autoSpaceDN w:val="0"/>
        <w:adjustRightInd w:val="0"/>
        <w:spacing w:after="0" w:line="240" w:lineRule="auto"/>
        <w:rPr>
          <w:rFonts w:cstheme="minorHAnsi"/>
        </w:rPr>
      </w:pPr>
    </w:p>
    <w:p w14:paraId="35054363" w14:textId="0D48B12F" w:rsidR="007C44A8" w:rsidRPr="008564E0" w:rsidRDefault="007C44A8" w:rsidP="007C44A8">
      <w:pPr>
        <w:autoSpaceDE w:val="0"/>
        <w:autoSpaceDN w:val="0"/>
        <w:adjustRightInd w:val="0"/>
        <w:spacing w:after="0" w:line="240" w:lineRule="auto"/>
        <w:rPr>
          <w:rFonts w:cstheme="minorHAnsi"/>
          <w:b/>
          <w:bCs/>
          <w:color w:val="0070C0"/>
        </w:rPr>
      </w:pPr>
      <w:r>
        <w:rPr>
          <w:rFonts w:cstheme="minorHAnsi"/>
          <w:b/>
          <w:bCs/>
        </w:rPr>
        <w:t>2b1.</w:t>
      </w:r>
      <w:r w:rsidRPr="00A25024">
        <w:rPr>
          <w:rFonts w:cstheme="minorHAnsi"/>
          <w:b/>
          <w:bCs/>
        </w:rPr>
        <w:t xml:space="preserve">2. For each level </w:t>
      </w:r>
      <w:r>
        <w:rPr>
          <w:rFonts w:cstheme="minorHAnsi"/>
          <w:b/>
          <w:bCs/>
        </w:rPr>
        <w:t xml:space="preserve">of testing </w:t>
      </w:r>
      <w:r w:rsidRPr="00A25024">
        <w:rPr>
          <w:rFonts w:cstheme="minorHAnsi"/>
          <w:b/>
          <w:bCs/>
        </w:rPr>
        <w:t>checked above, describe the method of validity testing and what it tests</w:t>
      </w:r>
      <w:r w:rsidRPr="00A25024">
        <w:rPr>
          <w:rFonts w:cstheme="minorHAnsi"/>
          <w:bCs/>
        </w:rPr>
        <w:t xml:space="preserve"> (</w:t>
      </w:r>
      <w:r w:rsidRPr="00A25024">
        <w:rPr>
          <w:rFonts w:cstheme="minorHAnsi"/>
          <w:bCs/>
          <w:i/>
        </w:rPr>
        <w:t>describe the steps―do not just name a method; what was tested, e.g., accuracy of data elements compared to authoritative source, relationship to a</w:t>
      </w:r>
      <w:r>
        <w:rPr>
          <w:rFonts w:cstheme="minorHAnsi"/>
          <w:bCs/>
          <w:i/>
        </w:rPr>
        <w:t>nother measure as expected; what statistical analysis was used</w:t>
      </w:r>
      <w:r w:rsidRPr="00A25024">
        <w:rPr>
          <w:rFonts w:cstheme="minorHAnsi"/>
          <w:bCs/>
          <w:i/>
        </w:rPr>
        <w:t>)</w:t>
      </w:r>
      <w:r w:rsidRPr="00A25024">
        <w:rPr>
          <w:rFonts w:cstheme="minorHAnsi"/>
          <w:bCs/>
        </w:rPr>
        <w:br/>
      </w:r>
      <w:r w:rsidRPr="008564E0">
        <w:rPr>
          <w:rFonts w:cstheme="minorHAnsi"/>
          <w:b/>
          <w:bCs/>
          <w:color w:val="0070C0"/>
        </w:rPr>
        <w:t xml:space="preserve">Face validity </w:t>
      </w:r>
    </w:p>
    <w:p w14:paraId="25F70C0D" w14:textId="77777777" w:rsidR="007C44A8" w:rsidRDefault="007C44A8" w:rsidP="007C44A8">
      <w:pPr>
        <w:autoSpaceDE w:val="0"/>
        <w:autoSpaceDN w:val="0"/>
        <w:adjustRightInd w:val="0"/>
        <w:spacing w:after="0" w:line="240" w:lineRule="auto"/>
        <w:rPr>
          <w:rFonts w:cstheme="minorHAnsi"/>
          <w:bCs/>
          <w:color w:val="0070C0"/>
        </w:rPr>
      </w:pPr>
      <w:r w:rsidRPr="00287D8C">
        <w:rPr>
          <w:rFonts w:cstheme="minorHAnsi"/>
          <w:bCs/>
          <w:color w:val="0070C0"/>
        </w:rPr>
        <w:t xml:space="preserve">The </w:t>
      </w:r>
      <w:r>
        <w:rPr>
          <w:rFonts w:cstheme="minorHAnsi"/>
          <w:bCs/>
          <w:color w:val="0070C0"/>
        </w:rPr>
        <w:t xml:space="preserve">Non-Emergent CABG Measure underwent a structured process for gathering detailed input from clinician experts and other stakeholders during measure development. During this process, Acumen incorporated input from a </w:t>
      </w:r>
      <w:r w:rsidRPr="00CB68C9">
        <w:rPr>
          <w:rFonts w:cstheme="minorHAnsi"/>
          <w:bCs/>
          <w:color w:val="0070C0"/>
        </w:rPr>
        <w:t>(i) the Cardiovascular Disease Management Clinical Subcommittee, (ii) the Non-Emergent CABG workgroup, (iii) a Technical Expert Panel (TEP), (iv) a Person and Family Committee (PFC), and (v) stakeholder feedback from national field testing.</w:t>
      </w:r>
    </w:p>
    <w:p w14:paraId="11961575" w14:textId="77777777" w:rsidR="007C44A8" w:rsidRDefault="007C44A8" w:rsidP="007C44A8">
      <w:pPr>
        <w:autoSpaceDE w:val="0"/>
        <w:autoSpaceDN w:val="0"/>
        <w:adjustRightInd w:val="0"/>
        <w:spacing w:after="0" w:line="240" w:lineRule="auto"/>
        <w:rPr>
          <w:rFonts w:cstheme="minorHAnsi"/>
          <w:bCs/>
          <w:color w:val="0070C0"/>
        </w:rPr>
      </w:pPr>
    </w:p>
    <w:p w14:paraId="45C1EEF6" w14:textId="77777777" w:rsidR="007C44A8" w:rsidRDefault="007C44A8" w:rsidP="007C44A8">
      <w:pPr>
        <w:autoSpaceDE w:val="0"/>
        <w:autoSpaceDN w:val="0"/>
        <w:adjustRightInd w:val="0"/>
        <w:spacing w:after="0" w:line="240" w:lineRule="auto"/>
        <w:rPr>
          <w:rFonts w:cstheme="minorHAnsi"/>
          <w:bCs/>
          <w:color w:val="0070C0"/>
        </w:rPr>
      </w:pPr>
      <w:r w:rsidRPr="00CB68C9">
        <w:rPr>
          <w:rFonts w:cstheme="minorHAnsi"/>
          <w:bCs/>
          <w:color w:val="0070C0"/>
        </w:rPr>
        <w:t>The Clinical Subcommittee comprised 46 members with clinical experience in cardiovascular disease management, affiliated with 31 specialty societies. The Clinical Subcommittee provided input at an in-person meeting in April 2018 on measure</w:t>
      </w:r>
      <w:r>
        <w:rPr>
          <w:rFonts w:cstheme="minorHAnsi"/>
          <w:bCs/>
          <w:color w:val="0070C0"/>
        </w:rPr>
        <w:t xml:space="preserve"> scope</w:t>
      </w:r>
      <w:r w:rsidRPr="00CB68C9">
        <w:rPr>
          <w:rFonts w:cstheme="minorHAnsi"/>
          <w:bCs/>
          <w:color w:val="0070C0"/>
        </w:rPr>
        <w:t xml:space="preserve"> and the composition of a smaller, targeted workgroup to provide detailed input on each aspect of measure specifications. </w:t>
      </w:r>
    </w:p>
    <w:p w14:paraId="3BF93BD1" w14:textId="77777777" w:rsidR="007C44A8" w:rsidRDefault="007C44A8" w:rsidP="007C44A8">
      <w:pPr>
        <w:autoSpaceDE w:val="0"/>
        <w:autoSpaceDN w:val="0"/>
        <w:adjustRightInd w:val="0"/>
        <w:spacing w:after="0" w:line="240" w:lineRule="auto"/>
        <w:rPr>
          <w:rFonts w:cstheme="minorHAnsi"/>
          <w:bCs/>
          <w:color w:val="0070C0"/>
        </w:rPr>
      </w:pPr>
    </w:p>
    <w:p w14:paraId="6378A2B5" w14:textId="77777777" w:rsidR="007C44A8" w:rsidRDefault="007C44A8" w:rsidP="007C44A8">
      <w:pPr>
        <w:autoSpaceDE w:val="0"/>
        <w:autoSpaceDN w:val="0"/>
        <w:adjustRightInd w:val="0"/>
        <w:spacing w:after="0" w:line="240" w:lineRule="auto"/>
        <w:rPr>
          <w:rFonts w:cstheme="minorHAnsi"/>
          <w:bCs/>
          <w:color w:val="0070C0"/>
        </w:rPr>
      </w:pPr>
      <w:r w:rsidRPr="00CB68C9">
        <w:rPr>
          <w:rFonts w:cstheme="minorHAnsi"/>
          <w:bCs/>
          <w:color w:val="0070C0"/>
        </w:rPr>
        <w:t>The Non-Emergent CABG</w:t>
      </w:r>
      <w:r>
        <w:rPr>
          <w:rFonts w:cstheme="minorHAnsi"/>
          <w:bCs/>
          <w:color w:val="0070C0"/>
        </w:rPr>
        <w:t xml:space="preserve"> Measure workgroup was composed of 15</w:t>
      </w:r>
      <w:r w:rsidRPr="00CB68C9">
        <w:rPr>
          <w:rFonts w:cstheme="minorHAnsi"/>
          <w:bCs/>
          <w:color w:val="0070C0"/>
        </w:rPr>
        <w:t xml:space="preserve"> members, affiliated with 14 specialty societies, including the Society of Thoracic Surgeons, the American Medical Association, and the American College of Cardiology. The workgroup considered empirical analyses and their clinical expertise to provide input during an in-person meeting and </w:t>
      </w:r>
      <w:r>
        <w:rPr>
          <w:rFonts w:cstheme="minorHAnsi"/>
          <w:bCs/>
          <w:color w:val="0070C0"/>
        </w:rPr>
        <w:t>several webinars between June and</w:t>
      </w:r>
      <w:r w:rsidRPr="00CB68C9">
        <w:rPr>
          <w:rFonts w:cstheme="minorHAnsi"/>
          <w:bCs/>
          <w:color w:val="0070C0"/>
        </w:rPr>
        <w:t xml:space="preserve"> December 2018. Input was gathered in a structured manner including the use of a polling process requiring greater than 60 percent consensus.</w:t>
      </w:r>
    </w:p>
    <w:p w14:paraId="2606D52B" w14:textId="77777777" w:rsidR="007C44A8" w:rsidRDefault="007C44A8" w:rsidP="007C44A8">
      <w:pPr>
        <w:autoSpaceDE w:val="0"/>
        <w:autoSpaceDN w:val="0"/>
        <w:adjustRightInd w:val="0"/>
        <w:spacing w:after="0" w:line="240" w:lineRule="auto"/>
        <w:rPr>
          <w:rFonts w:cstheme="minorHAnsi"/>
          <w:bCs/>
          <w:color w:val="0070C0"/>
        </w:rPr>
      </w:pPr>
    </w:p>
    <w:p w14:paraId="6F2C9D2C" w14:textId="77777777" w:rsidR="007C44A8" w:rsidRDefault="007C44A8" w:rsidP="007C44A8">
      <w:pPr>
        <w:autoSpaceDE w:val="0"/>
        <w:autoSpaceDN w:val="0"/>
        <w:adjustRightInd w:val="0"/>
        <w:spacing w:after="0" w:line="240" w:lineRule="auto"/>
        <w:rPr>
          <w:rFonts w:cstheme="minorHAnsi"/>
          <w:bCs/>
          <w:color w:val="0070C0"/>
        </w:rPr>
      </w:pPr>
      <w:r w:rsidRPr="00D15CC7">
        <w:rPr>
          <w:rFonts w:cstheme="minorHAnsi"/>
          <w:bCs/>
          <w:color w:val="0070C0"/>
        </w:rPr>
        <w:t xml:space="preserve">The TEP provided high-level guidance and input on the overall direction of measure development and the framework for episode-based cost measures, while the PFC provided the caregiver and patient perspective. In addition, the national field testing feedback period in October and November 2018 offered all stakeholders an opportunity to review and provide input on draft measure specifications and </w:t>
      </w:r>
      <w:r w:rsidRPr="00D15CC7">
        <w:rPr>
          <w:rFonts w:cstheme="minorHAnsi"/>
          <w:bCs/>
          <w:color w:val="0070C0"/>
        </w:rPr>
        <w:lastRenderedPageBreak/>
        <w:t>measure feedback reports for attributed clinicians and clinician groups. During this period, 78,221 field test reports for TINs and TIN-NPIs were available for download and review for 11 episode-based cost measures developed throughout 2018.</w:t>
      </w:r>
    </w:p>
    <w:p w14:paraId="1D9696ED" w14:textId="77777777" w:rsidR="007C44A8" w:rsidRDefault="007C44A8" w:rsidP="007C44A8">
      <w:pPr>
        <w:autoSpaceDE w:val="0"/>
        <w:autoSpaceDN w:val="0"/>
        <w:adjustRightInd w:val="0"/>
        <w:spacing w:after="0" w:line="240" w:lineRule="auto"/>
        <w:rPr>
          <w:rFonts w:cstheme="minorHAnsi"/>
          <w:bCs/>
          <w:color w:val="0070C0"/>
        </w:rPr>
      </w:pPr>
    </w:p>
    <w:p w14:paraId="3528B1FA" w14:textId="7637C64F" w:rsidR="007C44A8" w:rsidRDefault="007C44A8" w:rsidP="007C44A8">
      <w:pPr>
        <w:autoSpaceDE w:val="0"/>
        <w:autoSpaceDN w:val="0"/>
        <w:adjustRightInd w:val="0"/>
        <w:spacing w:after="0" w:line="240" w:lineRule="auto"/>
        <w:rPr>
          <w:rFonts w:cstheme="minorHAnsi"/>
          <w:bCs/>
          <w:color w:val="0070C0"/>
        </w:rPr>
      </w:pPr>
      <w:r>
        <w:rPr>
          <w:rFonts w:cstheme="minorHAnsi"/>
          <w:bCs/>
          <w:color w:val="0070C0"/>
        </w:rPr>
        <w:t xml:space="preserve">To gather a formal record of the </w:t>
      </w:r>
      <w:r w:rsidRPr="00CB68C9">
        <w:rPr>
          <w:rFonts w:cstheme="minorHAnsi"/>
          <w:bCs/>
          <w:color w:val="0070C0"/>
        </w:rPr>
        <w:t>Non-Emergent CABG</w:t>
      </w:r>
      <w:r>
        <w:rPr>
          <w:rFonts w:cstheme="minorHAnsi"/>
          <w:bCs/>
          <w:color w:val="0070C0"/>
        </w:rPr>
        <w:t xml:space="preserve"> Measure workgroup’s systematic input throughout measure development, workgroup members completed a face validity survey in December 2020 that assessed the measure’s ability to fulfill its intent – to meaningfully compare and evaluate clinicians on cost efficiency – based on current specifications. </w:t>
      </w:r>
      <w:r w:rsidRPr="00FC482F">
        <w:rPr>
          <w:rFonts w:cstheme="minorHAnsi"/>
          <w:bCs/>
          <w:color w:val="0070C0"/>
        </w:rPr>
        <w:t xml:space="preserve">The survey used a Likert scale with values of 1 = Strongly Disagree, 2 = Moderately Disagree, 3 = Somewhat Disagree, 4 = Somewhat Agree, 5 = Moderately Agree, and 6 = Strongly Agree. </w:t>
      </w:r>
      <w:r>
        <w:rPr>
          <w:rFonts w:cstheme="minorHAnsi"/>
          <w:bCs/>
          <w:color w:val="0070C0"/>
        </w:rPr>
        <w:t xml:space="preserve">Overall, </w:t>
      </w:r>
      <w:r w:rsidRPr="00BB730B">
        <w:rPr>
          <w:rFonts w:cstheme="minorHAnsi"/>
          <w:bCs/>
          <w:color w:val="0070C0"/>
        </w:rPr>
        <w:t>9</w:t>
      </w:r>
      <w:r>
        <w:rPr>
          <w:rFonts w:cstheme="minorHAnsi"/>
          <w:bCs/>
          <w:color w:val="0070C0"/>
        </w:rPr>
        <w:t xml:space="preserve"> of 15</w:t>
      </w:r>
      <w:r w:rsidRPr="00FC482F">
        <w:rPr>
          <w:rFonts w:cstheme="minorHAnsi"/>
          <w:bCs/>
          <w:color w:val="0070C0"/>
        </w:rPr>
        <w:t xml:space="preserve"> </w:t>
      </w:r>
      <w:r>
        <w:rPr>
          <w:rFonts w:cstheme="minorHAnsi"/>
          <w:bCs/>
          <w:color w:val="0070C0"/>
        </w:rPr>
        <w:t>workgroup</w:t>
      </w:r>
      <w:r w:rsidRPr="00FC482F">
        <w:rPr>
          <w:rFonts w:cstheme="minorHAnsi"/>
          <w:bCs/>
          <w:color w:val="0070C0"/>
        </w:rPr>
        <w:t xml:space="preserve"> members completed the survey.</w:t>
      </w:r>
    </w:p>
    <w:p w14:paraId="7540A047" w14:textId="77777777" w:rsidR="007C44A8" w:rsidRDefault="007C44A8" w:rsidP="007C44A8">
      <w:pPr>
        <w:autoSpaceDE w:val="0"/>
        <w:autoSpaceDN w:val="0"/>
        <w:adjustRightInd w:val="0"/>
        <w:spacing w:after="0" w:line="240" w:lineRule="auto"/>
        <w:rPr>
          <w:rFonts w:cstheme="minorHAnsi"/>
          <w:bCs/>
        </w:rPr>
      </w:pPr>
    </w:p>
    <w:p w14:paraId="4B51C98A" w14:textId="77777777" w:rsidR="007C44A8" w:rsidRPr="00287D8C" w:rsidRDefault="007C44A8" w:rsidP="007C44A8">
      <w:pPr>
        <w:keepNext/>
        <w:autoSpaceDE w:val="0"/>
        <w:autoSpaceDN w:val="0"/>
        <w:adjustRightInd w:val="0"/>
        <w:spacing w:after="0" w:line="240" w:lineRule="auto"/>
        <w:rPr>
          <w:rFonts w:cstheme="minorHAnsi"/>
          <w:b/>
          <w:bCs/>
          <w:color w:val="0070C0"/>
        </w:rPr>
      </w:pPr>
      <w:r w:rsidRPr="00287D8C">
        <w:rPr>
          <w:rFonts w:cstheme="minorHAnsi"/>
          <w:b/>
          <w:bCs/>
          <w:color w:val="0070C0"/>
        </w:rPr>
        <w:t>Empirical Validity Testing</w:t>
      </w:r>
    </w:p>
    <w:p w14:paraId="1BAD95D1" w14:textId="77777777" w:rsidR="007C44A8" w:rsidRPr="00A25024" w:rsidRDefault="007C44A8" w:rsidP="007C44A8">
      <w:pPr>
        <w:autoSpaceDE w:val="0"/>
        <w:autoSpaceDN w:val="0"/>
        <w:adjustRightInd w:val="0"/>
        <w:spacing w:after="0" w:line="240" w:lineRule="auto"/>
        <w:rPr>
          <w:rFonts w:cstheme="minorHAnsi"/>
          <w:bCs/>
        </w:rPr>
      </w:pPr>
      <w:r>
        <w:rPr>
          <w:rFonts w:cstheme="minorHAnsi"/>
          <w:bCs/>
          <w:color w:val="0070C0"/>
        </w:rPr>
        <w:t xml:space="preserve">We evaluated the empirical validity of the </w:t>
      </w:r>
      <w:r w:rsidRPr="00CB68C9">
        <w:rPr>
          <w:rFonts w:cstheme="minorHAnsi"/>
          <w:bCs/>
          <w:color w:val="0070C0"/>
        </w:rPr>
        <w:t>Non-Emergent CABG</w:t>
      </w:r>
      <w:r>
        <w:rPr>
          <w:rFonts w:cstheme="minorHAnsi"/>
          <w:bCs/>
          <w:color w:val="0070C0"/>
        </w:rPr>
        <w:t xml:space="preserve"> Measure by examining correlation with an NQF endorsed measure of resource use: the Medicare Spending Per Beneficiary (MSPB) Hospital Measure (NQF# 2158), which assesses the risk-adjusted cost to Medicare for services performed by hospitals and other healthcare providers during an MSPB-Hospital episode. Given the focus on resource use across both measures and the substantial role of hospitals in non-emergent CABG procedures (e.g., in coordination of care during relevant hospital stays), we anticipate that the </w:t>
      </w:r>
      <w:r w:rsidRPr="00CB68C9">
        <w:rPr>
          <w:rFonts w:cstheme="minorHAnsi"/>
          <w:bCs/>
          <w:color w:val="0070C0"/>
        </w:rPr>
        <w:t>Non-Emergent CABG</w:t>
      </w:r>
      <w:r>
        <w:rPr>
          <w:rFonts w:cstheme="minorHAnsi"/>
          <w:bCs/>
          <w:color w:val="0070C0"/>
        </w:rPr>
        <w:t xml:space="preserve"> Measure cost scores for a provider would be consistent with performance on the MSPB Hospital Measure. To assess this consistency, we analyzed the distribution of </w:t>
      </w:r>
      <w:r w:rsidRPr="00CB68C9">
        <w:rPr>
          <w:rFonts w:cstheme="minorHAnsi"/>
          <w:bCs/>
          <w:color w:val="0070C0"/>
        </w:rPr>
        <w:t>Non-Emergent CABG</w:t>
      </w:r>
      <w:r>
        <w:rPr>
          <w:rFonts w:cstheme="minorHAnsi"/>
          <w:bCs/>
          <w:color w:val="0070C0"/>
        </w:rPr>
        <w:t xml:space="preserve"> Measure scores (i.e., observed to expected cost [O/E] ratios) across MSPB performance ratings. </w:t>
      </w:r>
    </w:p>
    <w:p w14:paraId="6D592EDE" w14:textId="77777777" w:rsidR="007C44A8" w:rsidRPr="00A25024" w:rsidRDefault="007C44A8" w:rsidP="007C44A8">
      <w:pPr>
        <w:autoSpaceDE w:val="0"/>
        <w:autoSpaceDN w:val="0"/>
        <w:adjustRightInd w:val="0"/>
        <w:spacing w:after="0" w:line="240" w:lineRule="auto"/>
        <w:rPr>
          <w:rFonts w:cstheme="minorHAnsi"/>
          <w:bCs/>
        </w:rPr>
      </w:pPr>
    </w:p>
    <w:p w14:paraId="1167E07B" w14:textId="77777777" w:rsidR="007C44A8" w:rsidRDefault="007C44A8" w:rsidP="007C44A8">
      <w:pPr>
        <w:autoSpaceDE w:val="0"/>
        <w:autoSpaceDN w:val="0"/>
        <w:adjustRightInd w:val="0"/>
        <w:spacing w:after="0" w:line="240" w:lineRule="auto"/>
        <w:rPr>
          <w:rFonts w:cstheme="minorHAnsi"/>
          <w:bCs/>
        </w:rPr>
      </w:pPr>
      <w:r>
        <w:rPr>
          <w:rFonts w:cstheme="minorHAnsi"/>
          <w:b/>
          <w:bCs/>
        </w:rPr>
        <w:t>2b1.</w:t>
      </w:r>
      <w:r w:rsidRPr="00A25024">
        <w:rPr>
          <w:rFonts w:cstheme="minorHAnsi"/>
          <w:b/>
          <w:bCs/>
        </w:rPr>
        <w:t>3. What were the statistical results from validity testing</w:t>
      </w:r>
      <w:r w:rsidRPr="00A25024">
        <w:rPr>
          <w:rFonts w:cstheme="minorHAnsi"/>
          <w:bCs/>
        </w:rPr>
        <w:t>? (</w:t>
      </w:r>
      <w:r w:rsidRPr="0022691B">
        <w:rPr>
          <w:rFonts w:cstheme="minorHAnsi"/>
          <w:bCs/>
          <w:i/>
        </w:rPr>
        <w:t xml:space="preserve">e.g., correlation; </w:t>
      </w:r>
      <w:r>
        <w:rPr>
          <w:rFonts w:cstheme="minorHAnsi"/>
          <w:bCs/>
          <w:i/>
        </w:rPr>
        <w:t>t-test</w:t>
      </w:r>
      <w:r w:rsidRPr="0022691B">
        <w:rPr>
          <w:rFonts w:cstheme="minorHAnsi"/>
          <w:bCs/>
        </w:rPr>
        <w:t>)</w:t>
      </w:r>
      <w:r w:rsidRPr="00A25024">
        <w:rPr>
          <w:rFonts w:cstheme="minorHAnsi"/>
          <w:bCs/>
        </w:rPr>
        <w:br/>
      </w:r>
    </w:p>
    <w:p w14:paraId="591B7C77" w14:textId="77777777" w:rsidR="007C44A8" w:rsidRPr="00661D94" w:rsidRDefault="007C44A8" w:rsidP="007C44A8">
      <w:pPr>
        <w:autoSpaceDE w:val="0"/>
        <w:autoSpaceDN w:val="0"/>
        <w:adjustRightInd w:val="0"/>
        <w:spacing w:after="0" w:line="240" w:lineRule="auto"/>
        <w:rPr>
          <w:rFonts w:cstheme="minorHAnsi"/>
          <w:b/>
          <w:bCs/>
          <w:color w:val="0070C0"/>
        </w:rPr>
      </w:pPr>
      <w:r w:rsidRPr="00661D94">
        <w:rPr>
          <w:rFonts w:cstheme="minorHAnsi"/>
          <w:b/>
          <w:bCs/>
          <w:color w:val="0070C0"/>
        </w:rPr>
        <w:t xml:space="preserve">Face Validity </w:t>
      </w:r>
    </w:p>
    <w:p w14:paraId="0E82BA66" w14:textId="37B00590" w:rsidR="007C44A8" w:rsidRDefault="007C44A8" w:rsidP="007C44A8">
      <w:pPr>
        <w:autoSpaceDE w:val="0"/>
        <w:autoSpaceDN w:val="0"/>
        <w:adjustRightInd w:val="0"/>
        <w:spacing w:after="0" w:line="240" w:lineRule="auto"/>
        <w:rPr>
          <w:rFonts w:cstheme="minorHAnsi"/>
          <w:bCs/>
          <w:color w:val="0070C0"/>
        </w:rPr>
      </w:pPr>
      <w:r w:rsidRPr="00661D94">
        <w:rPr>
          <w:rFonts w:cstheme="minorHAnsi"/>
          <w:bCs/>
          <w:color w:val="0070C0"/>
        </w:rPr>
        <w:t xml:space="preserve">The results of the assessment of face validity indicate that a convened group of experts had high levels of agreement with the measure’s ability to provide an accurate reflection of costs, and to distinguish good and poor performance. </w:t>
      </w:r>
      <w:r>
        <w:rPr>
          <w:rFonts w:cstheme="minorHAnsi"/>
          <w:bCs/>
          <w:color w:val="0070C0"/>
        </w:rPr>
        <w:t xml:space="preserve">The survey questions and mean rating for each question are </w:t>
      </w:r>
      <w:r w:rsidR="0000159A">
        <w:rPr>
          <w:rFonts w:cstheme="minorHAnsi"/>
          <w:bCs/>
          <w:color w:val="0070C0"/>
        </w:rPr>
        <w:t>shown</w:t>
      </w:r>
      <w:r>
        <w:rPr>
          <w:rFonts w:cstheme="minorHAnsi"/>
          <w:bCs/>
          <w:color w:val="0070C0"/>
        </w:rPr>
        <w:t xml:space="preserve"> below:</w:t>
      </w:r>
    </w:p>
    <w:p w14:paraId="48359460" w14:textId="77777777" w:rsidR="007C44A8" w:rsidRPr="007A76BF" w:rsidRDefault="007C44A8" w:rsidP="007C44A8">
      <w:pPr>
        <w:autoSpaceDE w:val="0"/>
        <w:autoSpaceDN w:val="0"/>
        <w:adjustRightInd w:val="0"/>
        <w:spacing w:after="0" w:line="240" w:lineRule="auto"/>
        <w:rPr>
          <w:rFonts w:cstheme="minorHAnsi"/>
          <w:bCs/>
          <w:color w:val="0070C0"/>
          <w:sz w:val="20"/>
          <w:szCs w:val="20"/>
        </w:rPr>
      </w:pPr>
    </w:p>
    <w:p w14:paraId="4A89FEFE" w14:textId="559532BC" w:rsidR="007C44A8" w:rsidRPr="008D72E3" w:rsidRDefault="007C44A8" w:rsidP="007C44A8">
      <w:pPr>
        <w:spacing w:after="0" w:line="240" w:lineRule="auto"/>
        <w:ind w:left="720"/>
        <w:rPr>
          <w:rFonts w:cstheme="minorHAnsi"/>
          <w:i/>
          <w:color w:val="0070C0"/>
        </w:rPr>
      </w:pPr>
      <w:r w:rsidRPr="008D72E3">
        <w:rPr>
          <w:rFonts w:cstheme="minorHAnsi"/>
          <w:b/>
          <w:bCs/>
          <w:color w:val="0070C0"/>
        </w:rPr>
        <w:t>Question</w:t>
      </w:r>
      <w:r>
        <w:rPr>
          <w:rFonts w:cstheme="minorHAnsi"/>
          <w:b/>
          <w:bCs/>
          <w:color w:val="0070C0"/>
        </w:rPr>
        <w:t>s</w:t>
      </w:r>
      <w:r w:rsidRPr="008D72E3">
        <w:rPr>
          <w:rFonts w:cstheme="minorHAnsi"/>
          <w:b/>
          <w:bCs/>
          <w:color w:val="0070C0"/>
        </w:rPr>
        <w:t xml:space="preserve"> 1</w:t>
      </w:r>
      <w:r>
        <w:rPr>
          <w:rFonts w:cstheme="minorHAnsi"/>
          <w:b/>
          <w:bCs/>
          <w:color w:val="0070C0"/>
        </w:rPr>
        <w:t>-5</w:t>
      </w:r>
      <w:r w:rsidRPr="008D72E3">
        <w:rPr>
          <w:rFonts w:cstheme="minorHAnsi"/>
          <w:b/>
          <w:bCs/>
          <w:color w:val="0070C0"/>
        </w:rPr>
        <w:t>:</w:t>
      </w:r>
      <w:r w:rsidRPr="008D72E3">
        <w:rPr>
          <w:rFonts w:cstheme="minorHAnsi"/>
          <w:color w:val="0070C0"/>
        </w:rPr>
        <w:t xml:space="preserve"> Indicate the extent to which you agree that each of five aspects of the measure specifications - </w:t>
      </w:r>
      <w:r w:rsidRPr="008D72E3">
        <w:rPr>
          <w:rFonts w:cstheme="minorHAnsi"/>
          <w:bCs/>
          <w:color w:val="0070C0"/>
        </w:rPr>
        <w:t xml:space="preserve">(i) triggers, (ii) exclusion, (iii) service assignment, (iv) episode window, and (v) risk-adjustment variables - </w:t>
      </w:r>
      <w:r w:rsidRPr="008D72E3">
        <w:rPr>
          <w:rFonts w:cstheme="minorHAnsi"/>
          <w:color w:val="0070C0"/>
        </w:rPr>
        <w:t xml:space="preserve">helps the measure fulfill its intent to accurately capture a clinician’s risk adjusted cost to Medicare for patients </w:t>
      </w:r>
      <w:r w:rsidRPr="00BB730B">
        <w:rPr>
          <w:rFonts w:cstheme="minorHAnsi"/>
          <w:color w:val="0070C0"/>
        </w:rPr>
        <w:t>who undergo a non-emergent CABG surgery.</w:t>
      </w:r>
    </w:p>
    <w:p w14:paraId="2B082121" w14:textId="77777777" w:rsidR="007C44A8" w:rsidRPr="008D72E3" w:rsidRDefault="007C44A8" w:rsidP="007C44A8">
      <w:pPr>
        <w:autoSpaceDE w:val="0"/>
        <w:autoSpaceDN w:val="0"/>
        <w:adjustRightInd w:val="0"/>
        <w:spacing w:after="0" w:line="240" w:lineRule="auto"/>
        <w:rPr>
          <w:rFonts w:cstheme="minorHAnsi"/>
          <w:color w:val="0070C0"/>
        </w:rPr>
      </w:pPr>
    </w:p>
    <w:p w14:paraId="71EBB412" w14:textId="77777777" w:rsidR="007C44A8" w:rsidRPr="00B06F50" w:rsidRDefault="007C44A8" w:rsidP="00211B1B">
      <w:pPr>
        <w:pStyle w:val="ListParagraph"/>
        <w:numPr>
          <w:ilvl w:val="0"/>
          <w:numId w:val="16"/>
        </w:numPr>
        <w:spacing w:after="0" w:line="240" w:lineRule="auto"/>
        <w:rPr>
          <w:rFonts w:cstheme="minorHAnsi"/>
          <w:i/>
          <w:color w:val="0070C0"/>
        </w:rPr>
      </w:pPr>
      <w:r w:rsidRPr="00B06F50">
        <w:rPr>
          <w:rFonts w:cstheme="minorHAnsi"/>
          <w:b/>
          <w:bCs/>
          <w:color w:val="0070C0"/>
        </w:rPr>
        <w:t>Triggers</w:t>
      </w:r>
    </w:p>
    <w:p w14:paraId="7A680282" w14:textId="77777777" w:rsidR="007C44A8" w:rsidRPr="00A70BAE" w:rsidRDefault="007C44A8" w:rsidP="007C44A8">
      <w:pPr>
        <w:spacing w:after="0" w:line="240" w:lineRule="auto"/>
        <w:ind w:left="1440"/>
        <w:rPr>
          <w:rFonts w:cstheme="minorHAnsi"/>
          <w:color w:val="0070C0"/>
          <w:u w:val="single"/>
        </w:rPr>
      </w:pPr>
      <w:r w:rsidRPr="00A70BAE">
        <w:rPr>
          <w:rFonts w:cstheme="minorHAnsi"/>
          <w:color w:val="0070C0"/>
          <w:u w:val="single"/>
        </w:rPr>
        <w:t xml:space="preserve">Responses: </w:t>
      </w:r>
      <w:r>
        <w:rPr>
          <w:rFonts w:cstheme="minorHAnsi"/>
          <w:color w:val="0070C0"/>
        </w:rPr>
        <w:t>9</w:t>
      </w:r>
      <w:r w:rsidRPr="00A70BAE">
        <w:rPr>
          <w:rFonts w:cstheme="minorHAnsi"/>
          <w:color w:val="0070C0"/>
        </w:rPr>
        <w:t xml:space="preserve"> members agreed (rating between 4-6), </w:t>
      </w:r>
      <w:r>
        <w:rPr>
          <w:rFonts w:cstheme="minorHAnsi"/>
          <w:color w:val="0070C0"/>
        </w:rPr>
        <w:t>0</w:t>
      </w:r>
      <w:r w:rsidRPr="00A70BAE">
        <w:rPr>
          <w:rFonts w:cstheme="minorHAnsi"/>
          <w:color w:val="0070C0"/>
        </w:rPr>
        <w:t xml:space="preserve"> disagreed (rating between 1-3)</w:t>
      </w:r>
    </w:p>
    <w:p w14:paraId="03352BB1" w14:textId="77777777" w:rsidR="007C44A8" w:rsidRPr="00A70BAE" w:rsidRDefault="007C44A8" w:rsidP="007C44A8">
      <w:pPr>
        <w:spacing w:after="0" w:line="240" w:lineRule="auto"/>
        <w:ind w:left="720" w:firstLine="720"/>
        <w:rPr>
          <w:rFonts w:cstheme="minorHAnsi"/>
          <w:color w:val="0070C0"/>
          <w:u w:val="single"/>
        </w:rPr>
      </w:pPr>
      <w:r w:rsidRPr="00A70BAE">
        <w:rPr>
          <w:rFonts w:cstheme="minorHAnsi"/>
          <w:color w:val="0070C0"/>
          <w:u w:val="single"/>
        </w:rPr>
        <w:t>Mean Rating</w:t>
      </w:r>
      <w:r w:rsidRPr="00A70BAE">
        <w:rPr>
          <w:rStyle w:val="FootnoteReference"/>
          <w:rFonts w:cstheme="minorHAnsi"/>
          <w:color w:val="0070C0"/>
        </w:rPr>
        <w:footnoteReference w:id="5"/>
      </w:r>
      <w:r>
        <w:rPr>
          <w:rFonts w:cstheme="minorHAnsi"/>
          <w:color w:val="0070C0"/>
        </w:rPr>
        <w:t>: 5.7</w:t>
      </w:r>
      <w:r w:rsidRPr="00A70BAE">
        <w:rPr>
          <w:rFonts w:cstheme="minorHAnsi"/>
          <w:color w:val="0070C0"/>
        </w:rPr>
        <w:t xml:space="preserve"> out of 6 (moderate</w:t>
      </w:r>
      <w:r>
        <w:rPr>
          <w:rFonts w:cstheme="minorHAnsi"/>
          <w:color w:val="0070C0"/>
        </w:rPr>
        <w:t>ly</w:t>
      </w:r>
      <w:r w:rsidRPr="00A70BAE">
        <w:rPr>
          <w:rFonts w:cstheme="minorHAnsi"/>
          <w:color w:val="0070C0"/>
        </w:rPr>
        <w:t xml:space="preserve"> to strongly agree)</w:t>
      </w:r>
    </w:p>
    <w:p w14:paraId="29D9DF86" w14:textId="77777777" w:rsidR="007C44A8" w:rsidRPr="00B06F50" w:rsidRDefault="007C44A8" w:rsidP="00211B1B">
      <w:pPr>
        <w:pStyle w:val="ListParagraph"/>
        <w:numPr>
          <w:ilvl w:val="0"/>
          <w:numId w:val="16"/>
        </w:numPr>
        <w:spacing w:after="0" w:line="240" w:lineRule="auto"/>
        <w:rPr>
          <w:rFonts w:cstheme="minorHAnsi"/>
          <w:color w:val="0070C0"/>
        </w:rPr>
      </w:pPr>
      <w:r w:rsidRPr="00B06F50">
        <w:rPr>
          <w:rFonts w:cstheme="minorHAnsi"/>
          <w:b/>
          <w:bCs/>
          <w:color w:val="0070C0"/>
        </w:rPr>
        <w:t>Exclusions</w:t>
      </w:r>
    </w:p>
    <w:p w14:paraId="2660D054" w14:textId="77777777" w:rsidR="007C44A8" w:rsidRPr="00A70BAE" w:rsidRDefault="007C44A8" w:rsidP="007C44A8">
      <w:pPr>
        <w:spacing w:after="0" w:line="240" w:lineRule="auto"/>
        <w:ind w:left="720" w:firstLine="720"/>
        <w:rPr>
          <w:rFonts w:cstheme="minorHAnsi"/>
          <w:color w:val="0070C0"/>
          <w:u w:val="single"/>
        </w:rPr>
      </w:pPr>
      <w:r w:rsidRPr="00A70BAE">
        <w:rPr>
          <w:rFonts w:cstheme="minorHAnsi"/>
          <w:color w:val="0070C0"/>
          <w:u w:val="single"/>
        </w:rPr>
        <w:t xml:space="preserve">Responses: </w:t>
      </w:r>
      <w:r>
        <w:rPr>
          <w:rFonts w:cstheme="minorHAnsi"/>
          <w:color w:val="0070C0"/>
        </w:rPr>
        <w:t>9</w:t>
      </w:r>
      <w:r w:rsidRPr="00A70BAE">
        <w:rPr>
          <w:rFonts w:cstheme="minorHAnsi"/>
          <w:color w:val="0070C0"/>
        </w:rPr>
        <w:t xml:space="preserve"> members agreed (rating between 4-6), </w:t>
      </w:r>
      <w:r>
        <w:rPr>
          <w:rFonts w:cstheme="minorHAnsi"/>
          <w:color w:val="0070C0"/>
        </w:rPr>
        <w:t>0</w:t>
      </w:r>
      <w:r w:rsidRPr="00A70BAE">
        <w:rPr>
          <w:rFonts w:cstheme="minorHAnsi"/>
          <w:color w:val="0070C0"/>
        </w:rPr>
        <w:t xml:space="preserve"> </w:t>
      </w:r>
      <w:r>
        <w:rPr>
          <w:rFonts w:cstheme="minorHAnsi"/>
          <w:color w:val="0070C0"/>
        </w:rPr>
        <w:t>disagreed</w:t>
      </w:r>
    </w:p>
    <w:p w14:paraId="6B24FD48" w14:textId="77777777" w:rsidR="007C44A8" w:rsidRPr="00A70BAE" w:rsidRDefault="007C44A8" w:rsidP="007C44A8">
      <w:pPr>
        <w:spacing w:after="0" w:line="240" w:lineRule="auto"/>
        <w:ind w:left="720" w:firstLine="720"/>
        <w:rPr>
          <w:rFonts w:cstheme="minorHAnsi"/>
          <w:color w:val="0070C0"/>
        </w:rPr>
      </w:pPr>
      <w:r w:rsidRPr="00A70BAE">
        <w:rPr>
          <w:rFonts w:cstheme="minorHAnsi"/>
          <w:color w:val="0070C0"/>
          <w:u w:val="single"/>
        </w:rPr>
        <w:t>Mean Rating</w:t>
      </w:r>
      <w:r>
        <w:rPr>
          <w:rFonts w:cstheme="minorHAnsi"/>
          <w:color w:val="0070C0"/>
        </w:rPr>
        <w:t>: 5.6</w:t>
      </w:r>
      <w:r w:rsidRPr="00A70BAE">
        <w:rPr>
          <w:rFonts w:cstheme="minorHAnsi"/>
          <w:color w:val="0070C0"/>
        </w:rPr>
        <w:t xml:space="preserve"> out of 6 (moderate</w:t>
      </w:r>
      <w:r>
        <w:rPr>
          <w:rFonts w:cstheme="minorHAnsi"/>
          <w:color w:val="0070C0"/>
        </w:rPr>
        <w:t>ly</w:t>
      </w:r>
      <w:r w:rsidRPr="00A70BAE">
        <w:rPr>
          <w:rFonts w:cstheme="minorHAnsi"/>
          <w:color w:val="0070C0"/>
        </w:rPr>
        <w:t xml:space="preserve"> to strongly agree)</w:t>
      </w:r>
    </w:p>
    <w:p w14:paraId="05159A09" w14:textId="77777777" w:rsidR="007C44A8" w:rsidRPr="00B06F50" w:rsidRDefault="007C44A8" w:rsidP="00211B1B">
      <w:pPr>
        <w:pStyle w:val="ListParagraph"/>
        <w:numPr>
          <w:ilvl w:val="0"/>
          <w:numId w:val="16"/>
        </w:numPr>
        <w:spacing w:after="0" w:line="240" w:lineRule="auto"/>
        <w:rPr>
          <w:rFonts w:cstheme="minorHAnsi"/>
          <w:color w:val="0070C0"/>
        </w:rPr>
      </w:pPr>
      <w:r w:rsidRPr="00B06F50">
        <w:rPr>
          <w:rFonts w:cstheme="minorHAnsi"/>
          <w:b/>
          <w:bCs/>
          <w:color w:val="0070C0"/>
        </w:rPr>
        <w:t>Service Assignment</w:t>
      </w:r>
    </w:p>
    <w:p w14:paraId="28C30DE2" w14:textId="77777777" w:rsidR="007C44A8" w:rsidRPr="00A70BAE" w:rsidRDefault="007C44A8" w:rsidP="007C44A8">
      <w:pPr>
        <w:spacing w:after="0" w:line="240" w:lineRule="auto"/>
        <w:ind w:left="720" w:firstLine="720"/>
        <w:rPr>
          <w:rFonts w:cstheme="minorHAnsi"/>
          <w:color w:val="0070C0"/>
          <w:u w:val="single"/>
        </w:rPr>
      </w:pPr>
      <w:r w:rsidRPr="00A70BAE">
        <w:rPr>
          <w:rFonts w:cstheme="minorHAnsi"/>
          <w:color w:val="0070C0"/>
          <w:u w:val="single"/>
        </w:rPr>
        <w:t xml:space="preserve">Responses: </w:t>
      </w:r>
      <w:r>
        <w:rPr>
          <w:rFonts w:cstheme="minorHAnsi"/>
          <w:color w:val="0070C0"/>
        </w:rPr>
        <w:t>9</w:t>
      </w:r>
      <w:r w:rsidRPr="00A70BAE">
        <w:rPr>
          <w:rFonts w:cstheme="minorHAnsi"/>
          <w:color w:val="0070C0"/>
        </w:rPr>
        <w:t xml:space="preserve"> members agreed (rating between 4-6), </w:t>
      </w:r>
      <w:r>
        <w:rPr>
          <w:rFonts w:cstheme="minorHAnsi"/>
          <w:color w:val="0070C0"/>
        </w:rPr>
        <w:t>0</w:t>
      </w:r>
      <w:r w:rsidRPr="00A70BAE">
        <w:rPr>
          <w:rFonts w:cstheme="minorHAnsi"/>
          <w:color w:val="0070C0"/>
        </w:rPr>
        <w:t xml:space="preserve"> </w:t>
      </w:r>
      <w:r>
        <w:rPr>
          <w:rFonts w:cstheme="minorHAnsi"/>
          <w:color w:val="0070C0"/>
        </w:rPr>
        <w:t>disagreed</w:t>
      </w:r>
    </w:p>
    <w:p w14:paraId="5DF85CEF" w14:textId="77777777" w:rsidR="007C44A8" w:rsidRPr="00A70BAE" w:rsidRDefault="007C44A8" w:rsidP="007C44A8">
      <w:pPr>
        <w:spacing w:after="0" w:line="240" w:lineRule="auto"/>
        <w:ind w:left="720" w:firstLine="720"/>
        <w:rPr>
          <w:rFonts w:cstheme="minorHAnsi"/>
          <w:color w:val="0070C0"/>
        </w:rPr>
      </w:pPr>
      <w:r w:rsidRPr="00A70BAE">
        <w:rPr>
          <w:rFonts w:cstheme="minorHAnsi"/>
          <w:color w:val="0070C0"/>
          <w:u w:val="single"/>
        </w:rPr>
        <w:t>Mean Rating</w:t>
      </w:r>
      <w:r>
        <w:rPr>
          <w:rFonts w:cstheme="minorHAnsi"/>
          <w:color w:val="0070C0"/>
        </w:rPr>
        <w:t>: 5.3</w:t>
      </w:r>
      <w:r w:rsidRPr="00A70BAE">
        <w:rPr>
          <w:rFonts w:cstheme="minorHAnsi"/>
          <w:color w:val="0070C0"/>
        </w:rPr>
        <w:t xml:space="preserve"> out of 6 (moderate</w:t>
      </w:r>
      <w:r>
        <w:rPr>
          <w:rFonts w:cstheme="minorHAnsi"/>
          <w:color w:val="0070C0"/>
        </w:rPr>
        <w:t>ly</w:t>
      </w:r>
      <w:r w:rsidRPr="00A70BAE">
        <w:rPr>
          <w:rFonts w:cstheme="minorHAnsi"/>
          <w:color w:val="0070C0"/>
        </w:rPr>
        <w:t xml:space="preserve"> to strongly agree) </w:t>
      </w:r>
    </w:p>
    <w:p w14:paraId="1C1221C1" w14:textId="77777777" w:rsidR="007C44A8" w:rsidRPr="00B06F50" w:rsidRDefault="007C44A8" w:rsidP="00211B1B">
      <w:pPr>
        <w:pStyle w:val="ListParagraph"/>
        <w:numPr>
          <w:ilvl w:val="0"/>
          <w:numId w:val="16"/>
        </w:numPr>
        <w:spacing w:after="0" w:line="240" w:lineRule="auto"/>
        <w:rPr>
          <w:rFonts w:cstheme="minorHAnsi"/>
          <w:color w:val="0070C0"/>
        </w:rPr>
      </w:pPr>
      <w:r w:rsidRPr="00B06F50">
        <w:rPr>
          <w:rFonts w:cstheme="minorHAnsi"/>
          <w:b/>
          <w:bCs/>
          <w:color w:val="0070C0"/>
        </w:rPr>
        <w:t>Episode Window</w:t>
      </w:r>
    </w:p>
    <w:p w14:paraId="7EA5B649" w14:textId="77777777" w:rsidR="007C44A8" w:rsidRPr="00A70BAE" w:rsidRDefault="007C44A8" w:rsidP="007C44A8">
      <w:pPr>
        <w:spacing w:after="0" w:line="240" w:lineRule="auto"/>
        <w:ind w:left="720" w:firstLine="720"/>
        <w:rPr>
          <w:rFonts w:cstheme="minorHAnsi"/>
          <w:color w:val="0070C0"/>
          <w:u w:val="single"/>
        </w:rPr>
      </w:pPr>
      <w:r w:rsidRPr="00A70BAE">
        <w:rPr>
          <w:rFonts w:cstheme="minorHAnsi"/>
          <w:color w:val="0070C0"/>
          <w:u w:val="single"/>
        </w:rPr>
        <w:t xml:space="preserve">Responses: </w:t>
      </w:r>
      <w:r>
        <w:rPr>
          <w:rFonts w:cstheme="minorHAnsi"/>
          <w:color w:val="0070C0"/>
        </w:rPr>
        <w:t>9</w:t>
      </w:r>
      <w:r w:rsidRPr="00A70BAE">
        <w:rPr>
          <w:rFonts w:cstheme="minorHAnsi"/>
          <w:color w:val="0070C0"/>
        </w:rPr>
        <w:t xml:space="preserve"> members agreed (rating between 4-6), </w:t>
      </w:r>
      <w:r>
        <w:rPr>
          <w:rFonts w:cstheme="minorHAnsi"/>
          <w:color w:val="0070C0"/>
        </w:rPr>
        <w:t>0</w:t>
      </w:r>
      <w:r w:rsidRPr="00A70BAE">
        <w:rPr>
          <w:rFonts w:cstheme="minorHAnsi"/>
          <w:color w:val="0070C0"/>
        </w:rPr>
        <w:t xml:space="preserve"> </w:t>
      </w:r>
      <w:r>
        <w:rPr>
          <w:rFonts w:cstheme="minorHAnsi"/>
          <w:color w:val="0070C0"/>
        </w:rPr>
        <w:t>disagreed</w:t>
      </w:r>
    </w:p>
    <w:p w14:paraId="364F122B" w14:textId="77777777" w:rsidR="007C44A8" w:rsidRPr="00A70BAE" w:rsidRDefault="007C44A8" w:rsidP="007C44A8">
      <w:pPr>
        <w:spacing w:after="0" w:line="240" w:lineRule="auto"/>
        <w:ind w:left="720" w:firstLine="720"/>
        <w:rPr>
          <w:rFonts w:cstheme="minorHAnsi"/>
          <w:color w:val="0070C0"/>
        </w:rPr>
      </w:pPr>
      <w:r>
        <w:rPr>
          <w:rFonts w:cstheme="minorHAnsi"/>
          <w:color w:val="0070C0"/>
          <w:u w:val="single"/>
        </w:rPr>
        <w:lastRenderedPageBreak/>
        <w:t>Mean Rating:</w:t>
      </w:r>
      <w:r w:rsidRPr="0020081E">
        <w:rPr>
          <w:rFonts w:cstheme="minorHAnsi"/>
          <w:color w:val="0070C0"/>
        </w:rPr>
        <w:t xml:space="preserve"> 4.8 out of 6 </w:t>
      </w:r>
      <w:r w:rsidRPr="00A70BAE">
        <w:rPr>
          <w:rFonts w:cstheme="minorHAnsi"/>
          <w:color w:val="0070C0"/>
        </w:rPr>
        <w:t>(</w:t>
      </w:r>
      <w:r>
        <w:rPr>
          <w:rFonts w:cstheme="minorHAnsi"/>
          <w:color w:val="0070C0"/>
        </w:rPr>
        <w:t>somewhat</w:t>
      </w:r>
      <w:r w:rsidRPr="00A70BAE">
        <w:rPr>
          <w:rFonts w:cstheme="minorHAnsi"/>
          <w:color w:val="0070C0"/>
        </w:rPr>
        <w:t xml:space="preserve"> to </w:t>
      </w:r>
      <w:r>
        <w:rPr>
          <w:rFonts w:cstheme="minorHAnsi"/>
          <w:color w:val="0070C0"/>
        </w:rPr>
        <w:t>moderately</w:t>
      </w:r>
      <w:r w:rsidRPr="00A70BAE">
        <w:rPr>
          <w:rFonts w:cstheme="minorHAnsi"/>
          <w:color w:val="0070C0"/>
        </w:rPr>
        <w:t xml:space="preserve"> agree) </w:t>
      </w:r>
    </w:p>
    <w:p w14:paraId="1278DB02" w14:textId="77777777" w:rsidR="007C44A8" w:rsidRPr="00B06F50" w:rsidRDefault="007C44A8" w:rsidP="00211B1B">
      <w:pPr>
        <w:pStyle w:val="ListParagraph"/>
        <w:numPr>
          <w:ilvl w:val="0"/>
          <w:numId w:val="16"/>
        </w:numPr>
        <w:spacing w:after="0" w:line="240" w:lineRule="auto"/>
        <w:rPr>
          <w:rFonts w:cstheme="minorHAnsi"/>
          <w:color w:val="0070C0"/>
        </w:rPr>
      </w:pPr>
      <w:r w:rsidRPr="00B06F50">
        <w:rPr>
          <w:rFonts w:cstheme="minorHAnsi"/>
          <w:b/>
          <w:bCs/>
          <w:color w:val="0070C0"/>
        </w:rPr>
        <w:t>Risk Adjustment Variables</w:t>
      </w:r>
    </w:p>
    <w:p w14:paraId="417697F8" w14:textId="77777777" w:rsidR="007C44A8" w:rsidRPr="00A70BAE" w:rsidRDefault="007C44A8" w:rsidP="007C44A8">
      <w:pPr>
        <w:spacing w:after="0" w:line="240" w:lineRule="auto"/>
        <w:ind w:left="720" w:firstLine="720"/>
        <w:rPr>
          <w:rFonts w:cstheme="minorHAnsi"/>
          <w:color w:val="0070C0"/>
          <w:u w:val="single"/>
        </w:rPr>
      </w:pPr>
      <w:r w:rsidRPr="00A70BAE">
        <w:rPr>
          <w:rFonts w:cstheme="minorHAnsi"/>
          <w:color w:val="0070C0"/>
          <w:u w:val="single"/>
        </w:rPr>
        <w:t xml:space="preserve">Responses: </w:t>
      </w:r>
      <w:r>
        <w:rPr>
          <w:rFonts w:cstheme="minorHAnsi"/>
          <w:color w:val="0070C0"/>
        </w:rPr>
        <w:t>9</w:t>
      </w:r>
      <w:r w:rsidRPr="00A70BAE">
        <w:rPr>
          <w:rFonts w:cstheme="minorHAnsi"/>
          <w:color w:val="0070C0"/>
        </w:rPr>
        <w:t xml:space="preserve"> members agreed (rating between 4-6), </w:t>
      </w:r>
      <w:r>
        <w:rPr>
          <w:rFonts w:cstheme="minorHAnsi"/>
          <w:color w:val="0070C0"/>
        </w:rPr>
        <w:t>0</w:t>
      </w:r>
      <w:r w:rsidRPr="00A70BAE">
        <w:rPr>
          <w:rFonts w:cstheme="minorHAnsi"/>
          <w:color w:val="0070C0"/>
        </w:rPr>
        <w:t xml:space="preserve"> </w:t>
      </w:r>
      <w:r>
        <w:rPr>
          <w:rFonts w:cstheme="minorHAnsi"/>
          <w:color w:val="0070C0"/>
        </w:rPr>
        <w:t>disagreed</w:t>
      </w:r>
    </w:p>
    <w:p w14:paraId="7DB0E06E" w14:textId="77777777" w:rsidR="007C44A8" w:rsidRDefault="007C44A8" w:rsidP="007C44A8">
      <w:pPr>
        <w:spacing w:after="0" w:line="240" w:lineRule="auto"/>
        <w:ind w:left="720" w:firstLine="720"/>
        <w:rPr>
          <w:rFonts w:cstheme="minorHAnsi"/>
          <w:color w:val="0070C0"/>
        </w:rPr>
      </w:pPr>
      <w:r>
        <w:rPr>
          <w:rFonts w:cstheme="minorHAnsi"/>
          <w:color w:val="0070C0"/>
          <w:u w:val="single"/>
        </w:rPr>
        <w:t>Mean Rating</w:t>
      </w:r>
      <w:r w:rsidRPr="0020081E">
        <w:rPr>
          <w:rFonts w:cstheme="minorHAnsi"/>
          <w:color w:val="0070C0"/>
        </w:rPr>
        <w:t xml:space="preserve">: 5.8 out of 6 </w:t>
      </w:r>
      <w:r w:rsidRPr="00A70BAE">
        <w:rPr>
          <w:rFonts w:cstheme="minorHAnsi"/>
          <w:color w:val="0070C0"/>
        </w:rPr>
        <w:t>(moderate</w:t>
      </w:r>
      <w:r>
        <w:rPr>
          <w:rFonts w:cstheme="minorHAnsi"/>
          <w:color w:val="0070C0"/>
        </w:rPr>
        <w:t>ly</w:t>
      </w:r>
      <w:r w:rsidRPr="00A70BAE">
        <w:rPr>
          <w:rFonts w:cstheme="minorHAnsi"/>
          <w:color w:val="0070C0"/>
        </w:rPr>
        <w:t xml:space="preserve"> to strongly agree)</w:t>
      </w:r>
      <w:r w:rsidRPr="008D72E3">
        <w:rPr>
          <w:rFonts w:cstheme="minorHAnsi"/>
          <w:color w:val="0070C0"/>
        </w:rPr>
        <w:t xml:space="preserve"> </w:t>
      </w:r>
    </w:p>
    <w:p w14:paraId="059EC5EA" w14:textId="77777777" w:rsidR="007C44A8" w:rsidRDefault="007C44A8" w:rsidP="007C44A8">
      <w:pPr>
        <w:spacing w:after="0" w:line="240" w:lineRule="auto"/>
        <w:ind w:left="720" w:firstLine="720"/>
        <w:rPr>
          <w:rFonts w:cstheme="minorHAnsi"/>
          <w:color w:val="0070C0"/>
        </w:rPr>
      </w:pPr>
    </w:p>
    <w:p w14:paraId="371B4F7D" w14:textId="77777777" w:rsidR="007C44A8" w:rsidRDefault="007C44A8" w:rsidP="007C44A8">
      <w:pPr>
        <w:spacing w:after="0" w:line="240" w:lineRule="auto"/>
        <w:ind w:firstLine="720"/>
        <w:rPr>
          <w:rFonts w:cstheme="minorHAnsi"/>
          <w:color w:val="0070C0"/>
        </w:rPr>
      </w:pPr>
      <w:r w:rsidRPr="00D23B05">
        <w:rPr>
          <w:rFonts w:cstheme="minorHAnsi"/>
          <w:b/>
          <w:color w:val="0070C0"/>
          <w:u w:val="single"/>
        </w:rPr>
        <w:t>Mean Response Rating</w:t>
      </w:r>
      <w:r w:rsidRPr="00D23B05">
        <w:rPr>
          <w:rFonts w:cstheme="minorHAnsi"/>
          <w:color w:val="0070C0"/>
          <w:u w:val="single"/>
        </w:rPr>
        <w:t>:</w:t>
      </w:r>
      <w:r>
        <w:rPr>
          <w:rFonts w:cstheme="minorHAnsi"/>
          <w:color w:val="0070C0"/>
        </w:rPr>
        <w:t xml:space="preserve"> 5.4 out of 6 </w:t>
      </w:r>
      <w:r w:rsidRPr="001D6353">
        <w:rPr>
          <w:rFonts w:cstheme="minorHAnsi"/>
          <w:color w:val="0070C0"/>
        </w:rPr>
        <w:t>(moderately to strongly agree)</w:t>
      </w:r>
    </w:p>
    <w:p w14:paraId="2DC55211" w14:textId="77777777" w:rsidR="007C44A8" w:rsidRDefault="007C44A8" w:rsidP="007C44A8">
      <w:pPr>
        <w:spacing w:after="0" w:line="240" w:lineRule="auto"/>
        <w:ind w:firstLine="720"/>
        <w:rPr>
          <w:rFonts w:cstheme="minorHAnsi"/>
          <w:color w:val="0070C0"/>
        </w:rPr>
      </w:pPr>
    </w:p>
    <w:p w14:paraId="1846AF6A" w14:textId="77777777" w:rsidR="007C44A8" w:rsidRPr="008D72E3" w:rsidRDefault="007C44A8" w:rsidP="007C44A8">
      <w:pPr>
        <w:spacing w:after="0" w:line="240" w:lineRule="auto"/>
        <w:ind w:left="720"/>
        <w:rPr>
          <w:rFonts w:cstheme="minorHAnsi"/>
          <w:color w:val="0070C0"/>
        </w:rPr>
      </w:pPr>
      <w:r>
        <w:rPr>
          <w:rFonts w:cstheme="minorHAnsi"/>
          <w:b/>
          <w:bCs/>
          <w:color w:val="0070C0"/>
        </w:rPr>
        <w:t>Question 6</w:t>
      </w:r>
      <w:r w:rsidRPr="008D72E3">
        <w:rPr>
          <w:rFonts w:cstheme="minorHAnsi"/>
          <w:b/>
          <w:bCs/>
          <w:color w:val="0070C0"/>
        </w:rPr>
        <w:t>:</w:t>
      </w:r>
      <w:r w:rsidRPr="008D72E3">
        <w:rPr>
          <w:rFonts w:cstheme="minorHAnsi"/>
          <w:color w:val="0070C0"/>
        </w:rPr>
        <w:t xml:space="preserve"> Indicate the extent to which you agree with the following statement about the measure: “The scores obtained from the </w:t>
      </w:r>
      <w:r w:rsidRPr="00CB68C9">
        <w:rPr>
          <w:rFonts w:cstheme="minorHAnsi"/>
          <w:bCs/>
          <w:color w:val="0070C0"/>
        </w:rPr>
        <w:t>Non-Emergent CABG</w:t>
      </w:r>
      <w:r>
        <w:rPr>
          <w:rFonts w:cstheme="minorHAnsi"/>
          <w:bCs/>
          <w:color w:val="0070C0"/>
        </w:rPr>
        <w:t xml:space="preserve"> Measure</w:t>
      </w:r>
      <w:r w:rsidRPr="00CB68C9">
        <w:rPr>
          <w:rFonts w:cstheme="minorHAnsi"/>
          <w:bCs/>
          <w:color w:val="0070C0"/>
        </w:rPr>
        <w:t xml:space="preserve"> </w:t>
      </w:r>
      <w:r w:rsidRPr="008D72E3">
        <w:rPr>
          <w:rFonts w:cstheme="minorHAnsi"/>
          <w:color w:val="0070C0"/>
        </w:rPr>
        <w:t>as specified will provide an accurate reflection of the costs for episodes of care, and can be used to distinguish good and poor performance on cost effectiveness.”</w:t>
      </w:r>
    </w:p>
    <w:p w14:paraId="6AC44049" w14:textId="77777777" w:rsidR="007C44A8" w:rsidRPr="00A70BAE" w:rsidRDefault="007C44A8" w:rsidP="007C44A8">
      <w:pPr>
        <w:spacing w:after="0" w:line="240" w:lineRule="auto"/>
        <w:ind w:left="720" w:firstLine="720"/>
        <w:rPr>
          <w:rFonts w:cstheme="minorHAnsi"/>
          <w:color w:val="0070C0"/>
          <w:u w:val="single"/>
        </w:rPr>
      </w:pPr>
      <w:r w:rsidRPr="00A70BAE">
        <w:rPr>
          <w:rFonts w:cstheme="minorHAnsi"/>
          <w:color w:val="0070C0"/>
          <w:u w:val="single"/>
        </w:rPr>
        <w:t xml:space="preserve">Response: </w:t>
      </w:r>
      <w:r>
        <w:rPr>
          <w:rFonts w:cstheme="minorHAnsi"/>
          <w:color w:val="0070C0"/>
        </w:rPr>
        <w:t>7</w:t>
      </w:r>
      <w:r w:rsidRPr="00A70BAE">
        <w:rPr>
          <w:rFonts w:cstheme="minorHAnsi"/>
          <w:color w:val="0070C0"/>
        </w:rPr>
        <w:t xml:space="preserve"> members agreed, 1 member disagreed (rating between 1-3)</w:t>
      </w:r>
    </w:p>
    <w:p w14:paraId="71AE6019" w14:textId="3E09E4C8" w:rsidR="009A5DBD" w:rsidRDefault="007C44A8" w:rsidP="009A5DBD">
      <w:pPr>
        <w:spacing w:after="0" w:line="240" w:lineRule="auto"/>
        <w:ind w:left="720" w:firstLine="720"/>
        <w:rPr>
          <w:rFonts w:cstheme="minorHAnsi"/>
          <w:color w:val="0070C0"/>
        </w:rPr>
      </w:pPr>
      <w:r w:rsidRPr="00A70BAE">
        <w:rPr>
          <w:rFonts w:cstheme="minorHAnsi"/>
          <w:color w:val="0070C0"/>
          <w:u w:val="single"/>
        </w:rPr>
        <w:t>Mean Rating:</w:t>
      </w:r>
      <w:r>
        <w:rPr>
          <w:rFonts w:cstheme="minorHAnsi"/>
          <w:color w:val="0070C0"/>
        </w:rPr>
        <w:t xml:space="preserve"> 4.6</w:t>
      </w:r>
      <w:r w:rsidRPr="0020081E">
        <w:rPr>
          <w:rFonts w:cstheme="minorHAnsi"/>
          <w:color w:val="0070C0"/>
        </w:rPr>
        <w:t xml:space="preserve"> out of 6</w:t>
      </w:r>
      <w:r w:rsidRPr="00A70BAE">
        <w:rPr>
          <w:rFonts w:cstheme="minorHAnsi"/>
          <w:color w:val="0070C0"/>
        </w:rPr>
        <w:t xml:space="preserve"> (</w:t>
      </w:r>
      <w:r>
        <w:rPr>
          <w:rFonts w:cstheme="minorHAnsi"/>
          <w:color w:val="0070C0"/>
        </w:rPr>
        <w:t>somewhat</w:t>
      </w:r>
      <w:r w:rsidRPr="00A70BAE">
        <w:rPr>
          <w:rFonts w:cstheme="minorHAnsi"/>
          <w:color w:val="0070C0"/>
        </w:rPr>
        <w:t xml:space="preserve"> to </w:t>
      </w:r>
      <w:r>
        <w:rPr>
          <w:rFonts w:cstheme="minorHAnsi"/>
          <w:color w:val="0070C0"/>
        </w:rPr>
        <w:t>moderately</w:t>
      </w:r>
      <w:r w:rsidRPr="00A70BAE">
        <w:rPr>
          <w:rFonts w:cstheme="minorHAnsi"/>
          <w:color w:val="0070C0"/>
        </w:rPr>
        <w:t xml:space="preserve"> agree)</w:t>
      </w:r>
    </w:p>
    <w:p w14:paraId="1C9A9484" w14:textId="561B4D40" w:rsidR="009A5DBD" w:rsidRDefault="009A5DBD" w:rsidP="009A5DBD">
      <w:pPr>
        <w:spacing w:after="0" w:line="240" w:lineRule="auto"/>
        <w:rPr>
          <w:rFonts w:cstheme="minorHAnsi"/>
          <w:color w:val="0070C0"/>
          <w:u w:val="single"/>
        </w:rPr>
      </w:pPr>
    </w:p>
    <w:p w14:paraId="3CDBAFCA" w14:textId="206210A1" w:rsidR="009A5DBD" w:rsidRPr="008D72E3" w:rsidRDefault="009A5DBD" w:rsidP="009A5DBD">
      <w:pPr>
        <w:spacing w:after="0" w:line="240" w:lineRule="auto"/>
        <w:rPr>
          <w:rFonts w:cstheme="minorHAnsi"/>
          <w:color w:val="0070C0"/>
        </w:rPr>
      </w:pPr>
      <w:r>
        <w:rPr>
          <w:rFonts w:cstheme="minorHAnsi"/>
          <w:color w:val="0070C0"/>
        </w:rPr>
        <w:t xml:space="preserve">The mean rating from Questions 1-5 above indicates overall consensus agreement on the measure specifications, and reflects the strength of the measure development process, wherein expert clinicians engage with the details of measure design to ensure that each component (e.g., triggers, exclusions, assigned services) facilitates valid clinician performance measurement. </w:t>
      </w:r>
    </w:p>
    <w:p w14:paraId="771BE306" w14:textId="77777777" w:rsidR="007C44A8" w:rsidRDefault="007C44A8" w:rsidP="007C44A8">
      <w:pPr>
        <w:autoSpaceDE w:val="0"/>
        <w:autoSpaceDN w:val="0"/>
        <w:adjustRightInd w:val="0"/>
        <w:spacing w:after="0" w:line="240" w:lineRule="auto"/>
        <w:rPr>
          <w:rFonts w:ascii="Times New Roman" w:hAnsi="Times New Roman" w:cs="Times New Roman"/>
          <w:b/>
          <w:bCs/>
          <w:color w:val="0070C0"/>
          <w:u w:val="single"/>
        </w:rPr>
      </w:pPr>
    </w:p>
    <w:p w14:paraId="03E15405" w14:textId="77777777" w:rsidR="007C44A8" w:rsidRPr="008F7437" w:rsidRDefault="007C44A8" w:rsidP="007C44A8">
      <w:pPr>
        <w:autoSpaceDE w:val="0"/>
        <w:autoSpaceDN w:val="0"/>
        <w:adjustRightInd w:val="0"/>
        <w:spacing w:after="0" w:line="240" w:lineRule="auto"/>
        <w:rPr>
          <w:rFonts w:cstheme="minorHAnsi"/>
          <w:b/>
          <w:bCs/>
          <w:color w:val="0070C0"/>
        </w:rPr>
      </w:pPr>
      <w:r w:rsidRPr="00661D94">
        <w:rPr>
          <w:rFonts w:cstheme="minorHAnsi"/>
          <w:b/>
          <w:bCs/>
          <w:color w:val="0070C0"/>
        </w:rPr>
        <w:t xml:space="preserve">Empirical Validity </w:t>
      </w:r>
    </w:p>
    <w:p w14:paraId="7660FA96" w14:textId="77777777" w:rsidR="007C44A8" w:rsidRPr="00D23B05" w:rsidRDefault="007C44A8" w:rsidP="007C44A8">
      <w:pPr>
        <w:autoSpaceDE w:val="0"/>
        <w:autoSpaceDN w:val="0"/>
        <w:adjustRightInd w:val="0"/>
        <w:spacing w:after="0" w:line="240" w:lineRule="auto"/>
        <w:rPr>
          <w:rFonts w:cstheme="minorHAnsi"/>
          <w:bCs/>
          <w:color w:val="0070C0"/>
        </w:rPr>
      </w:pPr>
      <w:r w:rsidRPr="00FB4DA4">
        <w:rPr>
          <w:rFonts w:cstheme="minorHAnsi"/>
          <w:bCs/>
          <w:color w:val="0070C0"/>
        </w:rPr>
        <w:t>Table</w:t>
      </w:r>
      <w:r>
        <w:rPr>
          <w:rFonts w:cstheme="minorHAnsi"/>
          <w:bCs/>
          <w:color w:val="0070C0"/>
        </w:rPr>
        <w:t>s</w:t>
      </w:r>
      <w:r w:rsidRPr="00FB4DA4">
        <w:rPr>
          <w:rFonts w:cstheme="minorHAnsi"/>
          <w:bCs/>
          <w:color w:val="0070C0"/>
        </w:rPr>
        <w:t xml:space="preserve"> </w:t>
      </w:r>
      <w:r>
        <w:rPr>
          <w:rFonts w:cstheme="minorHAnsi"/>
          <w:bCs/>
          <w:color w:val="0070C0"/>
        </w:rPr>
        <w:t xml:space="preserve">4 and 5 below present </w:t>
      </w:r>
      <w:r>
        <w:rPr>
          <w:rFonts w:cstheme="minorHAnsi"/>
          <w:color w:val="0070C0"/>
        </w:rPr>
        <w:t>Non-Emergent CABG Measure</w:t>
      </w:r>
      <w:r w:rsidRPr="001D6353">
        <w:rPr>
          <w:rFonts w:cstheme="minorHAnsi"/>
          <w:color w:val="0070C0"/>
        </w:rPr>
        <w:t xml:space="preserve"> </w:t>
      </w:r>
      <w:r>
        <w:rPr>
          <w:rFonts w:cstheme="minorHAnsi"/>
          <w:bCs/>
          <w:color w:val="0070C0"/>
        </w:rPr>
        <w:t>cost scores stratified by performance ratings on the MSPB Hospital Measure, grouped to allow for sufficient provider counts in each performance stratification. A performance rating of 0 indicates the lowest score on the MSPB Hospital Measure (i.e., low cost efficiency), while a rating of 10 indicates the highest score (i.e., high cost efficiency). Results are provided at the TIN and TIN-NPI levels, respectively.</w:t>
      </w:r>
    </w:p>
    <w:p w14:paraId="017A443B" w14:textId="77777777" w:rsidR="007C44A8" w:rsidRDefault="007C44A8" w:rsidP="007C44A8">
      <w:pPr>
        <w:keepNext/>
        <w:keepLines/>
        <w:autoSpaceDE w:val="0"/>
        <w:autoSpaceDN w:val="0"/>
        <w:adjustRightInd w:val="0"/>
        <w:spacing w:after="0" w:line="240" w:lineRule="auto"/>
        <w:jc w:val="center"/>
        <w:rPr>
          <w:rFonts w:cstheme="minorHAnsi"/>
          <w:b/>
          <w:bCs/>
          <w:highlight w:val="yellow"/>
        </w:rPr>
      </w:pPr>
    </w:p>
    <w:p w14:paraId="4F3930BB" w14:textId="3C4795B8" w:rsidR="007C44A8" w:rsidRPr="009A5DBD" w:rsidRDefault="007C44A8" w:rsidP="009A5DBD">
      <w:pPr>
        <w:keepNext/>
        <w:keepLines/>
        <w:autoSpaceDE w:val="0"/>
        <w:autoSpaceDN w:val="0"/>
        <w:adjustRightInd w:val="0"/>
        <w:spacing w:after="0" w:line="240" w:lineRule="auto"/>
        <w:jc w:val="center"/>
        <w:rPr>
          <w:rFonts w:cstheme="minorHAnsi"/>
          <w:bCs/>
        </w:rPr>
      </w:pPr>
      <w:r w:rsidRPr="00A037C8">
        <w:rPr>
          <w:rFonts w:cstheme="minorHAnsi"/>
          <w:b/>
          <w:bCs/>
        </w:rPr>
        <w:t>Table 4</w:t>
      </w:r>
      <w:r w:rsidR="00F22C36">
        <w:rPr>
          <w:rFonts w:cstheme="minorHAnsi"/>
          <w:b/>
          <w:bCs/>
        </w:rPr>
        <w:t>.</w:t>
      </w:r>
      <w:r w:rsidRPr="00A037C8">
        <w:rPr>
          <w:rFonts w:cstheme="minorHAnsi"/>
          <w:b/>
          <w:bCs/>
        </w:rPr>
        <w:t xml:space="preserve"> </w:t>
      </w:r>
      <w:r>
        <w:rPr>
          <w:rFonts w:cstheme="minorHAnsi"/>
          <w:b/>
          <w:bCs/>
        </w:rPr>
        <w:t>Non-Emergent CABG</w:t>
      </w:r>
      <w:r w:rsidRPr="00A037C8">
        <w:rPr>
          <w:rFonts w:cstheme="minorHAnsi"/>
          <w:b/>
          <w:bCs/>
        </w:rPr>
        <w:t xml:space="preserve"> Measure Scores by MPSB Performance Rating</w:t>
      </w:r>
      <w:r>
        <w:rPr>
          <w:rFonts w:cstheme="minorHAnsi"/>
          <w:b/>
          <w:bCs/>
        </w:rPr>
        <w:t>, TIN Level</w:t>
      </w:r>
    </w:p>
    <w:tbl>
      <w:tblPr>
        <w:tblStyle w:val="TableGrid"/>
        <w:tblW w:w="9175" w:type="dxa"/>
        <w:tblLayout w:type="fixed"/>
        <w:tblLook w:val="04A0" w:firstRow="1" w:lastRow="0" w:firstColumn="1" w:lastColumn="0" w:noHBand="0" w:noVBand="1"/>
      </w:tblPr>
      <w:tblGrid>
        <w:gridCol w:w="2756"/>
        <w:gridCol w:w="887"/>
        <w:gridCol w:w="1106"/>
        <w:gridCol w:w="1106"/>
        <w:gridCol w:w="1107"/>
        <w:gridCol w:w="1106"/>
        <w:gridCol w:w="1107"/>
      </w:tblGrid>
      <w:tr w:rsidR="007C44A8" w14:paraId="5C024976" w14:textId="77777777" w:rsidTr="009A5DBD">
        <w:trPr>
          <w:trHeight w:val="565"/>
        </w:trPr>
        <w:tc>
          <w:tcPr>
            <w:tcW w:w="2756" w:type="dxa"/>
            <w:vMerge w:val="restart"/>
            <w:shd w:val="clear" w:color="auto" w:fill="244061" w:themeFill="accent1" w:themeFillShade="80"/>
            <w:vAlign w:val="center"/>
          </w:tcPr>
          <w:p w14:paraId="600F4368" w14:textId="77777777" w:rsidR="007C44A8" w:rsidRPr="00AC3295" w:rsidRDefault="007C44A8" w:rsidP="007C44A8">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MSPB Performance Rating</w:t>
            </w:r>
          </w:p>
        </w:tc>
        <w:tc>
          <w:tcPr>
            <w:tcW w:w="887" w:type="dxa"/>
            <w:vMerge w:val="restart"/>
            <w:shd w:val="clear" w:color="auto" w:fill="244061" w:themeFill="accent1" w:themeFillShade="80"/>
            <w:vAlign w:val="center"/>
          </w:tcPr>
          <w:p w14:paraId="4499E5F1" w14:textId="77777777" w:rsidR="007C44A8" w:rsidRDefault="007C44A8"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TIN</w:t>
            </w:r>
          </w:p>
          <w:p w14:paraId="5F171D60" w14:textId="77777777" w:rsidR="007C44A8" w:rsidRDefault="007C44A8"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Count</w:t>
            </w:r>
          </w:p>
        </w:tc>
        <w:tc>
          <w:tcPr>
            <w:tcW w:w="5532" w:type="dxa"/>
            <w:gridSpan w:val="5"/>
            <w:shd w:val="clear" w:color="auto" w:fill="244061" w:themeFill="accent1" w:themeFillShade="80"/>
            <w:vAlign w:val="center"/>
          </w:tcPr>
          <w:p w14:paraId="14CEC904" w14:textId="77777777" w:rsidR="007C44A8" w:rsidRDefault="007C44A8" w:rsidP="007C44A8">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Measure Cost Score (Observed Cost/Expected Cost Ratio)</w:t>
            </w:r>
          </w:p>
        </w:tc>
      </w:tr>
      <w:tr w:rsidR="009A5DBD" w14:paraId="3547EFA7" w14:textId="77777777" w:rsidTr="009A5DBD">
        <w:trPr>
          <w:trHeight w:val="300"/>
        </w:trPr>
        <w:tc>
          <w:tcPr>
            <w:tcW w:w="2756" w:type="dxa"/>
            <w:vMerge/>
            <w:shd w:val="clear" w:color="auto" w:fill="244061" w:themeFill="accent1" w:themeFillShade="80"/>
            <w:vAlign w:val="center"/>
          </w:tcPr>
          <w:p w14:paraId="5EC917BF"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p>
        </w:tc>
        <w:tc>
          <w:tcPr>
            <w:tcW w:w="887" w:type="dxa"/>
            <w:vMerge/>
            <w:shd w:val="clear" w:color="auto" w:fill="244061" w:themeFill="accent1" w:themeFillShade="80"/>
          </w:tcPr>
          <w:p w14:paraId="63A0D918"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p>
        </w:tc>
        <w:tc>
          <w:tcPr>
            <w:tcW w:w="1106" w:type="dxa"/>
            <w:shd w:val="clear" w:color="auto" w:fill="244061" w:themeFill="accent1" w:themeFillShade="80"/>
            <w:vAlign w:val="center"/>
          </w:tcPr>
          <w:p w14:paraId="2CB55E56"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106" w:type="dxa"/>
            <w:shd w:val="clear" w:color="auto" w:fill="244061" w:themeFill="accent1" w:themeFillShade="80"/>
            <w:vAlign w:val="center"/>
          </w:tcPr>
          <w:p w14:paraId="44F0E34E"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Std. Dev.</w:t>
            </w:r>
          </w:p>
        </w:tc>
        <w:tc>
          <w:tcPr>
            <w:tcW w:w="1107" w:type="dxa"/>
            <w:shd w:val="clear" w:color="auto" w:fill="244061" w:themeFill="accent1" w:themeFillShade="80"/>
            <w:vAlign w:val="center"/>
          </w:tcPr>
          <w:p w14:paraId="684D0DE9" w14:textId="4E6718B9"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P25</w:t>
            </w:r>
          </w:p>
        </w:tc>
        <w:tc>
          <w:tcPr>
            <w:tcW w:w="1106" w:type="dxa"/>
            <w:shd w:val="clear" w:color="auto" w:fill="244061" w:themeFill="accent1" w:themeFillShade="80"/>
            <w:vAlign w:val="center"/>
          </w:tcPr>
          <w:p w14:paraId="6F1B9708" w14:textId="15D9F3E9"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Median</w:t>
            </w:r>
          </w:p>
        </w:tc>
        <w:tc>
          <w:tcPr>
            <w:tcW w:w="1107" w:type="dxa"/>
            <w:shd w:val="clear" w:color="auto" w:fill="244061" w:themeFill="accent1" w:themeFillShade="80"/>
            <w:vAlign w:val="center"/>
          </w:tcPr>
          <w:p w14:paraId="107E039F" w14:textId="695BB350"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P75</w:t>
            </w:r>
          </w:p>
        </w:tc>
      </w:tr>
      <w:tr w:rsidR="009A5DBD" w14:paraId="1A91061E" w14:textId="77777777" w:rsidTr="009A5DBD">
        <w:trPr>
          <w:trHeight w:val="282"/>
        </w:trPr>
        <w:tc>
          <w:tcPr>
            <w:tcW w:w="2756" w:type="dxa"/>
          </w:tcPr>
          <w:p w14:paraId="23C1A01A" w14:textId="77777777" w:rsidR="009A5DBD" w:rsidRPr="00AC3295" w:rsidRDefault="009A5DBD" w:rsidP="009A5DBD">
            <w:pPr>
              <w:keepNext/>
              <w:keepLines/>
              <w:autoSpaceDE w:val="0"/>
              <w:autoSpaceDN w:val="0"/>
              <w:adjustRightInd w:val="0"/>
              <w:rPr>
                <w:rFonts w:ascii="Calibri" w:hAnsi="Calibri"/>
              </w:rPr>
            </w:pPr>
            <w:r>
              <w:rPr>
                <w:rFonts w:ascii="Calibri" w:hAnsi="Calibri"/>
              </w:rPr>
              <w:t>Performance Rating 0</w:t>
            </w:r>
          </w:p>
        </w:tc>
        <w:tc>
          <w:tcPr>
            <w:tcW w:w="887" w:type="dxa"/>
          </w:tcPr>
          <w:p w14:paraId="5627D565"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563</w:t>
            </w:r>
          </w:p>
        </w:tc>
        <w:tc>
          <w:tcPr>
            <w:tcW w:w="1106" w:type="dxa"/>
            <w:vAlign w:val="center"/>
          </w:tcPr>
          <w:p w14:paraId="51325643"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1.04</w:t>
            </w:r>
          </w:p>
        </w:tc>
        <w:tc>
          <w:tcPr>
            <w:tcW w:w="1106" w:type="dxa"/>
            <w:vAlign w:val="center"/>
          </w:tcPr>
          <w:p w14:paraId="132428A0"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0.13</w:t>
            </w:r>
          </w:p>
        </w:tc>
        <w:tc>
          <w:tcPr>
            <w:tcW w:w="1107" w:type="dxa"/>
            <w:vAlign w:val="center"/>
          </w:tcPr>
          <w:p w14:paraId="6D374542" w14:textId="1EA95B5D"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0.96</w:t>
            </w:r>
          </w:p>
        </w:tc>
        <w:tc>
          <w:tcPr>
            <w:tcW w:w="1106" w:type="dxa"/>
            <w:vAlign w:val="center"/>
          </w:tcPr>
          <w:p w14:paraId="7C68EB96" w14:textId="6C33D6EF"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1.01</w:t>
            </w:r>
          </w:p>
        </w:tc>
        <w:tc>
          <w:tcPr>
            <w:tcW w:w="1107" w:type="dxa"/>
            <w:vAlign w:val="center"/>
          </w:tcPr>
          <w:p w14:paraId="6022C803" w14:textId="1DDA18CB"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1.08</w:t>
            </w:r>
          </w:p>
        </w:tc>
      </w:tr>
      <w:tr w:rsidR="009A5DBD" w14:paraId="0986CA32" w14:textId="77777777" w:rsidTr="009A5DBD">
        <w:trPr>
          <w:trHeight w:val="265"/>
        </w:trPr>
        <w:tc>
          <w:tcPr>
            <w:tcW w:w="2756" w:type="dxa"/>
          </w:tcPr>
          <w:p w14:paraId="48A46C23" w14:textId="77777777" w:rsidR="009A5DBD" w:rsidRPr="00AC3295" w:rsidRDefault="009A5DBD" w:rsidP="009A5DBD">
            <w:pPr>
              <w:keepNext/>
              <w:keepLines/>
              <w:autoSpaceDE w:val="0"/>
              <w:autoSpaceDN w:val="0"/>
              <w:adjustRightInd w:val="0"/>
              <w:rPr>
                <w:rFonts w:ascii="Calibri" w:hAnsi="Calibri"/>
              </w:rPr>
            </w:pPr>
            <w:r>
              <w:rPr>
                <w:rFonts w:ascii="Calibri" w:hAnsi="Calibri"/>
              </w:rPr>
              <w:t>Performance Rating 1</w:t>
            </w:r>
          </w:p>
        </w:tc>
        <w:tc>
          <w:tcPr>
            <w:tcW w:w="887" w:type="dxa"/>
          </w:tcPr>
          <w:p w14:paraId="66D5603E"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166</w:t>
            </w:r>
          </w:p>
        </w:tc>
        <w:tc>
          <w:tcPr>
            <w:tcW w:w="1106" w:type="dxa"/>
            <w:vAlign w:val="center"/>
          </w:tcPr>
          <w:p w14:paraId="22DA0916"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1.01</w:t>
            </w:r>
          </w:p>
        </w:tc>
        <w:tc>
          <w:tcPr>
            <w:tcW w:w="1106" w:type="dxa"/>
            <w:vAlign w:val="center"/>
          </w:tcPr>
          <w:p w14:paraId="219B4D50"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0.09</w:t>
            </w:r>
          </w:p>
        </w:tc>
        <w:tc>
          <w:tcPr>
            <w:tcW w:w="1107" w:type="dxa"/>
            <w:vAlign w:val="center"/>
          </w:tcPr>
          <w:p w14:paraId="5DF1B201" w14:textId="3E9BBCDE"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0.96</w:t>
            </w:r>
          </w:p>
        </w:tc>
        <w:tc>
          <w:tcPr>
            <w:tcW w:w="1106" w:type="dxa"/>
            <w:vAlign w:val="center"/>
          </w:tcPr>
          <w:p w14:paraId="1C46B631" w14:textId="39363148"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1.00</w:t>
            </w:r>
          </w:p>
        </w:tc>
        <w:tc>
          <w:tcPr>
            <w:tcW w:w="1107" w:type="dxa"/>
            <w:vAlign w:val="center"/>
          </w:tcPr>
          <w:p w14:paraId="5FC849DE" w14:textId="70A68476"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1.04</w:t>
            </w:r>
          </w:p>
        </w:tc>
      </w:tr>
      <w:tr w:rsidR="009A5DBD" w14:paraId="2129972B" w14:textId="77777777" w:rsidTr="009A5DBD">
        <w:trPr>
          <w:trHeight w:val="282"/>
        </w:trPr>
        <w:tc>
          <w:tcPr>
            <w:tcW w:w="2756" w:type="dxa"/>
          </w:tcPr>
          <w:p w14:paraId="1307882E" w14:textId="77777777" w:rsidR="009A5DBD" w:rsidRDefault="009A5DBD" w:rsidP="009A5DBD">
            <w:pPr>
              <w:keepNext/>
              <w:keepLines/>
              <w:autoSpaceDE w:val="0"/>
              <w:autoSpaceDN w:val="0"/>
              <w:adjustRightInd w:val="0"/>
              <w:rPr>
                <w:rFonts w:ascii="Calibri" w:hAnsi="Calibri"/>
              </w:rPr>
            </w:pPr>
            <w:r>
              <w:rPr>
                <w:rFonts w:ascii="Calibri" w:hAnsi="Calibri"/>
              </w:rPr>
              <w:t>Performance Rating 2</w:t>
            </w:r>
          </w:p>
        </w:tc>
        <w:tc>
          <w:tcPr>
            <w:tcW w:w="887" w:type="dxa"/>
          </w:tcPr>
          <w:p w14:paraId="2300000A"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110</w:t>
            </w:r>
          </w:p>
        </w:tc>
        <w:tc>
          <w:tcPr>
            <w:tcW w:w="1106" w:type="dxa"/>
            <w:vAlign w:val="center"/>
          </w:tcPr>
          <w:p w14:paraId="520E435E"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1.01</w:t>
            </w:r>
          </w:p>
        </w:tc>
        <w:tc>
          <w:tcPr>
            <w:tcW w:w="1106" w:type="dxa"/>
            <w:vAlign w:val="center"/>
          </w:tcPr>
          <w:p w14:paraId="083B4EC9"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0.13</w:t>
            </w:r>
          </w:p>
        </w:tc>
        <w:tc>
          <w:tcPr>
            <w:tcW w:w="1107" w:type="dxa"/>
            <w:vAlign w:val="center"/>
          </w:tcPr>
          <w:p w14:paraId="664A1C21" w14:textId="61DF3598"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0.94</w:t>
            </w:r>
          </w:p>
        </w:tc>
        <w:tc>
          <w:tcPr>
            <w:tcW w:w="1106" w:type="dxa"/>
            <w:vAlign w:val="center"/>
          </w:tcPr>
          <w:p w14:paraId="44261726" w14:textId="70D4ADC3"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0.98</w:t>
            </w:r>
          </w:p>
        </w:tc>
        <w:tc>
          <w:tcPr>
            <w:tcW w:w="1107" w:type="dxa"/>
            <w:vAlign w:val="center"/>
          </w:tcPr>
          <w:p w14:paraId="0452DBA2" w14:textId="69487BEB"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1.04</w:t>
            </w:r>
          </w:p>
        </w:tc>
      </w:tr>
      <w:tr w:rsidR="009A5DBD" w14:paraId="4FB3580E" w14:textId="77777777" w:rsidTr="009A5DBD">
        <w:trPr>
          <w:trHeight w:val="282"/>
        </w:trPr>
        <w:tc>
          <w:tcPr>
            <w:tcW w:w="2756" w:type="dxa"/>
          </w:tcPr>
          <w:p w14:paraId="539912FA" w14:textId="77777777" w:rsidR="009A5DBD" w:rsidRDefault="009A5DBD" w:rsidP="009A5DBD">
            <w:pPr>
              <w:keepNext/>
              <w:keepLines/>
              <w:autoSpaceDE w:val="0"/>
              <w:autoSpaceDN w:val="0"/>
              <w:adjustRightInd w:val="0"/>
              <w:rPr>
                <w:rFonts w:ascii="Calibri" w:hAnsi="Calibri"/>
              </w:rPr>
            </w:pPr>
            <w:r>
              <w:rPr>
                <w:rFonts w:ascii="Calibri" w:hAnsi="Calibri"/>
              </w:rPr>
              <w:t>Performance Rating 3-4</w:t>
            </w:r>
          </w:p>
        </w:tc>
        <w:tc>
          <w:tcPr>
            <w:tcW w:w="887" w:type="dxa"/>
          </w:tcPr>
          <w:p w14:paraId="3279F02A"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120</w:t>
            </w:r>
          </w:p>
        </w:tc>
        <w:tc>
          <w:tcPr>
            <w:tcW w:w="1106" w:type="dxa"/>
            <w:vAlign w:val="center"/>
          </w:tcPr>
          <w:p w14:paraId="0AFF51F4"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1.00</w:t>
            </w:r>
          </w:p>
        </w:tc>
        <w:tc>
          <w:tcPr>
            <w:tcW w:w="1106" w:type="dxa"/>
            <w:vAlign w:val="center"/>
          </w:tcPr>
          <w:p w14:paraId="7FF7B72F"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0.08</w:t>
            </w:r>
          </w:p>
        </w:tc>
        <w:tc>
          <w:tcPr>
            <w:tcW w:w="1107" w:type="dxa"/>
            <w:vAlign w:val="center"/>
          </w:tcPr>
          <w:p w14:paraId="5D3B7318" w14:textId="145A94A8"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0.94</w:t>
            </w:r>
          </w:p>
        </w:tc>
        <w:tc>
          <w:tcPr>
            <w:tcW w:w="1106" w:type="dxa"/>
            <w:vAlign w:val="center"/>
          </w:tcPr>
          <w:p w14:paraId="4CBB44A6" w14:textId="5F0EAF2E"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0.99</w:t>
            </w:r>
          </w:p>
        </w:tc>
        <w:tc>
          <w:tcPr>
            <w:tcW w:w="1107" w:type="dxa"/>
            <w:vAlign w:val="center"/>
          </w:tcPr>
          <w:p w14:paraId="4745617B" w14:textId="6BCECDC9"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1.04</w:t>
            </w:r>
          </w:p>
        </w:tc>
      </w:tr>
      <w:tr w:rsidR="009A5DBD" w14:paraId="2278ECF6" w14:textId="77777777" w:rsidTr="009A5DBD">
        <w:trPr>
          <w:trHeight w:val="265"/>
        </w:trPr>
        <w:tc>
          <w:tcPr>
            <w:tcW w:w="2756" w:type="dxa"/>
          </w:tcPr>
          <w:p w14:paraId="2E45F08C" w14:textId="77777777" w:rsidR="009A5DBD" w:rsidRDefault="009A5DBD" w:rsidP="009A5DBD">
            <w:pPr>
              <w:keepNext/>
              <w:keepLines/>
              <w:autoSpaceDE w:val="0"/>
              <w:autoSpaceDN w:val="0"/>
              <w:adjustRightInd w:val="0"/>
              <w:rPr>
                <w:rFonts w:ascii="Calibri" w:hAnsi="Calibri"/>
              </w:rPr>
            </w:pPr>
            <w:r>
              <w:rPr>
                <w:rFonts w:ascii="Calibri" w:hAnsi="Calibri"/>
              </w:rPr>
              <w:t>Performance Rating 5-10</w:t>
            </w:r>
          </w:p>
        </w:tc>
        <w:tc>
          <w:tcPr>
            <w:tcW w:w="887" w:type="dxa"/>
          </w:tcPr>
          <w:p w14:paraId="4C29EE12"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47</w:t>
            </w:r>
          </w:p>
        </w:tc>
        <w:tc>
          <w:tcPr>
            <w:tcW w:w="1106" w:type="dxa"/>
            <w:vAlign w:val="center"/>
          </w:tcPr>
          <w:p w14:paraId="7F9EFFC1"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0.98</w:t>
            </w:r>
          </w:p>
        </w:tc>
        <w:tc>
          <w:tcPr>
            <w:tcW w:w="1106" w:type="dxa"/>
            <w:vAlign w:val="center"/>
          </w:tcPr>
          <w:p w14:paraId="11C67971" w14:textId="77777777"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0.11</w:t>
            </w:r>
          </w:p>
        </w:tc>
        <w:tc>
          <w:tcPr>
            <w:tcW w:w="1107" w:type="dxa"/>
            <w:vAlign w:val="center"/>
          </w:tcPr>
          <w:p w14:paraId="062D8DF1" w14:textId="25C6D7D1"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0.91</w:t>
            </w:r>
          </w:p>
        </w:tc>
        <w:tc>
          <w:tcPr>
            <w:tcW w:w="1106" w:type="dxa"/>
            <w:vAlign w:val="center"/>
          </w:tcPr>
          <w:p w14:paraId="1CAAF845" w14:textId="673DE133"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0.94</w:t>
            </w:r>
          </w:p>
        </w:tc>
        <w:tc>
          <w:tcPr>
            <w:tcW w:w="1107" w:type="dxa"/>
            <w:vAlign w:val="center"/>
          </w:tcPr>
          <w:p w14:paraId="66033EDD" w14:textId="1F4019C8" w:rsidR="009A5DBD" w:rsidRPr="00EB4C76" w:rsidRDefault="009A5DBD" w:rsidP="009A5DBD">
            <w:pPr>
              <w:keepNext/>
              <w:keepLines/>
              <w:autoSpaceDE w:val="0"/>
              <w:autoSpaceDN w:val="0"/>
              <w:adjustRightInd w:val="0"/>
              <w:jc w:val="center"/>
              <w:rPr>
                <w:rFonts w:ascii="Calibri" w:hAnsi="Calibri"/>
                <w:color w:val="0070C0"/>
              </w:rPr>
            </w:pPr>
            <w:r w:rsidRPr="00EB4C76">
              <w:rPr>
                <w:rFonts w:ascii="Calibri" w:hAnsi="Calibri"/>
                <w:color w:val="0070C0"/>
              </w:rPr>
              <w:t>1.02</w:t>
            </w:r>
          </w:p>
        </w:tc>
      </w:tr>
    </w:tbl>
    <w:p w14:paraId="142770A9" w14:textId="77777777" w:rsidR="007C44A8" w:rsidRDefault="007C44A8" w:rsidP="007C44A8">
      <w:pPr>
        <w:autoSpaceDE w:val="0"/>
        <w:autoSpaceDN w:val="0"/>
        <w:adjustRightInd w:val="0"/>
        <w:spacing w:after="0" w:line="240" w:lineRule="auto"/>
        <w:rPr>
          <w:rFonts w:cstheme="minorHAnsi"/>
          <w:b/>
          <w:bCs/>
          <w:color w:val="0070C0"/>
        </w:rPr>
      </w:pPr>
    </w:p>
    <w:p w14:paraId="4819CE53" w14:textId="1B77CFED" w:rsidR="007C44A8" w:rsidRDefault="007C44A8" w:rsidP="007C44A8">
      <w:pPr>
        <w:keepNext/>
        <w:keepLines/>
        <w:autoSpaceDE w:val="0"/>
        <w:autoSpaceDN w:val="0"/>
        <w:adjustRightInd w:val="0"/>
        <w:spacing w:after="0" w:line="240" w:lineRule="auto"/>
        <w:jc w:val="center"/>
        <w:rPr>
          <w:rFonts w:cstheme="minorHAnsi"/>
          <w:bCs/>
        </w:rPr>
      </w:pPr>
      <w:r w:rsidRPr="00947C0F">
        <w:rPr>
          <w:rFonts w:cstheme="minorHAnsi"/>
          <w:b/>
          <w:bCs/>
        </w:rPr>
        <w:t xml:space="preserve">Table </w:t>
      </w:r>
      <w:r>
        <w:rPr>
          <w:rFonts w:cstheme="minorHAnsi"/>
          <w:b/>
          <w:bCs/>
        </w:rPr>
        <w:t>5</w:t>
      </w:r>
      <w:r w:rsidR="00F22C36">
        <w:rPr>
          <w:rFonts w:cstheme="minorHAnsi"/>
          <w:b/>
          <w:bCs/>
        </w:rPr>
        <w:t>.</w:t>
      </w:r>
      <w:r w:rsidRPr="00947C0F">
        <w:rPr>
          <w:rFonts w:cstheme="minorHAnsi"/>
          <w:b/>
          <w:bCs/>
        </w:rPr>
        <w:t xml:space="preserve"> </w:t>
      </w:r>
      <w:r>
        <w:rPr>
          <w:rFonts w:cstheme="minorHAnsi"/>
          <w:b/>
          <w:bCs/>
        </w:rPr>
        <w:t xml:space="preserve">Non-Emergent CABG </w:t>
      </w:r>
      <w:r w:rsidRPr="00947C0F">
        <w:rPr>
          <w:rFonts w:cstheme="minorHAnsi"/>
          <w:b/>
          <w:bCs/>
        </w:rPr>
        <w:t>Measure Scores by MPSB Performance Rating</w:t>
      </w:r>
      <w:r>
        <w:rPr>
          <w:rFonts w:cstheme="minorHAnsi"/>
          <w:b/>
          <w:bCs/>
        </w:rPr>
        <w:t>, TIN-NPI Level</w:t>
      </w:r>
    </w:p>
    <w:tbl>
      <w:tblPr>
        <w:tblStyle w:val="TableGrid"/>
        <w:tblW w:w="9175" w:type="dxa"/>
        <w:tblLayout w:type="fixed"/>
        <w:tblLook w:val="04A0" w:firstRow="1" w:lastRow="0" w:firstColumn="1" w:lastColumn="0" w:noHBand="0" w:noVBand="1"/>
      </w:tblPr>
      <w:tblGrid>
        <w:gridCol w:w="2714"/>
        <w:gridCol w:w="971"/>
        <w:gridCol w:w="1098"/>
        <w:gridCol w:w="1098"/>
        <w:gridCol w:w="1098"/>
        <w:gridCol w:w="1098"/>
        <w:gridCol w:w="1098"/>
      </w:tblGrid>
      <w:tr w:rsidR="007C44A8" w14:paraId="4D25045E" w14:textId="77777777" w:rsidTr="009A5DBD">
        <w:trPr>
          <w:trHeight w:val="543"/>
        </w:trPr>
        <w:tc>
          <w:tcPr>
            <w:tcW w:w="2714" w:type="dxa"/>
            <w:vMerge w:val="restart"/>
            <w:shd w:val="clear" w:color="auto" w:fill="244061" w:themeFill="accent1" w:themeFillShade="80"/>
            <w:vAlign w:val="center"/>
          </w:tcPr>
          <w:p w14:paraId="0D803CBF" w14:textId="77777777" w:rsidR="007C44A8" w:rsidRPr="00AC3295" w:rsidRDefault="007C44A8" w:rsidP="007C44A8">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MSPB Performance Rating</w:t>
            </w:r>
          </w:p>
        </w:tc>
        <w:tc>
          <w:tcPr>
            <w:tcW w:w="971" w:type="dxa"/>
            <w:vMerge w:val="restart"/>
            <w:shd w:val="clear" w:color="auto" w:fill="244061" w:themeFill="accent1" w:themeFillShade="80"/>
            <w:vAlign w:val="center"/>
          </w:tcPr>
          <w:p w14:paraId="0BA7156D" w14:textId="77777777" w:rsidR="007C44A8" w:rsidRDefault="007C44A8"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TIN-NPI</w:t>
            </w:r>
          </w:p>
          <w:p w14:paraId="23EDA641" w14:textId="77777777" w:rsidR="007C44A8" w:rsidRDefault="007C44A8"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Count</w:t>
            </w:r>
          </w:p>
        </w:tc>
        <w:tc>
          <w:tcPr>
            <w:tcW w:w="5490" w:type="dxa"/>
            <w:gridSpan w:val="5"/>
            <w:shd w:val="clear" w:color="auto" w:fill="244061" w:themeFill="accent1" w:themeFillShade="80"/>
            <w:vAlign w:val="center"/>
          </w:tcPr>
          <w:p w14:paraId="6F0FD32B" w14:textId="36010C68" w:rsidR="007C44A8" w:rsidRDefault="007C44A8"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 xml:space="preserve">Measure Cost Score (Observed </w:t>
            </w:r>
            <w:r w:rsidR="009A5DBD">
              <w:rPr>
                <w:rFonts w:ascii="Calibri" w:hAnsi="Calibri"/>
                <w:b/>
                <w:color w:val="FFFFFF" w:themeColor="background1"/>
              </w:rPr>
              <w:t>Cost</w:t>
            </w:r>
            <w:r>
              <w:rPr>
                <w:rFonts w:ascii="Calibri" w:hAnsi="Calibri"/>
                <w:b/>
                <w:color w:val="FFFFFF" w:themeColor="background1"/>
              </w:rPr>
              <w:t>/Expected Cost Ratio)</w:t>
            </w:r>
          </w:p>
        </w:tc>
      </w:tr>
      <w:tr w:rsidR="009A5DBD" w14:paraId="43A870A7" w14:textId="77777777" w:rsidTr="009A5DBD">
        <w:trPr>
          <w:trHeight w:val="288"/>
        </w:trPr>
        <w:tc>
          <w:tcPr>
            <w:tcW w:w="2714" w:type="dxa"/>
            <w:vMerge/>
            <w:shd w:val="clear" w:color="auto" w:fill="244061" w:themeFill="accent1" w:themeFillShade="80"/>
            <w:vAlign w:val="center"/>
          </w:tcPr>
          <w:p w14:paraId="20256BC8"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p>
        </w:tc>
        <w:tc>
          <w:tcPr>
            <w:tcW w:w="971" w:type="dxa"/>
            <w:vMerge/>
            <w:shd w:val="clear" w:color="auto" w:fill="244061" w:themeFill="accent1" w:themeFillShade="80"/>
          </w:tcPr>
          <w:p w14:paraId="56A4A522"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p>
        </w:tc>
        <w:tc>
          <w:tcPr>
            <w:tcW w:w="1098" w:type="dxa"/>
            <w:shd w:val="clear" w:color="auto" w:fill="244061" w:themeFill="accent1" w:themeFillShade="80"/>
            <w:vAlign w:val="center"/>
          </w:tcPr>
          <w:p w14:paraId="055FDC27"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098" w:type="dxa"/>
            <w:shd w:val="clear" w:color="auto" w:fill="244061" w:themeFill="accent1" w:themeFillShade="80"/>
            <w:vAlign w:val="center"/>
          </w:tcPr>
          <w:p w14:paraId="498D6CA1" w14:textId="77777777"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Std. Dev.</w:t>
            </w:r>
          </w:p>
        </w:tc>
        <w:tc>
          <w:tcPr>
            <w:tcW w:w="1098" w:type="dxa"/>
            <w:shd w:val="clear" w:color="auto" w:fill="244061" w:themeFill="accent1" w:themeFillShade="80"/>
            <w:vAlign w:val="center"/>
          </w:tcPr>
          <w:p w14:paraId="518D39A0" w14:textId="7C869DE3"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P25</w:t>
            </w:r>
          </w:p>
        </w:tc>
        <w:tc>
          <w:tcPr>
            <w:tcW w:w="1098" w:type="dxa"/>
            <w:shd w:val="clear" w:color="auto" w:fill="244061" w:themeFill="accent1" w:themeFillShade="80"/>
            <w:vAlign w:val="center"/>
          </w:tcPr>
          <w:p w14:paraId="31E88080" w14:textId="4252F4F0"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Median</w:t>
            </w:r>
          </w:p>
        </w:tc>
        <w:tc>
          <w:tcPr>
            <w:tcW w:w="1098" w:type="dxa"/>
            <w:shd w:val="clear" w:color="auto" w:fill="244061" w:themeFill="accent1" w:themeFillShade="80"/>
            <w:vAlign w:val="center"/>
          </w:tcPr>
          <w:p w14:paraId="3F966C04" w14:textId="17210A36" w:rsidR="009A5DBD" w:rsidRPr="00AC3295" w:rsidRDefault="009A5DBD" w:rsidP="009A5DBD">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P75</w:t>
            </w:r>
          </w:p>
        </w:tc>
      </w:tr>
      <w:tr w:rsidR="009A5DBD" w14:paraId="26AC1655" w14:textId="77777777" w:rsidTr="009A5DBD">
        <w:trPr>
          <w:trHeight w:val="271"/>
        </w:trPr>
        <w:tc>
          <w:tcPr>
            <w:tcW w:w="2714" w:type="dxa"/>
          </w:tcPr>
          <w:p w14:paraId="2FF69D65" w14:textId="77777777" w:rsidR="009A5DBD" w:rsidRPr="00AC3295" w:rsidRDefault="009A5DBD" w:rsidP="009A5DBD">
            <w:pPr>
              <w:keepNext/>
              <w:keepLines/>
              <w:autoSpaceDE w:val="0"/>
              <w:autoSpaceDN w:val="0"/>
              <w:adjustRightInd w:val="0"/>
              <w:rPr>
                <w:rFonts w:ascii="Calibri" w:hAnsi="Calibri"/>
              </w:rPr>
            </w:pPr>
            <w:r>
              <w:rPr>
                <w:rFonts w:ascii="Calibri" w:hAnsi="Calibri"/>
              </w:rPr>
              <w:t>Performance Rating 0</w:t>
            </w:r>
          </w:p>
        </w:tc>
        <w:tc>
          <w:tcPr>
            <w:tcW w:w="971" w:type="dxa"/>
          </w:tcPr>
          <w:p w14:paraId="230106A8"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2,764</w:t>
            </w:r>
          </w:p>
        </w:tc>
        <w:tc>
          <w:tcPr>
            <w:tcW w:w="1098" w:type="dxa"/>
            <w:vAlign w:val="center"/>
          </w:tcPr>
          <w:p w14:paraId="79692223"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1.03</w:t>
            </w:r>
          </w:p>
        </w:tc>
        <w:tc>
          <w:tcPr>
            <w:tcW w:w="1098" w:type="dxa"/>
            <w:vAlign w:val="center"/>
          </w:tcPr>
          <w:p w14:paraId="514F8104"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0.14</w:t>
            </w:r>
          </w:p>
        </w:tc>
        <w:tc>
          <w:tcPr>
            <w:tcW w:w="1098" w:type="dxa"/>
            <w:vAlign w:val="center"/>
          </w:tcPr>
          <w:p w14:paraId="72154A4C" w14:textId="0BC25B81"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0.94</w:t>
            </w:r>
          </w:p>
        </w:tc>
        <w:tc>
          <w:tcPr>
            <w:tcW w:w="1098" w:type="dxa"/>
            <w:vAlign w:val="center"/>
          </w:tcPr>
          <w:p w14:paraId="35D02944" w14:textId="57363970"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1.00</w:t>
            </w:r>
          </w:p>
        </w:tc>
        <w:tc>
          <w:tcPr>
            <w:tcW w:w="1098" w:type="dxa"/>
            <w:vAlign w:val="center"/>
          </w:tcPr>
          <w:p w14:paraId="0DCBDFA9" w14:textId="63C98584"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1.08</w:t>
            </w:r>
          </w:p>
        </w:tc>
      </w:tr>
      <w:tr w:rsidR="009A5DBD" w14:paraId="54374D62" w14:textId="77777777" w:rsidTr="009A5DBD">
        <w:trPr>
          <w:trHeight w:val="255"/>
        </w:trPr>
        <w:tc>
          <w:tcPr>
            <w:tcW w:w="2714" w:type="dxa"/>
          </w:tcPr>
          <w:p w14:paraId="32E171F4" w14:textId="77777777" w:rsidR="009A5DBD" w:rsidRPr="00AC3295" w:rsidRDefault="009A5DBD" w:rsidP="009A5DBD">
            <w:pPr>
              <w:keepNext/>
              <w:keepLines/>
              <w:autoSpaceDE w:val="0"/>
              <w:autoSpaceDN w:val="0"/>
              <w:adjustRightInd w:val="0"/>
              <w:rPr>
                <w:rFonts w:ascii="Calibri" w:hAnsi="Calibri"/>
              </w:rPr>
            </w:pPr>
            <w:r>
              <w:rPr>
                <w:rFonts w:ascii="Calibri" w:hAnsi="Calibri"/>
              </w:rPr>
              <w:t>Performance Rating 1</w:t>
            </w:r>
          </w:p>
        </w:tc>
        <w:tc>
          <w:tcPr>
            <w:tcW w:w="971" w:type="dxa"/>
          </w:tcPr>
          <w:p w14:paraId="0DDD6487"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925</w:t>
            </w:r>
          </w:p>
        </w:tc>
        <w:tc>
          <w:tcPr>
            <w:tcW w:w="1098" w:type="dxa"/>
            <w:vAlign w:val="center"/>
          </w:tcPr>
          <w:p w14:paraId="01663C14"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1.01</w:t>
            </w:r>
          </w:p>
        </w:tc>
        <w:tc>
          <w:tcPr>
            <w:tcW w:w="1098" w:type="dxa"/>
            <w:vAlign w:val="center"/>
          </w:tcPr>
          <w:p w14:paraId="4A1B851C"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0.13</w:t>
            </w:r>
          </w:p>
        </w:tc>
        <w:tc>
          <w:tcPr>
            <w:tcW w:w="1098" w:type="dxa"/>
            <w:vAlign w:val="center"/>
          </w:tcPr>
          <w:p w14:paraId="1CCE65B5" w14:textId="2A44BCAF"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0.94</w:t>
            </w:r>
          </w:p>
        </w:tc>
        <w:tc>
          <w:tcPr>
            <w:tcW w:w="1098" w:type="dxa"/>
            <w:vAlign w:val="center"/>
          </w:tcPr>
          <w:p w14:paraId="35208A3A" w14:textId="784E9264"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0.99</w:t>
            </w:r>
          </w:p>
        </w:tc>
        <w:tc>
          <w:tcPr>
            <w:tcW w:w="1098" w:type="dxa"/>
            <w:vAlign w:val="center"/>
          </w:tcPr>
          <w:p w14:paraId="3C6392C3" w14:textId="01428054"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1.05</w:t>
            </w:r>
          </w:p>
        </w:tc>
      </w:tr>
      <w:tr w:rsidR="009A5DBD" w14:paraId="277060FD" w14:textId="77777777" w:rsidTr="009A5DBD">
        <w:trPr>
          <w:trHeight w:val="271"/>
        </w:trPr>
        <w:tc>
          <w:tcPr>
            <w:tcW w:w="2714" w:type="dxa"/>
          </w:tcPr>
          <w:p w14:paraId="68A09C24" w14:textId="77777777" w:rsidR="009A5DBD" w:rsidRDefault="009A5DBD" w:rsidP="009A5DBD">
            <w:pPr>
              <w:keepNext/>
              <w:keepLines/>
              <w:autoSpaceDE w:val="0"/>
              <w:autoSpaceDN w:val="0"/>
              <w:adjustRightInd w:val="0"/>
              <w:rPr>
                <w:rFonts w:ascii="Calibri" w:hAnsi="Calibri"/>
              </w:rPr>
            </w:pPr>
            <w:r>
              <w:rPr>
                <w:rFonts w:ascii="Calibri" w:hAnsi="Calibri"/>
              </w:rPr>
              <w:t>Performance Rating 2</w:t>
            </w:r>
          </w:p>
        </w:tc>
        <w:tc>
          <w:tcPr>
            <w:tcW w:w="971" w:type="dxa"/>
          </w:tcPr>
          <w:p w14:paraId="7492EE5C"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546</w:t>
            </w:r>
          </w:p>
        </w:tc>
        <w:tc>
          <w:tcPr>
            <w:tcW w:w="1098" w:type="dxa"/>
            <w:vAlign w:val="center"/>
          </w:tcPr>
          <w:p w14:paraId="43CF4518"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1.00</w:t>
            </w:r>
          </w:p>
        </w:tc>
        <w:tc>
          <w:tcPr>
            <w:tcW w:w="1098" w:type="dxa"/>
            <w:vAlign w:val="center"/>
          </w:tcPr>
          <w:p w14:paraId="019A855C"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0.13</w:t>
            </w:r>
          </w:p>
        </w:tc>
        <w:tc>
          <w:tcPr>
            <w:tcW w:w="1098" w:type="dxa"/>
            <w:vAlign w:val="center"/>
          </w:tcPr>
          <w:p w14:paraId="1FFAD385" w14:textId="47A48154"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0.92</w:t>
            </w:r>
          </w:p>
        </w:tc>
        <w:tc>
          <w:tcPr>
            <w:tcW w:w="1098" w:type="dxa"/>
            <w:vAlign w:val="center"/>
          </w:tcPr>
          <w:p w14:paraId="74915886" w14:textId="2D896048"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0.97</w:t>
            </w:r>
          </w:p>
        </w:tc>
        <w:tc>
          <w:tcPr>
            <w:tcW w:w="1098" w:type="dxa"/>
            <w:vAlign w:val="center"/>
          </w:tcPr>
          <w:p w14:paraId="06FE15C4" w14:textId="40A96B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1.03</w:t>
            </w:r>
          </w:p>
        </w:tc>
      </w:tr>
      <w:tr w:rsidR="009A5DBD" w14:paraId="54D9D76D" w14:textId="77777777" w:rsidTr="009A5DBD">
        <w:trPr>
          <w:trHeight w:val="271"/>
        </w:trPr>
        <w:tc>
          <w:tcPr>
            <w:tcW w:w="2714" w:type="dxa"/>
          </w:tcPr>
          <w:p w14:paraId="1D459A9C" w14:textId="77777777" w:rsidR="009A5DBD" w:rsidRDefault="009A5DBD" w:rsidP="009A5DBD">
            <w:pPr>
              <w:keepNext/>
              <w:keepLines/>
              <w:autoSpaceDE w:val="0"/>
              <w:autoSpaceDN w:val="0"/>
              <w:adjustRightInd w:val="0"/>
              <w:rPr>
                <w:rFonts w:ascii="Calibri" w:hAnsi="Calibri"/>
              </w:rPr>
            </w:pPr>
            <w:r>
              <w:rPr>
                <w:rFonts w:ascii="Calibri" w:hAnsi="Calibri"/>
              </w:rPr>
              <w:t>Performance Rating 3-4</w:t>
            </w:r>
          </w:p>
        </w:tc>
        <w:tc>
          <w:tcPr>
            <w:tcW w:w="971" w:type="dxa"/>
          </w:tcPr>
          <w:p w14:paraId="12491E34"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581</w:t>
            </w:r>
          </w:p>
        </w:tc>
        <w:tc>
          <w:tcPr>
            <w:tcW w:w="1098" w:type="dxa"/>
            <w:vAlign w:val="center"/>
          </w:tcPr>
          <w:p w14:paraId="1A1867F7"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0.99</w:t>
            </w:r>
          </w:p>
        </w:tc>
        <w:tc>
          <w:tcPr>
            <w:tcW w:w="1098" w:type="dxa"/>
            <w:vAlign w:val="center"/>
          </w:tcPr>
          <w:p w14:paraId="3559359D"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0.11</w:t>
            </w:r>
          </w:p>
        </w:tc>
        <w:tc>
          <w:tcPr>
            <w:tcW w:w="1098" w:type="dxa"/>
            <w:vAlign w:val="center"/>
          </w:tcPr>
          <w:p w14:paraId="3A6A9B6E" w14:textId="31B19486"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0.92</w:t>
            </w:r>
          </w:p>
        </w:tc>
        <w:tc>
          <w:tcPr>
            <w:tcW w:w="1098" w:type="dxa"/>
            <w:vAlign w:val="center"/>
          </w:tcPr>
          <w:p w14:paraId="26D9AB2C" w14:textId="5FDDDADF"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0.97</w:t>
            </w:r>
          </w:p>
        </w:tc>
        <w:tc>
          <w:tcPr>
            <w:tcW w:w="1098" w:type="dxa"/>
            <w:vAlign w:val="center"/>
          </w:tcPr>
          <w:p w14:paraId="07887328" w14:textId="11A0338E"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1.03</w:t>
            </w:r>
          </w:p>
        </w:tc>
      </w:tr>
      <w:tr w:rsidR="009A5DBD" w14:paraId="6AE8C98F" w14:textId="77777777" w:rsidTr="009A5DBD">
        <w:trPr>
          <w:trHeight w:val="255"/>
        </w:trPr>
        <w:tc>
          <w:tcPr>
            <w:tcW w:w="2714" w:type="dxa"/>
          </w:tcPr>
          <w:p w14:paraId="442A49D6" w14:textId="77777777" w:rsidR="009A5DBD" w:rsidRDefault="009A5DBD" w:rsidP="009A5DBD">
            <w:pPr>
              <w:keepNext/>
              <w:keepLines/>
              <w:autoSpaceDE w:val="0"/>
              <w:autoSpaceDN w:val="0"/>
              <w:adjustRightInd w:val="0"/>
              <w:rPr>
                <w:rFonts w:ascii="Calibri" w:hAnsi="Calibri"/>
              </w:rPr>
            </w:pPr>
            <w:r>
              <w:rPr>
                <w:rFonts w:ascii="Calibri" w:hAnsi="Calibri"/>
              </w:rPr>
              <w:t>Performance Rating 5-10</w:t>
            </w:r>
          </w:p>
        </w:tc>
        <w:tc>
          <w:tcPr>
            <w:tcW w:w="971" w:type="dxa"/>
          </w:tcPr>
          <w:p w14:paraId="255F7D65"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179</w:t>
            </w:r>
          </w:p>
        </w:tc>
        <w:tc>
          <w:tcPr>
            <w:tcW w:w="1098" w:type="dxa"/>
            <w:vAlign w:val="center"/>
          </w:tcPr>
          <w:p w14:paraId="5B5A5FAF"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0.98</w:t>
            </w:r>
          </w:p>
        </w:tc>
        <w:tc>
          <w:tcPr>
            <w:tcW w:w="1098" w:type="dxa"/>
            <w:vAlign w:val="center"/>
          </w:tcPr>
          <w:p w14:paraId="3515AE2B" w14:textId="77777777"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0.11</w:t>
            </w:r>
          </w:p>
        </w:tc>
        <w:tc>
          <w:tcPr>
            <w:tcW w:w="1098" w:type="dxa"/>
            <w:vAlign w:val="center"/>
          </w:tcPr>
          <w:p w14:paraId="1BC76930" w14:textId="2D011B80"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0.91</w:t>
            </w:r>
          </w:p>
        </w:tc>
        <w:tc>
          <w:tcPr>
            <w:tcW w:w="1098" w:type="dxa"/>
            <w:vAlign w:val="center"/>
          </w:tcPr>
          <w:p w14:paraId="4C1B0771" w14:textId="01278863"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0.95</w:t>
            </w:r>
          </w:p>
        </w:tc>
        <w:tc>
          <w:tcPr>
            <w:tcW w:w="1098" w:type="dxa"/>
            <w:vAlign w:val="center"/>
          </w:tcPr>
          <w:p w14:paraId="43F94BF3" w14:textId="1A0E8BEA" w:rsidR="009A5DBD" w:rsidRPr="003D197A" w:rsidRDefault="009A5DBD" w:rsidP="009A5DBD">
            <w:pPr>
              <w:keepNext/>
              <w:keepLines/>
              <w:autoSpaceDE w:val="0"/>
              <w:autoSpaceDN w:val="0"/>
              <w:adjustRightInd w:val="0"/>
              <w:jc w:val="center"/>
              <w:rPr>
                <w:rFonts w:ascii="Calibri" w:hAnsi="Calibri"/>
                <w:color w:val="0070C0"/>
              </w:rPr>
            </w:pPr>
            <w:r w:rsidRPr="003D197A">
              <w:rPr>
                <w:rFonts w:ascii="Calibri" w:hAnsi="Calibri"/>
                <w:color w:val="0070C0"/>
              </w:rPr>
              <w:t>1.01</w:t>
            </w:r>
          </w:p>
        </w:tc>
      </w:tr>
    </w:tbl>
    <w:p w14:paraId="7F895AB9" w14:textId="77777777" w:rsidR="007C44A8" w:rsidRPr="00092566" w:rsidRDefault="007C44A8" w:rsidP="007C44A8">
      <w:pPr>
        <w:autoSpaceDE w:val="0"/>
        <w:autoSpaceDN w:val="0"/>
        <w:adjustRightInd w:val="0"/>
        <w:spacing w:after="0" w:line="240" w:lineRule="auto"/>
        <w:rPr>
          <w:rFonts w:cstheme="minorHAnsi"/>
          <w:bCs/>
        </w:rPr>
      </w:pPr>
    </w:p>
    <w:p w14:paraId="3234C916" w14:textId="35781261" w:rsidR="007C44A8" w:rsidRPr="00FE037D" w:rsidRDefault="007C44A8" w:rsidP="007C44A8">
      <w:pPr>
        <w:autoSpaceDE w:val="0"/>
        <w:autoSpaceDN w:val="0"/>
        <w:adjustRightInd w:val="0"/>
        <w:spacing w:after="0" w:line="240" w:lineRule="auto"/>
        <w:rPr>
          <w:rFonts w:cstheme="minorHAnsi"/>
          <w:b/>
          <w:bCs/>
          <w:color w:val="0070C0"/>
        </w:rPr>
      </w:pPr>
      <w:r>
        <w:rPr>
          <w:rFonts w:cstheme="minorHAnsi"/>
          <w:b/>
          <w:bCs/>
        </w:rPr>
        <w:lastRenderedPageBreak/>
        <w:t>2b1.</w:t>
      </w:r>
      <w:r w:rsidRPr="00A25024">
        <w:rPr>
          <w:rFonts w:cstheme="minorHAnsi"/>
          <w:b/>
          <w:bCs/>
        </w:rPr>
        <w:t>4. What is your interpretation of the results in terms of demonstrating validity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r w:rsidRPr="00FE037D">
        <w:rPr>
          <w:rFonts w:cstheme="minorHAnsi"/>
          <w:b/>
          <w:bCs/>
          <w:color w:val="0070C0"/>
        </w:rPr>
        <w:t>Face Validity</w:t>
      </w:r>
    </w:p>
    <w:p w14:paraId="2E131B06" w14:textId="77777777" w:rsidR="007C44A8" w:rsidRPr="00FE037D" w:rsidRDefault="007C44A8" w:rsidP="007C44A8">
      <w:pPr>
        <w:autoSpaceDE w:val="0"/>
        <w:autoSpaceDN w:val="0"/>
        <w:adjustRightInd w:val="0"/>
        <w:spacing w:after="0" w:line="240" w:lineRule="auto"/>
        <w:rPr>
          <w:rFonts w:cstheme="minorHAnsi"/>
          <w:bCs/>
          <w:color w:val="0070C0"/>
        </w:rPr>
      </w:pPr>
      <w:r w:rsidRPr="00FE037D">
        <w:rPr>
          <w:rFonts w:cstheme="minorHAnsi"/>
          <w:bCs/>
          <w:color w:val="0070C0"/>
        </w:rPr>
        <w:t xml:space="preserve">This measure was assessed by a group of experts. Out of </w:t>
      </w:r>
      <w:r w:rsidRPr="00C45F04">
        <w:rPr>
          <w:rFonts w:cstheme="minorHAnsi"/>
          <w:bCs/>
          <w:color w:val="0070C0"/>
        </w:rPr>
        <w:t>9</w:t>
      </w:r>
      <w:r w:rsidRPr="00FE037D">
        <w:rPr>
          <w:rFonts w:cstheme="minorHAnsi"/>
          <w:bCs/>
          <w:color w:val="0070C0"/>
        </w:rPr>
        <w:t xml:space="preserve"> respondents to the survey, </w:t>
      </w:r>
      <w:r>
        <w:rPr>
          <w:rFonts w:cstheme="minorHAnsi"/>
          <w:bCs/>
          <w:color w:val="0070C0"/>
        </w:rPr>
        <w:t>all 9</w:t>
      </w:r>
      <w:r w:rsidRPr="00C45F04">
        <w:rPr>
          <w:rFonts w:cstheme="minorHAnsi"/>
          <w:bCs/>
          <w:color w:val="0070C0"/>
        </w:rPr>
        <w:t xml:space="preserve"> (100%)</w:t>
      </w:r>
      <w:r>
        <w:rPr>
          <w:rFonts w:cstheme="minorHAnsi"/>
          <w:bCs/>
          <w:color w:val="0070C0"/>
        </w:rPr>
        <w:t xml:space="preserve"> agreed that each of the measure specifications helps the measure capture clinician cost performance as intended, and 8 (89%) agreed that the scores from the measure, as currently specified, provide an accurate reflection of clinician cost effectiveness. This is furthermore reflected in an overall mean response rating of 5.4 out of 6, indicating a high level of agreement with each of the key measure components. Altogether, these survey results and expert clinician input demonstrate the high face validity of the </w:t>
      </w:r>
      <w:r w:rsidRPr="00CB68C9">
        <w:rPr>
          <w:rFonts w:cstheme="minorHAnsi"/>
          <w:bCs/>
          <w:color w:val="0070C0"/>
        </w:rPr>
        <w:t>Non-Emergent CABG</w:t>
      </w:r>
      <w:r>
        <w:rPr>
          <w:rFonts w:cstheme="minorHAnsi"/>
          <w:bCs/>
          <w:color w:val="0070C0"/>
        </w:rPr>
        <w:t xml:space="preserve"> Measure.</w:t>
      </w:r>
    </w:p>
    <w:p w14:paraId="2E007A57" w14:textId="77777777" w:rsidR="007C44A8" w:rsidRPr="00FE037D" w:rsidRDefault="007C44A8" w:rsidP="007C44A8">
      <w:pPr>
        <w:autoSpaceDE w:val="0"/>
        <w:autoSpaceDN w:val="0"/>
        <w:adjustRightInd w:val="0"/>
        <w:spacing w:after="0" w:line="240" w:lineRule="auto"/>
        <w:rPr>
          <w:rFonts w:cstheme="minorHAnsi"/>
          <w:bCs/>
          <w:color w:val="0070C0"/>
        </w:rPr>
      </w:pPr>
    </w:p>
    <w:p w14:paraId="6362282E" w14:textId="77777777" w:rsidR="007C44A8" w:rsidRDefault="007C44A8" w:rsidP="007C44A8">
      <w:pPr>
        <w:autoSpaceDE w:val="0"/>
        <w:autoSpaceDN w:val="0"/>
        <w:adjustRightInd w:val="0"/>
        <w:spacing w:after="0" w:line="240" w:lineRule="auto"/>
        <w:rPr>
          <w:rFonts w:cstheme="minorHAnsi"/>
          <w:b/>
          <w:bCs/>
          <w:color w:val="0070C0"/>
        </w:rPr>
      </w:pPr>
      <w:r w:rsidRPr="00FE037D">
        <w:rPr>
          <w:rFonts w:cstheme="minorHAnsi"/>
          <w:b/>
          <w:bCs/>
          <w:color w:val="0070C0"/>
        </w:rPr>
        <w:t>Empirical Validity</w:t>
      </w:r>
    </w:p>
    <w:p w14:paraId="47AC5EFA" w14:textId="77777777" w:rsidR="007C44A8" w:rsidRDefault="007C44A8" w:rsidP="007C44A8">
      <w:pPr>
        <w:autoSpaceDE w:val="0"/>
        <w:autoSpaceDN w:val="0"/>
        <w:adjustRightInd w:val="0"/>
        <w:spacing w:after="0" w:line="240" w:lineRule="auto"/>
        <w:rPr>
          <w:rFonts w:cstheme="minorHAnsi"/>
          <w:bCs/>
          <w:color w:val="0070C0"/>
        </w:rPr>
      </w:pPr>
      <w:r>
        <w:rPr>
          <w:rFonts w:cstheme="minorHAnsi"/>
          <w:bCs/>
          <w:color w:val="0070C0"/>
        </w:rPr>
        <w:t xml:space="preserve">As expected, provider cost scores for the </w:t>
      </w:r>
      <w:r w:rsidRPr="00CB68C9">
        <w:rPr>
          <w:rFonts w:cstheme="minorHAnsi"/>
          <w:bCs/>
          <w:color w:val="0070C0"/>
        </w:rPr>
        <w:t>Non-Emergent CABG</w:t>
      </w:r>
      <w:r>
        <w:rPr>
          <w:rFonts w:cstheme="minorHAnsi"/>
          <w:bCs/>
          <w:color w:val="0070C0"/>
        </w:rPr>
        <w:t xml:space="preserve"> Measure decrease (i.e., cost performance improves) with increases in MSPB Hospital Measure performance ratings. For example, in Table 5, as MSPB performance ratings increase (from 0 to 5-10), the O/E ratios in the Mean column decrease from </w:t>
      </w:r>
      <w:r w:rsidRPr="004F7236">
        <w:rPr>
          <w:rFonts w:cstheme="minorHAnsi"/>
          <w:bCs/>
          <w:color w:val="0070C0"/>
        </w:rPr>
        <w:t>1.03 to 0.98</w:t>
      </w:r>
      <w:r>
        <w:rPr>
          <w:rFonts w:cstheme="minorHAnsi"/>
          <w:bCs/>
          <w:color w:val="0070C0"/>
        </w:rPr>
        <w:t xml:space="preserve">, indicating a consistent improvement in </w:t>
      </w:r>
      <w:r w:rsidRPr="00CB68C9">
        <w:rPr>
          <w:rFonts w:cstheme="minorHAnsi"/>
          <w:bCs/>
          <w:color w:val="0070C0"/>
        </w:rPr>
        <w:t>Non-Emergent CABG</w:t>
      </w:r>
      <w:r>
        <w:rPr>
          <w:rFonts w:cstheme="minorHAnsi"/>
          <w:bCs/>
          <w:color w:val="0070C0"/>
        </w:rPr>
        <w:t xml:space="preserve"> Measure performance as well. These results provide meaningful external validation of the </w:t>
      </w:r>
      <w:r w:rsidRPr="00CB68C9">
        <w:rPr>
          <w:rFonts w:cstheme="minorHAnsi"/>
          <w:bCs/>
          <w:color w:val="0070C0"/>
        </w:rPr>
        <w:t>Non-Emergent CABG</w:t>
      </w:r>
      <w:r>
        <w:rPr>
          <w:rFonts w:cstheme="minorHAnsi"/>
          <w:bCs/>
          <w:color w:val="0070C0"/>
        </w:rPr>
        <w:t xml:space="preserve"> Measure, and evidence that the measure can accurately distinguish between good and poor cost performance.</w:t>
      </w:r>
    </w:p>
    <w:p w14:paraId="0CABCFE0" w14:textId="41A65A9D" w:rsidR="008A403A" w:rsidRPr="00A25024" w:rsidRDefault="0000159A" w:rsidP="00DB3627">
      <w:pPr>
        <w:autoSpaceDE w:val="0"/>
        <w:autoSpaceDN w:val="0"/>
        <w:adjustRightInd w:val="0"/>
        <w:spacing w:after="0" w:line="240" w:lineRule="auto"/>
        <w:rPr>
          <w:rFonts w:cstheme="minorHAnsi"/>
          <w:bCs/>
        </w:rPr>
      </w:pPr>
      <w:r>
        <w:rPr>
          <w:rFonts w:cstheme="minorHAnsi"/>
          <w:bCs/>
        </w:rPr>
        <w:t>__________</w:t>
      </w:r>
      <w:r w:rsidR="00483E94">
        <w:rPr>
          <w:rFonts w:cstheme="minorHAnsi"/>
          <w:bCs/>
        </w:rPr>
        <w:t>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C67069">
        <w:rPr>
          <w:rFonts w:cstheme="minorHAnsi"/>
          <w:b/>
          <w:bCs/>
          <w:i/>
        </w:rPr>
        <w:t xml:space="preserve">skip </w:t>
      </w:r>
      <w:r w:rsidR="008A4C13" w:rsidRPr="00C67069">
        <w:rPr>
          <w:rFonts w:cstheme="minorHAnsi"/>
          <w:b/>
          <w:bCs/>
          <w:i/>
        </w:rPr>
        <w:t xml:space="preserve">to </w:t>
      </w:r>
      <w:r w:rsidR="00BE592D" w:rsidRPr="00C67069">
        <w:rPr>
          <w:rFonts w:cstheme="minorHAnsi"/>
          <w:b/>
          <w:bCs/>
          <w:i/>
        </w:rPr>
        <w:t xml:space="preserve">section </w:t>
      </w:r>
      <w:hyperlink w:anchor="section2b4" w:history="1">
        <w:r w:rsidR="00483E94" w:rsidRPr="00C67069">
          <w:rPr>
            <w:rStyle w:val="Hyperlink"/>
            <w:rFonts w:cstheme="minorHAnsi"/>
            <w:b/>
            <w:bCs/>
            <w:i/>
          </w:rPr>
          <w:t>2b</w:t>
        </w:r>
        <w:r w:rsidR="00565946" w:rsidRPr="00C67069">
          <w:rPr>
            <w:rStyle w:val="Hyperlink"/>
            <w:rFonts w:cstheme="minorHAnsi"/>
            <w:b/>
            <w:bCs/>
            <w:i/>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25404ABE" w14:textId="670578C2" w:rsidR="000928F3" w:rsidRPr="00ED722D" w:rsidRDefault="00533FA7" w:rsidP="000928F3">
      <w:pPr>
        <w:autoSpaceDE w:val="0"/>
        <w:autoSpaceDN w:val="0"/>
        <w:adjustRightInd w:val="0"/>
        <w:spacing w:after="0" w:line="240" w:lineRule="auto"/>
        <w:rPr>
          <w:rFonts w:cstheme="minorHAnsi"/>
          <w:bCs/>
          <w:color w:val="0070C0"/>
        </w:rPr>
      </w:pPr>
      <w:bookmarkStart w:id="11" w:name="_Hlk532421737"/>
      <w:r w:rsidRPr="00C67069">
        <w:rPr>
          <w:rFonts w:cstheme="minorHAnsi"/>
          <w:bCs/>
          <w:color w:val="0070C0"/>
        </w:rPr>
        <w:t xml:space="preserve">Exclusions are used in the </w:t>
      </w:r>
      <w:r w:rsidR="00A910B4">
        <w:rPr>
          <w:rFonts w:cstheme="minorHAnsi"/>
          <w:bCs/>
          <w:color w:val="0070C0"/>
        </w:rPr>
        <w:t>Non-Emergent CABG</w:t>
      </w:r>
      <w:r w:rsidRPr="00C67069">
        <w:rPr>
          <w:rFonts w:cstheme="minorHAnsi"/>
          <w:bCs/>
          <w:color w:val="0070C0"/>
        </w:rPr>
        <w:t xml:space="preserve"> </w:t>
      </w:r>
      <w:bookmarkEnd w:id="11"/>
      <w:r w:rsidR="00A910B4">
        <w:rPr>
          <w:rFonts w:cstheme="minorHAnsi"/>
          <w:bCs/>
          <w:color w:val="0070C0"/>
        </w:rPr>
        <w:t>M</w:t>
      </w:r>
      <w:r w:rsidRPr="00C67069">
        <w:rPr>
          <w:rFonts w:cstheme="minorHAnsi"/>
          <w:bCs/>
          <w:color w:val="0070C0"/>
        </w:rPr>
        <w:t xml:space="preserve">easure to ensure a homogenous </w:t>
      </w:r>
      <w:r w:rsidR="00DD28D3">
        <w:rPr>
          <w:rFonts w:cstheme="minorHAnsi"/>
          <w:bCs/>
          <w:color w:val="0070C0"/>
        </w:rPr>
        <w:t xml:space="preserve">and comparable </w:t>
      </w:r>
      <w:r w:rsidRPr="00C67069">
        <w:rPr>
          <w:rFonts w:cstheme="minorHAnsi"/>
          <w:bCs/>
          <w:color w:val="0070C0"/>
        </w:rPr>
        <w:t>patient population within</w:t>
      </w:r>
      <w:r w:rsidRPr="00C67069">
        <w:rPr>
          <w:color w:val="0070C0"/>
        </w:rPr>
        <w:t xml:space="preserve"> the measure</w:t>
      </w:r>
      <w:r w:rsidR="00DD28D3">
        <w:rPr>
          <w:color w:val="0070C0"/>
        </w:rPr>
        <w:t>’s</w:t>
      </w:r>
      <w:r w:rsidRPr="00C67069">
        <w:rPr>
          <w:color w:val="0070C0"/>
        </w:rPr>
        <w:t xml:space="preserve"> focus on </w:t>
      </w:r>
      <w:r w:rsidR="00A910B4">
        <w:rPr>
          <w:rFonts w:cstheme="minorHAnsi"/>
          <w:bCs/>
          <w:color w:val="0070C0"/>
        </w:rPr>
        <w:t>non-emergent CABG procedures</w:t>
      </w:r>
      <w:r w:rsidRPr="00C67069">
        <w:rPr>
          <w:color w:val="0070C0"/>
        </w:rPr>
        <w:t xml:space="preserve">. </w:t>
      </w:r>
      <w:r w:rsidR="00ED722D" w:rsidRPr="00C67069">
        <w:rPr>
          <w:rFonts w:cstheme="minorHAnsi"/>
          <w:bCs/>
          <w:color w:val="0070C0"/>
        </w:rPr>
        <w:t xml:space="preserve">These exclusions </w:t>
      </w:r>
      <w:r w:rsidR="00ED722D">
        <w:rPr>
          <w:rFonts w:cstheme="minorHAnsi"/>
          <w:bCs/>
          <w:color w:val="0070C0"/>
        </w:rPr>
        <w:t>focus on removing patients where fair comparisons cannot be made across providers, preventing potential threats to measure validity and ensuring</w:t>
      </w:r>
      <w:r w:rsidR="00ED722D" w:rsidRPr="00C67069">
        <w:rPr>
          <w:rFonts w:cstheme="minorHAnsi"/>
          <w:bCs/>
          <w:color w:val="0070C0"/>
        </w:rPr>
        <w:t xml:space="preserve"> that episodes provide meaningful infor</w:t>
      </w:r>
      <w:r w:rsidR="00ED722D">
        <w:rPr>
          <w:rFonts w:cstheme="minorHAnsi"/>
          <w:bCs/>
          <w:color w:val="0070C0"/>
        </w:rPr>
        <w:t xml:space="preserve">mation to attributed clinicians. </w:t>
      </w:r>
      <w:r w:rsidR="000928F3" w:rsidRPr="00ED722D">
        <w:rPr>
          <w:rFonts w:cstheme="minorHAnsi"/>
          <w:bCs/>
          <w:color w:val="0070C0"/>
        </w:rPr>
        <w:t>These exclusions are listed below:</w:t>
      </w:r>
    </w:p>
    <w:p w14:paraId="21CFF518" w14:textId="6DD38295" w:rsidR="00533FA7" w:rsidRPr="00ED722D" w:rsidRDefault="00533FA7" w:rsidP="00211B1B">
      <w:pPr>
        <w:pStyle w:val="ListParagraph"/>
        <w:numPr>
          <w:ilvl w:val="0"/>
          <w:numId w:val="13"/>
        </w:numPr>
        <w:autoSpaceDE w:val="0"/>
        <w:autoSpaceDN w:val="0"/>
        <w:adjustRightInd w:val="0"/>
        <w:spacing w:after="0" w:line="240" w:lineRule="auto"/>
        <w:ind w:left="720"/>
        <w:rPr>
          <w:rFonts w:cstheme="minorHAnsi"/>
          <w:bCs/>
          <w:color w:val="0070C0"/>
        </w:rPr>
      </w:pPr>
      <w:r w:rsidRPr="00ED722D">
        <w:rPr>
          <w:rFonts w:cstheme="minorHAnsi"/>
          <w:bCs/>
          <w:color w:val="0070C0"/>
        </w:rPr>
        <w:t xml:space="preserve">Episodes where </w:t>
      </w:r>
      <w:r w:rsidR="00A10EA6" w:rsidRPr="00ED722D">
        <w:rPr>
          <w:rFonts w:cstheme="minorHAnsi"/>
          <w:bCs/>
          <w:color w:val="0070C0"/>
        </w:rPr>
        <w:t>patient</w:t>
      </w:r>
      <w:r w:rsidRPr="00ED722D">
        <w:rPr>
          <w:rFonts w:cstheme="minorHAnsi"/>
          <w:bCs/>
          <w:color w:val="0070C0"/>
        </w:rPr>
        <w:t xml:space="preserve"> death date occurred before the episode end. </w:t>
      </w:r>
    </w:p>
    <w:p w14:paraId="680E5EFE" w14:textId="497586FF" w:rsidR="00E64DB6" w:rsidRPr="00ED722D" w:rsidRDefault="00E64DB6" w:rsidP="00211B1B">
      <w:pPr>
        <w:pStyle w:val="ListParagraph"/>
        <w:numPr>
          <w:ilvl w:val="0"/>
          <w:numId w:val="5"/>
        </w:numPr>
        <w:autoSpaceDE w:val="0"/>
        <w:autoSpaceDN w:val="0"/>
        <w:adjustRightInd w:val="0"/>
        <w:spacing w:after="0" w:line="240" w:lineRule="auto"/>
        <w:rPr>
          <w:rFonts w:cstheme="minorHAnsi"/>
          <w:bCs/>
          <w:color w:val="0070C0"/>
        </w:rPr>
      </w:pPr>
      <w:r w:rsidRPr="00ED722D">
        <w:rPr>
          <w:rFonts w:cstheme="minorHAnsi"/>
          <w:bCs/>
          <w:color w:val="0070C0"/>
        </w:rPr>
        <w:t xml:space="preserve">Episodes where the trigger claim was not in an acute </w:t>
      </w:r>
      <w:r w:rsidR="00820C1C" w:rsidRPr="00ED722D">
        <w:rPr>
          <w:rFonts w:cstheme="minorHAnsi"/>
          <w:bCs/>
          <w:color w:val="0070C0"/>
        </w:rPr>
        <w:t xml:space="preserve">IP </w:t>
      </w:r>
      <w:r w:rsidRPr="00ED722D">
        <w:rPr>
          <w:rFonts w:cstheme="minorHAnsi"/>
          <w:bCs/>
          <w:color w:val="0070C0"/>
        </w:rPr>
        <w:t xml:space="preserve">hospital </w:t>
      </w:r>
      <w:r w:rsidR="00820C1C" w:rsidRPr="00ED722D">
        <w:rPr>
          <w:rFonts w:cstheme="minorHAnsi"/>
          <w:bCs/>
          <w:color w:val="0070C0"/>
        </w:rPr>
        <w:t xml:space="preserve">setting </w:t>
      </w:r>
      <w:r w:rsidRPr="00ED722D">
        <w:rPr>
          <w:rFonts w:cstheme="minorHAnsi"/>
          <w:bCs/>
          <w:color w:val="0070C0"/>
        </w:rPr>
        <w:t>as defined by subsection (d) or in an acute hospital in Maryland.</w:t>
      </w:r>
      <w:r w:rsidRPr="00ED722D">
        <w:rPr>
          <w:rStyle w:val="FootnoteReference"/>
          <w:bCs/>
          <w:color w:val="0070C0"/>
        </w:rPr>
        <w:footnoteReference w:id="6"/>
      </w:r>
    </w:p>
    <w:p w14:paraId="0A5F33DB" w14:textId="0923820E" w:rsidR="00E64DB6" w:rsidRPr="00ED722D" w:rsidRDefault="00E64DB6" w:rsidP="00211B1B">
      <w:pPr>
        <w:pStyle w:val="ListParagraph"/>
        <w:numPr>
          <w:ilvl w:val="0"/>
          <w:numId w:val="5"/>
        </w:numPr>
        <w:autoSpaceDE w:val="0"/>
        <w:autoSpaceDN w:val="0"/>
        <w:adjustRightInd w:val="0"/>
        <w:spacing w:after="0" w:line="240" w:lineRule="auto"/>
        <w:rPr>
          <w:rFonts w:cstheme="minorHAnsi"/>
          <w:bCs/>
          <w:color w:val="0070C0"/>
        </w:rPr>
      </w:pPr>
      <w:r w:rsidRPr="00ED722D">
        <w:rPr>
          <w:rFonts w:cstheme="minorHAnsi"/>
          <w:bCs/>
          <w:color w:val="0070C0"/>
        </w:rPr>
        <w:t>Episodes where the inpatient stay did not have a relevant MS-DRG code.</w:t>
      </w:r>
    </w:p>
    <w:p w14:paraId="2B52DECE" w14:textId="46F918A0" w:rsidR="00820C1C" w:rsidRPr="00ED722D" w:rsidRDefault="00820C1C" w:rsidP="00211B1B">
      <w:pPr>
        <w:pStyle w:val="ListParagraph"/>
        <w:numPr>
          <w:ilvl w:val="0"/>
          <w:numId w:val="3"/>
        </w:numPr>
        <w:autoSpaceDE w:val="0"/>
        <w:autoSpaceDN w:val="0"/>
        <w:adjustRightInd w:val="0"/>
        <w:spacing w:after="0" w:line="240" w:lineRule="auto"/>
        <w:rPr>
          <w:rFonts w:cstheme="minorHAnsi"/>
          <w:bCs/>
          <w:color w:val="0070C0"/>
        </w:rPr>
      </w:pPr>
      <w:r w:rsidRPr="00ED722D">
        <w:rPr>
          <w:rFonts w:cstheme="minorHAnsi"/>
          <w:bCs/>
          <w:color w:val="0070C0"/>
        </w:rPr>
        <w:t>Episodes that included an emergent CABG procedure.</w:t>
      </w:r>
    </w:p>
    <w:p w14:paraId="253A4F8B" w14:textId="77777777" w:rsidR="00820C1C" w:rsidRPr="00ED722D" w:rsidRDefault="00820C1C" w:rsidP="00211B1B">
      <w:pPr>
        <w:pStyle w:val="ListParagraph"/>
        <w:numPr>
          <w:ilvl w:val="0"/>
          <w:numId w:val="3"/>
        </w:numPr>
        <w:autoSpaceDE w:val="0"/>
        <w:autoSpaceDN w:val="0"/>
        <w:adjustRightInd w:val="0"/>
        <w:spacing w:after="0" w:line="240" w:lineRule="auto"/>
        <w:rPr>
          <w:rFonts w:cstheme="minorHAnsi"/>
          <w:bCs/>
          <w:color w:val="0070C0"/>
        </w:rPr>
      </w:pPr>
      <w:r w:rsidRPr="00ED722D">
        <w:rPr>
          <w:rFonts w:cstheme="minorHAnsi"/>
          <w:bCs/>
          <w:color w:val="0070C0"/>
        </w:rPr>
        <w:t>Episodes that included a concurrent cox maze procedure.</w:t>
      </w:r>
    </w:p>
    <w:p w14:paraId="490A3EA5" w14:textId="4FFF287F" w:rsidR="00820C1C" w:rsidRPr="00ED722D" w:rsidRDefault="00820C1C" w:rsidP="00211B1B">
      <w:pPr>
        <w:pStyle w:val="ListParagraph"/>
        <w:numPr>
          <w:ilvl w:val="0"/>
          <w:numId w:val="3"/>
        </w:numPr>
        <w:autoSpaceDE w:val="0"/>
        <w:autoSpaceDN w:val="0"/>
        <w:adjustRightInd w:val="0"/>
        <w:spacing w:after="0" w:line="240" w:lineRule="auto"/>
        <w:rPr>
          <w:rFonts w:cstheme="minorHAnsi"/>
          <w:bCs/>
          <w:color w:val="0070C0"/>
        </w:rPr>
      </w:pPr>
      <w:r w:rsidRPr="00ED722D">
        <w:rPr>
          <w:rFonts w:cstheme="minorHAnsi"/>
          <w:bCs/>
          <w:color w:val="0070C0"/>
        </w:rPr>
        <w:t>Episodes in which the patient was on dialysis for end-stage renal disease</w:t>
      </w:r>
      <w:r w:rsidR="00C04EB1" w:rsidRPr="00ED722D">
        <w:rPr>
          <w:rFonts w:cstheme="minorHAnsi"/>
          <w:bCs/>
          <w:color w:val="0070C0"/>
        </w:rPr>
        <w:t xml:space="preserve"> (ESRD)</w:t>
      </w:r>
      <w:r w:rsidRPr="00ED722D">
        <w:rPr>
          <w:rFonts w:cstheme="minorHAnsi"/>
          <w:bCs/>
          <w:color w:val="0070C0"/>
        </w:rPr>
        <w:t>.</w:t>
      </w:r>
    </w:p>
    <w:p w14:paraId="29120DCB" w14:textId="77777777" w:rsidR="00820C1C" w:rsidRPr="00ED722D" w:rsidRDefault="00820C1C" w:rsidP="00211B1B">
      <w:pPr>
        <w:pStyle w:val="ListParagraph"/>
        <w:numPr>
          <w:ilvl w:val="0"/>
          <w:numId w:val="3"/>
        </w:numPr>
        <w:autoSpaceDE w:val="0"/>
        <w:autoSpaceDN w:val="0"/>
        <w:adjustRightInd w:val="0"/>
        <w:spacing w:after="0" w:line="240" w:lineRule="auto"/>
        <w:rPr>
          <w:rFonts w:cstheme="minorHAnsi"/>
          <w:bCs/>
          <w:color w:val="0070C0"/>
        </w:rPr>
      </w:pPr>
      <w:r w:rsidRPr="00ED722D">
        <w:rPr>
          <w:rFonts w:cstheme="minorHAnsi"/>
          <w:bCs/>
          <w:color w:val="0070C0"/>
        </w:rPr>
        <w:t>Episodes in which the patient was in shock prior to the CABG procedure.</w:t>
      </w:r>
    </w:p>
    <w:p w14:paraId="34A7F405" w14:textId="77777777" w:rsidR="00820C1C" w:rsidRPr="00ED722D" w:rsidRDefault="00820C1C" w:rsidP="00211B1B">
      <w:pPr>
        <w:pStyle w:val="ListParagraph"/>
        <w:numPr>
          <w:ilvl w:val="0"/>
          <w:numId w:val="3"/>
        </w:numPr>
        <w:autoSpaceDE w:val="0"/>
        <w:autoSpaceDN w:val="0"/>
        <w:adjustRightInd w:val="0"/>
        <w:spacing w:after="0" w:line="240" w:lineRule="auto"/>
        <w:rPr>
          <w:rFonts w:cstheme="minorHAnsi"/>
          <w:bCs/>
          <w:color w:val="0070C0"/>
        </w:rPr>
      </w:pPr>
      <w:r w:rsidRPr="00ED722D">
        <w:rPr>
          <w:rFonts w:cstheme="minorHAnsi"/>
          <w:bCs/>
          <w:color w:val="0070C0"/>
        </w:rPr>
        <w:t>Episodes that included a redo sternotomy.</w:t>
      </w:r>
    </w:p>
    <w:p w14:paraId="1C4074E2" w14:textId="70D5A5F8" w:rsidR="00533FA7" w:rsidRPr="00ED722D" w:rsidRDefault="00533FA7" w:rsidP="00211B1B">
      <w:pPr>
        <w:pStyle w:val="ListParagraph"/>
        <w:numPr>
          <w:ilvl w:val="0"/>
          <w:numId w:val="5"/>
        </w:numPr>
        <w:autoSpaceDE w:val="0"/>
        <w:autoSpaceDN w:val="0"/>
        <w:adjustRightInd w:val="0"/>
        <w:spacing w:after="0" w:line="240" w:lineRule="auto"/>
        <w:rPr>
          <w:rFonts w:cstheme="minorHAnsi"/>
          <w:bCs/>
          <w:color w:val="0070C0"/>
        </w:rPr>
      </w:pPr>
      <w:r w:rsidRPr="00ED722D">
        <w:rPr>
          <w:rFonts w:cstheme="minorHAnsi"/>
          <w:bCs/>
          <w:color w:val="0070C0"/>
        </w:rPr>
        <w:t>Episodes classified as outlier cases.</w:t>
      </w:r>
    </w:p>
    <w:p w14:paraId="1E590F49" w14:textId="77777777" w:rsidR="00D256C7" w:rsidRPr="00ED722D" w:rsidRDefault="00D256C7" w:rsidP="00533FA7">
      <w:pPr>
        <w:autoSpaceDE w:val="0"/>
        <w:autoSpaceDN w:val="0"/>
        <w:adjustRightInd w:val="0"/>
        <w:spacing w:after="0" w:line="240" w:lineRule="auto"/>
        <w:rPr>
          <w:rFonts w:cstheme="minorHAnsi"/>
          <w:bCs/>
          <w:color w:val="0070C0"/>
        </w:rPr>
      </w:pPr>
    </w:p>
    <w:p w14:paraId="6FD0CA54" w14:textId="5E3F6D2E" w:rsidR="00533FA7" w:rsidRDefault="00533FA7" w:rsidP="00533FA7">
      <w:pPr>
        <w:autoSpaceDE w:val="0"/>
        <w:autoSpaceDN w:val="0"/>
        <w:adjustRightInd w:val="0"/>
        <w:spacing w:after="0" w:line="240" w:lineRule="auto"/>
        <w:rPr>
          <w:rFonts w:cstheme="minorHAnsi"/>
          <w:bCs/>
          <w:color w:val="0070C0"/>
        </w:rPr>
      </w:pPr>
      <w:r w:rsidRPr="00ED722D">
        <w:rPr>
          <w:rFonts w:cstheme="minorHAnsi"/>
          <w:bCs/>
          <w:color w:val="0070C0"/>
        </w:rPr>
        <w:lastRenderedPageBreak/>
        <w:t>Further explanation and rationale for each of the measure exclusions above can be found in Section S.</w:t>
      </w:r>
      <w:r w:rsidR="00C67069" w:rsidRPr="00ED722D">
        <w:rPr>
          <w:rFonts w:cstheme="minorHAnsi"/>
          <w:bCs/>
          <w:color w:val="0070C0"/>
        </w:rPr>
        <w:t>9.1</w:t>
      </w:r>
      <w:r w:rsidRPr="00ED722D">
        <w:rPr>
          <w:rFonts w:cstheme="minorHAnsi"/>
          <w:bCs/>
          <w:color w:val="0070C0"/>
        </w:rPr>
        <w:t xml:space="preserve"> of the Intent to Submit form</w:t>
      </w:r>
      <w:r w:rsidR="00D83E9F" w:rsidRPr="00E361E1">
        <w:rPr>
          <w:rFonts w:cstheme="minorHAnsi"/>
          <w:bCs/>
          <w:color w:val="0070C0"/>
        </w:rPr>
        <w:t>.</w:t>
      </w:r>
      <w:r w:rsidR="00D83E9F">
        <w:rPr>
          <w:rFonts w:cstheme="minorHAnsi"/>
          <w:bCs/>
          <w:color w:val="0070C0"/>
        </w:rPr>
        <w:t xml:space="preserve"> </w:t>
      </w:r>
      <w:r>
        <w:rPr>
          <w:rFonts w:cstheme="minorHAnsi"/>
          <w:bCs/>
          <w:color w:val="0070C0"/>
        </w:rPr>
        <w:t>Please also see Section 2b6 (</w:t>
      </w:r>
      <w:r>
        <w:rPr>
          <w:rFonts w:cstheme="minorHAnsi"/>
          <w:bCs/>
          <w:i/>
          <w:color w:val="0070C0"/>
        </w:rPr>
        <w:t>Missing Data Analysis a</w:t>
      </w:r>
      <w:r w:rsidRPr="007C05FD">
        <w:rPr>
          <w:rFonts w:cstheme="minorHAnsi"/>
          <w:bCs/>
          <w:i/>
          <w:color w:val="0070C0"/>
        </w:rPr>
        <w:t>nd Minimizing Bias</w:t>
      </w:r>
      <w:r>
        <w:rPr>
          <w:rFonts w:cstheme="minorHAnsi"/>
          <w:bCs/>
          <w:color w:val="0070C0"/>
        </w:rPr>
        <w:t>) of this testing form</w:t>
      </w:r>
      <w:r w:rsidRPr="007C05FD">
        <w:rPr>
          <w:rFonts w:cstheme="minorHAnsi"/>
          <w:bCs/>
          <w:color w:val="0070C0"/>
        </w:rPr>
        <w:t xml:space="preserve"> </w:t>
      </w:r>
      <w:r>
        <w:rPr>
          <w:rFonts w:cstheme="minorHAnsi"/>
          <w:bCs/>
          <w:color w:val="0070C0"/>
        </w:rPr>
        <w:t xml:space="preserve">for more information on exclusions implemented as part of data processing. </w:t>
      </w:r>
    </w:p>
    <w:p w14:paraId="37EEFC9D" w14:textId="77777777" w:rsidR="00533FA7" w:rsidRPr="007C05FD" w:rsidRDefault="00533FA7" w:rsidP="00533FA7">
      <w:pPr>
        <w:autoSpaceDE w:val="0"/>
        <w:autoSpaceDN w:val="0"/>
        <w:adjustRightInd w:val="0"/>
        <w:spacing w:after="0" w:line="240" w:lineRule="auto"/>
        <w:rPr>
          <w:rFonts w:cstheme="minorHAnsi"/>
          <w:bCs/>
          <w:color w:val="0070C0"/>
        </w:rPr>
      </w:pPr>
    </w:p>
    <w:p w14:paraId="665DF5DD" w14:textId="73D83BB9" w:rsidR="00533FA7" w:rsidRPr="00822918" w:rsidRDefault="00533FA7" w:rsidP="00533FA7">
      <w:pPr>
        <w:autoSpaceDE w:val="0"/>
        <w:autoSpaceDN w:val="0"/>
        <w:adjustRightInd w:val="0"/>
        <w:spacing w:after="0" w:line="240" w:lineRule="auto"/>
        <w:rPr>
          <w:rFonts w:cstheme="minorHAnsi"/>
          <w:bCs/>
          <w:color w:val="0070C0"/>
        </w:rPr>
      </w:pPr>
      <w:r>
        <w:rPr>
          <w:rFonts w:ascii="Calibri" w:hAnsi="Calibri"/>
          <w:color w:val="0070C0"/>
        </w:rPr>
        <w:t xml:space="preserve">Given the rationale for the exclusions </w:t>
      </w:r>
      <w:r w:rsidR="000928F3">
        <w:rPr>
          <w:rFonts w:ascii="Calibri" w:hAnsi="Calibri"/>
          <w:color w:val="0070C0"/>
        </w:rPr>
        <w:t>noted</w:t>
      </w:r>
      <w:r>
        <w:rPr>
          <w:rFonts w:ascii="Calibri" w:hAnsi="Calibri"/>
          <w:color w:val="0070C0"/>
        </w:rPr>
        <w:t xml:space="preserve"> above, we would expect these excluded episodes to have a different risk</w:t>
      </w:r>
      <w:r w:rsidR="000928F3">
        <w:rPr>
          <w:rFonts w:ascii="Calibri" w:hAnsi="Calibri"/>
          <w:color w:val="0070C0"/>
        </w:rPr>
        <w:t xml:space="preserve"> </w:t>
      </w:r>
      <w:r>
        <w:rPr>
          <w:rFonts w:ascii="Calibri" w:hAnsi="Calibri"/>
          <w:color w:val="0070C0"/>
        </w:rPr>
        <w:t xml:space="preserve">profile than the included episodes, such as a higher </w:t>
      </w:r>
      <w:r w:rsidR="000928F3">
        <w:rPr>
          <w:rFonts w:ascii="Calibri" w:hAnsi="Calibri"/>
          <w:color w:val="0070C0"/>
        </w:rPr>
        <w:t xml:space="preserve">or lower </w:t>
      </w:r>
      <w:r>
        <w:rPr>
          <w:rFonts w:ascii="Calibri" w:hAnsi="Calibri"/>
          <w:color w:val="0070C0"/>
        </w:rPr>
        <w:t xml:space="preserve">mean cost, or a different distribution of costs (e.g., a long tail of high-cost episodes). </w:t>
      </w:r>
      <w:r w:rsidR="00B42102">
        <w:rPr>
          <w:rFonts w:ascii="Calibri" w:hAnsi="Calibri"/>
          <w:color w:val="0070C0"/>
        </w:rPr>
        <w:t>To demonstrate this</w:t>
      </w:r>
      <w:r w:rsidR="00B42102" w:rsidRPr="00C67069">
        <w:rPr>
          <w:rFonts w:cstheme="minorHAnsi"/>
          <w:bCs/>
          <w:color w:val="0070C0"/>
        </w:rPr>
        <w:t xml:space="preserve">, we examined </w:t>
      </w:r>
      <w:r w:rsidR="00B42102">
        <w:rPr>
          <w:rFonts w:cstheme="minorHAnsi"/>
          <w:bCs/>
          <w:color w:val="0070C0"/>
        </w:rPr>
        <w:t>the distributions</w:t>
      </w:r>
      <w:r w:rsidR="00B42102" w:rsidRPr="00C67069">
        <w:rPr>
          <w:rFonts w:cstheme="minorHAnsi"/>
          <w:bCs/>
          <w:color w:val="0070C0"/>
        </w:rPr>
        <w:t xml:space="preserve"> of observed cost and ratio of observed over expected spending (calculated by applying existing risk factor coefficients to the excluded episodes)</w:t>
      </w:r>
      <w:r w:rsidR="00B42102">
        <w:rPr>
          <w:rFonts w:cstheme="minorHAnsi"/>
          <w:bCs/>
          <w:color w:val="0070C0"/>
        </w:rPr>
        <w:t xml:space="preserve"> for each excluded population</w:t>
      </w:r>
      <w:r w:rsidR="00B42102" w:rsidRPr="00C67069">
        <w:rPr>
          <w:rFonts w:cstheme="minorHAnsi"/>
          <w:bCs/>
          <w:color w:val="0070C0"/>
        </w:rPr>
        <w:t xml:space="preserve">. We then compared the cost characteristics of the excluded episodes to </w:t>
      </w:r>
      <w:r w:rsidR="00B42102">
        <w:rPr>
          <w:rFonts w:cstheme="minorHAnsi"/>
          <w:bCs/>
          <w:color w:val="0070C0"/>
        </w:rPr>
        <w:t xml:space="preserve">that </w:t>
      </w:r>
      <w:r w:rsidR="00B42102" w:rsidRPr="00C67069">
        <w:rPr>
          <w:rFonts w:cstheme="minorHAnsi"/>
          <w:bCs/>
          <w:color w:val="0070C0"/>
        </w:rPr>
        <w:t xml:space="preserve">of episodes included in </w:t>
      </w:r>
      <w:r w:rsidR="00B42102">
        <w:rPr>
          <w:rFonts w:cstheme="minorHAnsi"/>
          <w:bCs/>
          <w:color w:val="0070C0"/>
        </w:rPr>
        <w:t xml:space="preserve">the </w:t>
      </w:r>
      <w:r w:rsidR="00B42102" w:rsidRPr="00C67069">
        <w:rPr>
          <w:rFonts w:cstheme="minorHAnsi"/>
          <w:bCs/>
          <w:color w:val="0070C0"/>
        </w:rPr>
        <w:t>measure to assess the distinctness b</w:t>
      </w:r>
      <w:r w:rsidR="00B42102">
        <w:rPr>
          <w:rFonts w:cstheme="minorHAnsi"/>
          <w:bCs/>
          <w:color w:val="0070C0"/>
        </w:rPr>
        <w:t>etween the two patient cohorts.</w:t>
      </w:r>
    </w:p>
    <w:p w14:paraId="428AC532" w14:textId="77777777" w:rsidR="00533FA7" w:rsidRPr="00A25024" w:rsidRDefault="00533FA7"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2C33A3D" w14:textId="0388AA92" w:rsidR="00303FFC" w:rsidRPr="00AC3295" w:rsidRDefault="00303FFC" w:rsidP="00303FFC">
      <w:pPr>
        <w:autoSpaceDE w:val="0"/>
        <w:autoSpaceDN w:val="0"/>
        <w:adjustRightInd w:val="0"/>
        <w:spacing w:after="0" w:line="240" w:lineRule="auto"/>
        <w:rPr>
          <w:rFonts w:cstheme="minorHAnsi"/>
          <w:bCs/>
        </w:rPr>
      </w:pPr>
      <w:r w:rsidRPr="00FB4DA4">
        <w:rPr>
          <w:rFonts w:cstheme="minorHAnsi"/>
          <w:bCs/>
          <w:color w:val="0070C0"/>
        </w:rPr>
        <w:t xml:space="preserve">Table </w:t>
      </w:r>
      <w:r w:rsidR="00F22C36">
        <w:rPr>
          <w:rFonts w:cstheme="minorHAnsi"/>
          <w:bCs/>
          <w:color w:val="0070C0"/>
        </w:rPr>
        <w:t>6</w:t>
      </w:r>
      <w:r w:rsidRPr="00FB4DA4">
        <w:rPr>
          <w:rFonts w:cstheme="minorHAnsi"/>
          <w:bCs/>
          <w:color w:val="0070C0"/>
        </w:rPr>
        <w:t xml:space="preserve"> below presents</w:t>
      </w:r>
      <w:r w:rsidR="00FB4DA4">
        <w:rPr>
          <w:rFonts w:cstheme="minorHAnsi"/>
          <w:bCs/>
          <w:color w:val="0070C0"/>
        </w:rPr>
        <w:t xml:space="preserve"> observed cost statistics and observed to expected cost ratios </w:t>
      </w:r>
      <w:r w:rsidRPr="00FB4DA4">
        <w:rPr>
          <w:rFonts w:cstheme="minorHAnsi"/>
          <w:bCs/>
          <w:color w:val="0070C0"/>
        </w:rPr>
        <w:t xml:space="preserve">for the </w:t>
      </w:r>
      <w:r w:rsidR="00F61B65">
        <w:rPr>
          <w:rFonts w:cstheme="minorHAnsi"/>
          <w:bCs/>
          <w:color w:val="0070C0"/>
        </w:rPr>
        <w:t>Non-Emergent CABG M</w:t>
      </w:r>
      <w:r w:rsidRPr="00FB4DA4">
        <w:rPr>
          <w:rFonts w:cstheme="minorHAnsi"/>
          <w:bCs/>
          <w:color w:val="0070C0"/>
        </w:rPr>
        <w:t xml:space="preserve">easure exclusions. </w:t>
      </w:r>
      <w:r w:rsidR="00FB4DA4">
        <w:rPr>
          <w:rFonts w:cstheme="minorHAnsi"/>
          <w:bCs/>
          <w:color w:val="0070C0"/>
        </w:rPr>
        <w:t>C</w:t>
      </w:r>
      <w:r w:rsidRPr="00FB4DA4">
        <w:rPr>
          <w:rFonts w:cstheme="minorHAnsi"/>
          <w:bCs/>
          <w:color w:val="0070C0"/>
        </w:rPr>
        <w:t>ost statistics are also provided for the episodes included in the measure for comparison, with a 10 episode case minimum</w:t>
      </w:r>
      <w:r w:rsidR="00AB0A96" w:rsidRPr="00FB4DA4">
        <w:rPr>
          <w:rFonts w:cstheme="minorHAnsi"/>
          <w:bCs/>
          <w:color w:val="0070C0"/>
        </w:rPr>
        <w:t xml:space="preserve"> at the TIN and TIN-NPI levels</w:t>
      </w:r>
      <w:r w:rsidR="00FB4DA4">
        <w:rPr>
          <w:rFonts w:cstheme="minorHAnsi"/>
          <w:bCs/>
          <w:color w:val="0070C0"/>
        </w:rPr>
        <w:t>.</w:t>
      </w:r>
      <w:r w:rsidR="00AB0A96" w:rsidRPr="00FB4DA4">
        <w:rPr>
          <w:rFonts w:cstheme="minorHAnsi"/>
          <w:bCs/>
          <w:color w:val="0070C0"/>
        </w:rPr>
        <w:t xml:space="preserve"> </w:t>
      </w:r>
      <w:r w:rsidRPr="00FB4DA4">
        <w:rPr>
          <w:rFonts w:cstheme="minorHAnsi"/>
          <w:bCs/>
          <w:color w:val="0070C0"/>
        </w:rPr>
        <w:t>Full results can be seen in Appendix Table 2b2.2.</w:t>
      </w:r>
      <w:r>
        <w:rPr>
          <w:rFonts w:cstheme="minorHAnsi"/>
          <w:bCs/>
          <w:color w:val="0070C0"/>
        </w:rPr>
        <w:t xml:space="preserve"> </w:t>
      </w:r>
    </w:p>
    <w:p w14:paraId="769E21E7" w14:textId="77777777" w:rsidR="00303FFC" w:rsidRDefault="00303FFC" w:rsidP="00303FFC">
      <w:pPr>
        <w:autoSpaceDE w:val="0"/>
        <w:autoSpaceDN w:val="0"/>
        <w:adjustRightInd w:val="0"/>
        <w:spacing w:after="0" w:line="240" w:lineRule="auto"/>
        <w:jc w:val="center"/>
        <w:rPr>
          <w:rFonts w:cstheme="minorHAnsi"/>
          <w:b/>
          <w:bCs/>
        </w:rPr>
      </w:pPr>
    </w:p>
    <w:p w14:paraId="2B87A2C4" w14:textId="25E3A31A" w:rsidR="00303FFC" w:rsidRDefault="00303FFC" w:rsidP="00303FFC">
      <w:pPr>
        <w:keepNext/>
        <w:keepLines/>
        <w:autoSpaceDE w:val="0"/>
        <w:autoSpaceDN w:val="0"/>
        <w:adjustRightInd w:val="0"/>
        <w:spacing w:after="0" w:line="240" w:lineRule="auto"/>
        <w:jc w:val="center"/>
        <w:rPr>
          <w:rFonts w:cstheme="minorHAnsi"/>
          <w:bCs/>
        </w:rPr>
      </w:pPr>
      <w:r w:rsidRPr="003B178F">
        <w:rPr>
          <w:rFonts w:cstheme="minorHAnsi"/>
          <w:b/>
          <w:bCs/>
        </w:rPr>
        <w:t xml:space="preserve">Table </w:t>
      </w:r>
      <w:r w:rsidR="009A5DBD">
        <w:rPr>
          <w:rFonts w:cstheme="minorHAnsi"/>
          <w:b/>
          <w:bCs/>
        </w:rPr>
        <w:t>6.</w:t>
      </w:r>
      <w:r w:rsidRPr="006D3543">
        <w:rPr>
          <w:rFonts w:cstheme="minorHAnsi"/>
          <w:b/>
          <w:bCs/>
        </w:rPr>
        <w:t xml:space="preserve"> Cost Statistics for </w:t>
      </w:r>
      <w:r w:rsidR="003B178F">
        <w:rPr>
          <w:rFonts w:cstheme="minorHAnsi"/>
          <w:b/>
          <w:bCs/>
        </w:rPr>
        <w:t>the Non-Emergent CABG</w:t>
      </w:r>
      <w:r w:rsidR="00E361E1" w:rsidRPr="00E361E1">
        <w:rPr>
          <w:rFonts w:cstheme="minorHAnsi"/>
          <w:b/>
          <w:bCs/>
        </w:rPr>
        <w:t xml:space="preserve"> </w:t>
      </w:r>
      <w:r w:rsidRPr="006D3543">
        <w:rPr>
          <w:rFonts w:cstheme="minorHAnsi"/>
          <w:b/>
          <w:bCs/>
        </w:rPr>
        <w:t>Measure Exclusions</w:t>
      </w:r>
    </w:p>
    <w:tbl>
      <w:tblPr>
        <w:tblStyle w:val="TableGrid"/>
        <w:tblW w:w="9373" w:type="dxa"/>
        <w:tblLayout w:type="fixed"/>
        <w:tblLook w:val="04A0" w:firstRow="1" w:lastRow="0" w:firstColumn="1" w:lastColumn="0" w:noHBand="0" w:noVBand="1"/>
      </w:tblPr>
      <w:tblGrid>
        <w:gridCol w:w="2065"/>
        <w:gridCol w:w="1218"/>
        <w:gridCol w:w="1218"/>
        <w:gridCol w:w="1218"/>
        <w:gridCol w:w="1218"/>
        <w:gridCol w:w="1218"/>
        <w:gridCol w:w="1218"/>
      </w:tblGrid>
      <w:tr w:rsidR="00FB4DA4" w14:paraId="6D42D487" w14:textId="77777777" w:rsidTr="00FB4DA4">
        <w:tc>
          <w:tcPr>
            <w:tcW w:w="2065" w:type="dxa"/>
            <w:vMerge w:val="restart"/>
            <w:shd w:val="clear" w:color="auto" w:fill="244061" w:themeFill="accent1" w:themeFillShade="80"/>
            <w:vAlign w:val="center"/>
          </w:tcPr>
          <w:p w14:paraId="0D7BF8D2"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Exclusion</w:t>
            </w:r>
          </w:p>
        </w:tc>
        <w:tc>
          <w:tcPr>
            <w:tcW w:w="3654" w:type="dxa"/>
            <w:gridSpan w:val="3"/>
            <w:shd w:val="clear" w:color="auto" w:fill="244061" w:themeFill="accent1" w:themeFillShade="80"/>
            <w:vAlign w:val="center"/>
          </w:tcPr>
          <w:p w14:paraId="2E3ED9C8" w14:textId="4E65C489" w:rsidR="00FB4DA4" w:rsidRPr="00AC3295" w:rsidRDefault="00FB4DA4" w:rsidP="00537226">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Observed</w:t>
            </w:r>
            <w:r w:rsidRPr="00AC3295">
              <w:rPr>
                <w:rFonts w:ascii="Calibri" w:hAnsi="Calibri"/>
                <w:b/>
                <w:color w:val="FFFFFF" w:themeColor="background1"/>
              </w:rPr>
              <w:t xml:space="preserve"> Cost</w:t>
            </w:r>
          </w:p>
        </w:tc>
        <w:tc>
          <w:tcPr>
            <w:tcW w:w="3654" w:type="dxa"/>
            <w:gridSpan w:val="3"/>
            <w:shd w:val="clear" w:color="auto" w:fill="244061" w:themeFill="accent1" w:themeFillShade="80"/>
            <w:vAlign w:val="center"/>
          </w:tcPr>
          <w:p w14:paraId="3C358BD9" w14:textId="0A0638C5" w:rsidR="00FB4DA4" w:rsidRPr="00AC3295" w:rsidRDefault="00FB4DA4" w:rsidP="00537226">
            <w:pPr>
              <w:keepNext/>
              <w:keepLines/>
              <w:autoSpaceDE w:val="0"/>
              <w:autoSpaceDN w:val="0"/>
              <w:adjustRightInd w:val="0"/>
              <w:jc w:val="center"/>
              <w:rPr>
                <w:rFonts w:ascii="Calibri" w:hAnsi="Calibri"/>
                <w:b/>
                <w:color w:val="FFFFFF" w:themeColor="background1"/>
              </w:rPr>
            </w:pPr>
            <w:r>
              <w:rPr>
                <w:rFonts w:ascii="Calibri" w:hAnsi="Calibri"/>
                <w:b/>
                <w:color w:val="FFFFFF" w:themeColor="background1"/>
              </w:rPr>
              <w:t>Observed Cost/Expected Cost</w:t>
            </w:r>
          </w:p>
        </w:tc>
      </w:tr>
      <w:tr w:rsidR="00FB4DA4" w14:paraId="264DA98D" w14:textId="77777777" w:rsidTr="00FB4DA4">
        <w:tc>
          <w:tcPr>
            <w:tcW w:w="2065" w:type="dxa"/>
            <w:vMerge/>
            <w:shd w:val="clear" w:color="auto" w:fill="244061" w:themeFill="accent1" w:themeFillShade="80"/>
            <w:vAlign w:val="center"/>
          </w:tcPr>
          <w:p w14:paraId="37E030EF"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p>
        </w:tc>
        <w:tc>
          <w:tcPr>
            <w:tcW w:w="1218" w:type="dxa"/>
            <w:shd w:val="clear" w:color="auto" w:fill="244061" w:themeFill="accent1" w:themeFillShade="80"/>
            <w:vAlign w:val="center"/>
          </w:tcPr>
          <w:p w14:paraId="680FB738"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218" w:type="dxa"/>
            <w:shd w:val="clear" w:color="auto" w:fill="244061" w:themeFill="accent1" w:themeFillShade="80"/>
            <w:vAlign w:val="center"/>
          </w:tcPr>
          <w:p w14:paraId="3DF4D91A"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10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218" w:type="dxa"/>
            <w:shd w:val="clear" w:color="auto" w:fill="244061" w:themeFill="accent1" w:themeFillShade="80"/>
            <w:vAlign w:val="center"/>
          </w:tcPr>
          <w:p w14:paraId="75399AA6"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90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218" w:type="dxa"/>
            <w:shd w:val="clear" w:color="auto" w:fill="244061" w:themeFill="accent1" w:themeFillShade="80"/>
            <w:vAlign w:val="center"/>
          </w:tcPr>
          <w:p w14:paraId="3DEEDB33"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Mean</w:t>
            </w:r>
          </w:p>
        </w:tc>
        <w:tc>
          <w:tcPr>
            <w:tcW w:w="1218" w:type="dxa"/>
            <w:shd w:val="clear" w:color="auto" w:fill="244061" w:themeFill="accent1" w:themeFillShade="80"/>
            <w:vAlign w:val="center"/>
          </w:tcPr>
          <w:p w14:paraId="0F5C07FA"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10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c>
          <w:tcPr>
            <w:tcW w:w="1218" w:type="dxa"/>
            <w:shd w:val="clear" w:color="auto" w:fill="244061" w:themeFill="accent1" w:themeFillShade="80"/>
            <w:vAlign w:val="center"/>
          </w:tcPr>
          <w:p w14:paraId="58AAAA21" w14:textId="77777777" w:rsidR="00FB4DA4" w:rsidRPr="00AC3295" w:rsidRDefault="00FB4DA4" w:rsidP="00537226">
            <w:pPr>
              <w:keepNext/>
              <w:keepLines/>
              <w:autoSpaceDE w:val="0"/>
              <w:autoSpaceDN w:val="0"/>
              <w:adjustRightInd w:val="0"/>
              <w:jc w:val="center"/>
              <w:rPr>
                <w:rFonts w:ascii="Calibri" w:hAnsi="Calibri"/>
                <w:b/>
                <w:color w:val="FFFFFF" w:themeColor="background1"/>
              </w:rPr>
            </w:pPr>
            <w:r w:rsidRPr="00AC3295">
              <w:rPr>
                <w:rFonts w:ascii="Calibri" w:hAnsi="Calibri"/>
                <w:b/>
                <w:color w:val="FFFFFF" w:themeColor="background1"/>
              </w:rPr>
              <w:t>90</w:t>
            </w:r>
            <w:r w:rsidRPr="00AC3295">
              <w:rPr>
                <w:rFonts w:ascii="Calibri" w:hAnsi="Calibri"/>
                <w:b/>
                <w:color w:val="FFFFFF" w:themeColor="background1"/>
                <w:vertAlign w:val="superscript"/>
              </w:rPr>
              <w:t>th</w:t>
            </w:r>
            <w:r w:rsidRPr="00AC3295">
              <w:rPr>
                <w:rFonts w:ascii="Calibri" w:hAnsi="Calibri"/>
                <w:b/>
                <w:color w:val="FFFFFF" w:themeColor="background1"/>
              </w:rPr>
              <w:t xml:space="preserve"> Percentile</w:t>
            </w:r>
          </w:p>
        </w:tc>
      </w:tr>
      <w:tr w:rsidR="00FB4DA4" w14:paraId="631F946B" w14:textId="77777777" w:rsidTr="00AC5292">
        <w:tc>
          <w:tcPr>
            <w:tcW w:w="2065" w:type="dxa"/>
          </w:tcPr>
          <w:p w14:paraId="0C6E5FD7" w14:textId="77777777" w:rsidR="00FB4DA4" w:rsidRPr="00AC3295" w:rsidRDefault="00FB4DA4" w:rsidP="00537226">
            <w:pPr>
              <w:keepNext/>
              <w:keepLines/>
              <w:autoSpaceDE w:val="0"/>
              <w:autoSpaceDN w:val="0"/>
              <w:adjustRightInd w:val="0"/>
              <w:rPr>
                <w:rFonts w:ascii="Calibri" w:hAnsi="Calibri"/>
              </w:rPr>
            </w:pPr>
            <w:r w:rsidRPr="00AC3295">
              <w:rPr>
                <w:rFonts w:ascii="Calibri" w:hAnsi="Calibri"/>
              </w:rPr>
              <w:t>Death in Episode</w:t>
            </w:r>
          </w:p>
        </w:tc>
        <w:tc>
          <w:tcPr>
            <w:tcW w:w="1218" w:type="dxa"/>
            <w:vAlign w:val="center"/>
          </w:tcPr>
          <w:p w14:paraId="46868BC4" w14:textId="60AF5B23" w:rsidR="00FB4DA4" w:rsidRDefault="003769E5" w:rsidP="00AC5292">
            <w:pPr>
              <w:keepNext/>
              <w:keepLines/>
              <w:autoSpaceDE w:val="0"/>
              <w:autoSpaceDN w:val="0"/>
              <w:adjustRightInd w:val="0"/>
              <w:jc w:val="center"/>
              <w:rPr>
                <w:rFonts w:ascii="Calibri" w:hAnsi="Calibri"/>
                <w:color w:val="0070C0"/>
              </w:rPr>
            </w:pPr>
            <w:r>
              <w:rPr>
                <w:rFonts w:ascii="Calibri" w:hAnsi="Calibri"/>
                <w:color w:val="0070C0"/>
              </w:rPr>
              <w:t>$66,255</w:t>
            </w:r>
          </w:p>
        </w:tc>
        <w:tc>
          <w:tcPr>
            <w:tcW w:w="1218" w:type="dxa"/>
            <w:vAlign w:val="center"/>
          </w:tcPr>
          <w:p w14:paraId="32ACAB4F" w14:textId="2AF80F1D" w:rsidR="00FB4DA4" w:rsidRDefault="003769E5" w:rsidP="00AC5292">
            <w:pPr>
              <w:keepNext/>
              <w:keepLines/>
              <w:autoSpaceDE w:val="0"/>
              <w:autoSpaceDN w:val="0"/>
              <w:adjustRightInd w:val="0"/>
              <w:jc w:val="center"/>
              <w:rPr>
                <w:rFonts w:ascii="Calibri" w:hAnsi="Calibri"/>
                <w:color w:val="0070C0"/>
              </w:rPr>
            </w:pPr>
            <w:r>
              <w:rPr>
                <w:rFonts w:ascii="Calibri" w:hAnsi="Calibri"/>
                <w:color w:val="0070C0"/>
              </w:rPr>
              <w:t>$38,537</w:t>
            </w:r>
          </w:p>
        </w:tc>
        <w:tc>
          <w:tcPr>
            <w:tcW w:w="1218" w:type="dxa"/>
            <w:vAlign w:val="center"/>
          </w:tcPr>
          <w:p w14:paraId="2534B11F" w14:textId="048F33A8" w:rsidR="00FB4DA4" w:rsidRDefault="003769E5" w:rsidP="00AC5292">
            <w:pPr>
              <w:keepNext/>
              <w:keepLines/>
              <w:autoSpaceDE w:val="0"/>
              <w:autoSpaceDN w:val="0"/>
              <w:adjustRightInd w:val="0"/>
              <w:jc w:val="center"/>
              <w:rPr>
                <w:rFonts w:ascii="Calibri" w:hAnsi="Calibri"/>
                <w:color w:val="0070C0"/>
              </w:rPr>
            </w:pPr>
            <w:r>
              <w:rPr>
                <w:rFonts w:ascii="Calibri" w:hAnsi="Calibri"/>
                <w:color w:val="0070C0"/>
              </w:rPr>
              <w:t>$103,749</w:t>
            </w:r>
          </w:p>
        </w:tc>
        <w:tc>
          <w:tcPr>
            <w:tcW w:w="1218" w:type="dxa"/>
            <w:vAlign w:val="center"/>
          </w:tcPr>
          <w:p w14:paraId="717BA74F" w14:textId="57A9AA67" w:rsidR="00FB4DA4" w:rsidRDefault="003769E5" w:rsidP="00AC5292">
            <w:pPr>
              <w:keepNext/>
              <w:keepLines/>
              <w:autoSpaceDE w:val="0"/>
              <w:autoSpaceDN w:val="0"/>
              <w:adjustRightInd w:val="0"/>
              <w:jc w:val="center"/>
              <w:rPr>
                <w:rFonts w:ascii="Calibri" w:hAnsi="Calibri"/>
                <w:color w:val="0070C0"/>
              </w:rPr>
            </w:pPr>
            <w:r>
              <w:rPr>
                <w:rFonts w:ascii="Calibri" w:hAnsi="Calibri"/>
                <w:color w:val="0070C0"/>
              </w:rPr>
              <w:t>1.14</w:t>
            </w:r>
          </w:p>
        </w:tc>
        <w:tc>
          <w:tcPr>
            <w:tcW w:w="1218" w:type="dxa"/>
            <w:vAlign w:val="center"/>
          </w:tcPr>
          <w:p w14:paraId="2FCE729E" w14:textId="6AB745CB" w:rsidR="00FB4DA4" w:rsidRDefault="003769E5" w:rsidP="00AC5292">
            <w:pPr>
              <w:keepNext/>
              <w:keepLines/>
              <w:autoSpaceDE w:val="0"/>
              <w:autoSpaceDN w:val="0"/>
              <w:adjustRightInd w:val="0"/>
              <w:jc w:val="center"/>
              <w:rPr>
                <w:rFonts w:ascii="Calibri" w:hAnsi="Calibri"/>
                <w:color w:val="0070C0"/>
              </w:rPr>
            </w:pPr>
            <w:r>
              <w:rPr>
                <w:rFonts w:ascii="Calibri" w:hAnsi="Calibri"/>
                <w:color w:val="0070C0"/>
              </w:rPr>
              <w:t>0.77</w:t>
            </w:r>
          </w:p>
        </w:tc>
        <w:tc>
          <w:tcPr>
            <w:tcW w:w="1218" w:type="dxa"/>
            <w:vAlign w:val="center"/>
          </w:tcPr>
          <w:p w14:paraId="1E0FE70D" w14:textId="5B8B2E0B" w:rsidR="00FB4DA4" w:rsidRDefault="003769E5" w:rsidP="00AC5292">
            <w:pPr>
              <w:keepNext/>
              <w:keepLines/>
              <w:autoSpaceDE w:val="0"/>
              <w:autoSpaceDN w:val="0"/>
              <w:adjustRightInd w:val="0"/>
              <w:jc w:val="center"/>
              <w:rPr>
                <w:rFonts w:ascii="Calibri" w:hAnsi="Calibri"/>
                <w:color w:val="0070C0"/>
              </w:rPr>
            </w:pPr>
            <w:r>
              <w:rPr>
                <w:rFonts w:ascii="Calibri" w:hAnsi="Calibri"/>
                <w:color w:val="0070C0"/>
              </w:rPr>
              <w:t>1.74</w:t>
            </w:r>
          </w:p>
        </w:tc>
      </w:tr>
      <w:tr w:rsidR="00E64DB6" w14:paraId="571ADB05" w14:textId="77777777" w:rsidTr="00AC5292">
        <w:tc>
          <w:tcPr>
            <w:tcW w:w="2065" w:type="dxa"/>
          </w:tcPr>
          <w:p w14:paraId="4D8DBDA3" w14:textId="5BBE70C4" w:rsidR="00E64DB6" w:rsidRPr="00AC3295" w:rsidRDefault="00E64DB6" w:rsidP="003769E5">
            <w:pPr>
              <w:keepNext/>
              <w:keepLines/>
              <w:autoSpaceDE w:val="0"/>
              <w:autoSpaceDN w:val="0"/>
              <w:adjustRightInd w:val="0"/>
              <w:rPr>
                <w:rFonts w:ascii="Calibri" w:hAnsi="Calibri"/>
              </w:rPr>
            </w:pPr>
            <w:r>
              <w:rPr>
                <w:rFonts w:ascii="Calibri" w:hAnsi="Calibri"/>
              </w:rPr>
              <w:t>Not in</w:t>
            </w:r>
            <w:r w:rsidR="003769E5">
              <w:rPr>
                <w:rFonts w:ascii="Calibri" w:hAnsi="Calibri"/>
              </w:rPr>
              <w:t xml:space="preserve"> Acute </w:t>
            </w:r>
            <w:r>
              <w:rPr>
                <w:rFonts w:ascii="Calibri" w:hAnsi="Calibri"/>
              </w:rPr>
              <w:t xml:space="preserve">IP </w:t>
            </w:r>
            <w:r w:rsidR="003769E5">
              <w:rPr>
                <w:rFonts w:ascii="Calibri" w:hAnsi="Calibri"/>
              </w:rPr>
              <w:t>Hospital</w:t>
            </w:r>
          </w:p>
        </w:tc>
        <w:tc>
          <w:tcPr>
            <w:tcW w:w="1218" w:type="dxa"/>
            <w:vAlign w:val="center"/>
          </w:tcPr>
          <w:p w14:paraId="0E156252" w14:textId="3C102312" w:rsidR="00E64DB6" w:rsidRDefault="003769E5" w:rsidP="00AC5292">
            <w:pPr>
              <w:keepNext/>
              <w:keepLines/>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65698B33" w14:textId="7863818F" w:rsidR="00E64DB6" w:rsidRDefault="003769E5" w:rsidP="00AC5292">
            <w:pPr>
              <w:keepNext/>
              <w:keepLines/>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1D0E1233" w14:textId="0373D3C6" w:rsidR="00E64DB6" w:rsidRDefault="003769E5" w:rsidP="00AC5292">
            <w:pPr>
              <w:keepNext/>
              <w:keepLines/>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3FDCECDE" w14:textId="06EF99D3" w:rsidR="00E64DB6" w:rsidRDefault="003769E5" w:rsidP="00AC5292">
            <w:pPr>
              <w:keepNext/>
              <w:keepLines/>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1977DF49" w14:textId="3DBE01A4" w:rsidR="00E64DB6" w:rsidRDefault="003769E5" w:rsidP="00AC5292">
            <w:pPr>
              <w:keepNext/>
              <w:keepLines/>
              <w:autoSpaceDE w:val="0"/>
              <w:autoSpaceDN w:val="0"/>
              <w:adjustRightInd w:val="0"/>
              <w:jc w:val="center"/>
              <w:rPr>
                <w:rFonts w:ascii="Calibri" w:hAnsi="Calibri"/>
                <w:color w:val="0070C0"/>
              </w:rPr>
            </w:pPr>
            <w:r>
              <w:rPr>
                <w:rFonts w:ascii="Calibri" w:hAnsi="Calibri"/>
                <w:color w:val="0070C0"/>
              </w:rPr>
              <w:t>*</w:t>
            </w:r>
          </w:p>
        </w:tc>
        <w:tc>
          <w:tcPr>
            <w:tcW w:w="1218" w:type="dxa"/>
            <w:vAlign w:val="center"/>
          </w:tcPr>
          <w:p w14:paraId="26BDB6CF" w14:textId="67C72FCE" w:rsidR="00E64DB6" w:rsidRDefault="003769E5" w:rsidP="00AC5292">
            <w:pPr>
              <w:keepNext/>
              <w:keepLines/>
              <w:autoSpaceDE w:val="0"/>
              <w:autoSpaceDN w:val="0"/>
              <w:adjustRightInd w:val="0"/>
              <w:jc w:val="center"/>
              <w:rPr>
                <w:rFonts w:ascii="Calibri" w:hAnsi="Calibri"/>
                <w:color w:val="0070C0"/>
              </w:rPr>
            </w:pPr>
            <w:r>
              <w:rPr>
                <w:rFonts w:ascii="Calibri" w:hAnsi="Calibri"/>
                <w:color w:val="0070C0"/>
              </w:rPr>
              <w:t>*</w:t>
            </w:r>
          </w:p>
        </w:tc>
      </w:tr>
      <w:tr w:rsidR="00E64DB6" w14:paraId="04DF5114" w14:textId="77777777" w:rsidTr="00AC5292">
        <w:tc>
          <w:tcPr>
            <w:tcW w:w="2065" w:type="dxa"/>
          </w:tcPr>
          <w:p w14:paraId="7252D6CA" w14:textId="2A027591" w:rsidR="00E64DB6" w:rsidRDefault="00E64DB6" w:rsidP="00E64DB6">
            <w:pPr>
              <w:keepNext/>
              <w:keepLines/>
              <w:autoSpaceDE w:val="0"/>
              <w:autoSpaceDN w:val="0"/>
              <w:adjustRightInd w:val="0"/>
              <w:rPr>
                <w:rFonts w:ascii="Calibri" w:hAnsi="Calibri"/>
              </w:rPr>
            </w:pPr>
            <w:r>
              <w:rPr>
                <w:rFonts w:ascii="Calibri" w:hAnsi="Calibri"/>
              </w:rPr>
              <w:t>No Relevant DRG</w:t>
            </w:r>
          </w:p>
        </w:tc>
        <w:tc>
          <w:tcPr>
            <w:tcW w:w="1218" w:type="dxa"/>
            <w:vAlign w:val="center"/>
          </w:tcPr>
          <w:p w14:paraId="7966B727" w14:textId="5451A14C" w:rsidR="00E64DB6" w:rsidRDefault="0058232B" w:rsidP="00AC5292">
            <w:pPr>
              <w:keepNext/>
              <w:keepLines/>
              <w:autoSpaceDE w:val="0"/>
              <w:autoSpaceDN w:val="0"/>
              <w:adjustRightInd w:val="0"/>
              <w:jc w:val="center"/>
              <w:rPr>
                <w:rFonts w:ascii="Calibri" w:hAnsi="Calibri"/>
                <w:color w:val="0070C0"/>
              </w:rPr>
            </w:pPr>
            <w:r>
              <w:rPr>
                <w:rFonts w:ascii="Calibri" w:hAnsi="Calibri"/>
                <w:color w:val="0070C0"/>
              </w:rPr>
              <w:t>$14,068</w:t>
            </w:r>
          </w:p>
        </w:tc>
        <w:tc>
          <w:tcPr>
            <w:tcW w:w="1218" w:type="dxa"/>
            <w:vAlign w:val="center"/>
          </w:tcPr>
          <w:p w14:paraId="748D486E" w14:textId="08041474" w:rsidR="00E64DB6" w:rsidRDefault="0058232B" w:rsidP="00AC5292">
            <w:pPr>
              <w:keepNext/>
              <w:keepLines/>
              <w:autoSpaceDE w:val="0"/>
              <w:autoSpaceDN w:val="0"/>
              <w:adjustRightInd w:val="0"/>
              <w:jc w:val="center"/>
              <w:rPr>
                <w:rFonts w:ascii="Calibri" w:hAnsi="Calibri"/>
                <w:color w:val="0070C0"/>
              </w:rPr>
            </w:pPr>
            <w:r>
              <w:rPr>
                <w:rFonts w:ascii="Calibri" w:hAnsi="Calibri"/>
                <w:color w:val="0070C0"/>
              </w:rPr>
              <w:t>$3,531</w:t>
            </w:r>
          </w:p>
        </w:tc>
        <w:tc>
          <w:tcPr>
            <w:tcW w:w="1218" w:type="dxa"/>
            <w:vAlign w:val="center"/>
          </w:tcPr>
          <w:p w14:paraId="6B208823" w14:textId="2E98706F" w:rsidR="00E64DB6" w:rsidRDefault="0058232B" w:rsidP="00AC5292">
            <w:pPr>
              <w:keepNext/>
              <w:keepLines/>
              <w:autoSpaceDE w:val="0"/>
              <w:autoSpaceDN w:val="0"/>
              <w:adjustRightInd w:val="0"/>
              <w:jc w:val="center"/>
              <w:rPr>
                <w:rFonts w:ascii="Calibri" w:hAnsi="Calibri"/>
                <w:color w:val="0070C0"/>
              </w:rPr>
            </w:pPr>
            <w:r>
              <w:rPr>
                <w:rFonts w:ascii="Calibri" w:hAnsi="Calibri"/>
                <w:color w:val="0070C0"/>
              </w:rPr>
              <w:t>$28,260</w:t>
            </w:r>
          </w:p>
        </w:tc>
        <w:tc>
          <w:tcPr>
            <w:tcW w:w="1218" w:type="dxa"/>
            <w:vAlign w:val="center"/>
          </w:tcPr>
          <w:p w14:paraId="5A13A15F" w14:textId="0CCCD078" w:rsidR="00E64DB6" w:rsidRDefault="0058232B" w:rsidP="00AC5292">
            <w:pPr>
              <w:keepNext/>
              <w:keepLines/>
              <w:autoSpaceDE w:val="0"/>
              <w:autoSpaceDN w:val="0"/>
              <w:adjustRightInd w:val="0"/>
              <w:jc w:val="center"/>
              <w:rPr>
                <w:rFonts w:ascii="Calibri" w:hAnsi="Calibri"/>
                <w:color w:val="0070C0"/>
              </w:rPr>
            </w:pPr>
            <w:r>
              <w:rPr>
                <w:rFonts w:ascii="Calibri" w:hAnsi="Calibri"/>
                <w:color w:val="0070C0"/>
              </w:rPr>
              <w:t>1.00</w:t>
            </w:r>
          </w:p>
        </w:tc>
        <w:tc>
          <w:tcPr>
            <w:tcW w:w="1218" w:type="dxa"/>
            <w:vAlign w:val="center"/>
          </w:tcPr>
          <w:p w14:paraId="3E22A0B0" w14:textId="7B910333" w:rsidR="00E64DB6" w:rsidRDefault="0058232B" w:rsidP="00AC5292">
            <w:pPr>
              <w:keepNext/>
              <w:keepLines/>
              <w:autoSpaceDE w:val="0"/>
              <w:autoSpaceDN w:val="0"/>
              <w:adjustRightInd w:val="0"/>
              <w:jc w:val="center"/>
              <w:rPr>
                <w:rFonts w:ascii="Calibri" w:hAnsi="Calibri"/>
                <w:color w:val="0070C0"/>
              </w:rPr>
            </w:pPr>
            <w:r>
              <w:rPr>
                <w:rFonts w:ascii="Calibri" w:hAnsi="Calibri"/>
                <w:color w:val="0070C0"/>
              </w:rPr>
              <w:t>1.00</w:t>
            </w:r>
          </w:p>
        </w:tc>
        <w:tc>
          <w:tcPr>
            <w:tcW w:w="1218" w:type="dxa"/>
            <w:vAlign w:val="center"/>
          </w:tcPr>
          <w:p w14:paraId="517B5E59" w14:textId="653A298A" w:rsidR="00E64DB6" w:rsidRDefault="0058232B" w:rsidP="00AC5292">
            <w:pPr>
              <w:keepNext/>
              <w:keepLines/>
              <w:autoSpaceDE w:val="0"/>
              <w:autoSpaceDN w:val="0"/>
              <w:adjustRightInd w:val="0"/>
              <w:jc w:val="center"/>
              <w:rPr>
                <w:rFonts w:ascii="Calibri" w:hAnsi="Calibri"/>
                <w:color w:val="0070C0"/>
              </w:rPr>
            </w:pPr>
            <w:r>
              <w:rPr>
                <w:rFonts w:ascii="Calibri" w:hAnsi="Calibri"/>
                <w:color w:val="0070C0"/>
              </w:rPr>
              <w:t>1.00</w:t>
            </w:r>
          </w:p>
        </w:tc>
      </w:tr>
      <w:tr w:rsidR="00FB4DA4" w14:paraId="46107DB1" w14:textId="77777777" w:rsidTr="00AC5292">
        <w:tc>
          <w:tcPr>
            <w:tcW w:w="2065" w:type="dxa"/>
          </w:tcPr>
          <w:p w14:paraId="44D737D5" w14:textId="7BF5089A" w:rsidR="00FB4DA4" w:rsidRDefault="00C20674" w:rsidP="00C20674">
            <w:pPr>
              <w:keepNext/>
              <w:keepLines/>
              <w:autoSpaceDE w:val="0"/>
              <w:autoSpaceDN w:val="0"/>
              <w:adjustRightInd w:val="0"/>
              <w:rPr>
                <w:rFonts w:ascii="Calibri" w:hAnsi="Calibri"/>
              </w:rPr>
            </w:pPr>
            <w:r>
              <w:rPr>
                <w:rFonts w:ascii="Calibri" w:hAnsi="Calibri"/>
              </w:rPr>
              <w:t xml:space="preserve">Emergent CABG </w:t>
            </w:r>
          </w:p>
        </w:tc>
        <w:tc>
          <w:tcPr>
            <w:tcW w:w="1218" w:type="dxa"/>
            <w:vAlign w:val="center"/>
          </w:tcPr>
          <w:p w14:paraId="19823223" w14:textId="661A9EA9" w:rsidR="00FB4DA4" w:rsidRDefault="00C20674" w:rsidP="00AC5292">
            <w:pPr>
              <w:keepNext/>
              <w:keepLines/>
              <w:autoSpaceDE w:val="0"/>
              <w:autoSpaceDN w:val="0"/>
              <w:adjustRightInd w:val="0"/>
              <w:jc w:val="center"/>
              <w:rPr>
                <w:rFonts w:ascii="Calibri" w:hAnsi="Calibri"/>
                <w:color w:val="0070C0"/>
              </w:rPr>
            </w:pPr>
            <w:r>
              <w:rPr>
                <w:rFonts w:ascii="Calibri" w:hAnsi="Calibri"/>
                <w:color w:val="0070C0"/>
              </w:rPr>
              <w:t>$53,774</w:t>
            </w:r>
          </w:p>
        </w:tc>
        <w:tc>
          <w:tcPr>
            <w:tcW w:w="1218" w:type="dxa"/>
            <w:vAlign w:val="center"/>
          </w:tcPr>
          <w:p w14:paraId="32CA3990" w14:textId="6571E945" w:rsidR="00FB4DA4" w:rsidRDefault="00C20674" w:rsidP="00AC5292">
            <w:pPr>
              <w:keepNext/>
              <w:keepLines/>
              <w:autoSpaceDE w:val="0"/>
              <w:autoSpaceDN w:val="0"/>
              <w:adjustRightInd w:val="0"/>
              <w:jc w:val="center"/>
              <w:rPr>
                <w:rFonts w:ascii="Calibri" w:hAnsi="Calibri"/>
                <w:color w:val="0070C0"/>
              </w:rPr>
            </w:pPr>
            <w:r>
              <w:rPr>
                <w:rFonts w:ascii="Calibri" w:hAnsi="Calibri"/>
                <w:color w:val="0070C0"/>
              </w:rPr>
              <w:t>$34,431</w:t>
            </w:r>
          </w:p>
        </w:tc>
        <w:tc>
          <w:tcPr>
            <w:tcW w:w="1218" w:type="dxa"/>
            <w:vAlign w:val="center"/>
          </w:tcPr>
          <w:p w14:paraId="130F22C8" w14:textId="1EFFF0FE" w:rsidR="00FB4DA4" w:rsidRDefault="00C20674" w:rsidP="00AC5292">
            <w:pPr>
              <w:keepNext/>
              <w:keepLines/>
              <w:autoSpaceDE w:val="0"/>
              <w:autoSpaceDN w:val="0"/>
              <w:adjustRightInd w:val="0"/>
              <w:jc w:val="center"/>
              <w:rPr>
                <w:rFonts w:ascii="Calibri" w:hAnsi="Calibri"/>
                <w:color w:val="0070C0"/>
              </w:rPr>
            </w:pPr>
            <w:r>
              <w:rPr>
                <w:rFonts w:ascii="Calibri" w:hAnsi="Calibri"/>
                <w:color w:val="0070C0"/>
              </w:rPr>
              <w:t>$76,853</w:t>
            </w:r>
          </w:p>
        </w:tc>
        <w:tc>
          <w:tcPr>
            <w:tcW w:w="1218" w:type="dxa"/>
            <w:vAlign w:val="center"/>
          </w:tcPr>
          <w:p w14:paraId="46B6017D" w14:textId="251F954C" w:rsidR="00FB4DA4" w:rsidRDefault="00C20674" w:rsidP="00AC5292">
            <w:pPr>
              <w:keepNext/>
              <w:keepLines/>
              <w:autoSpaceDE w:val="0"/>
              <w:autoSpaceDN w:val="0"/>
              <w:adjustRightInd w:val="0"/>
              <w:jc w:val="center"/>
              <w:rPr>
                <w:rFonts w:ascii="Calibri" w:hAnsi="Calibri"/>
                <w:color w:val="0070C0"/>
              </w:rPr>
            </w:pPr>
            <w:r>
              <w:rPr>
                <w:rFonts w:ascii="Calibri" w:hAnsi="Calibri"/>
                <w:color w:val="0070C0"/>
              </w:rPr>
              <w:t>1.02</w:t>
            </w:r>
          </w:p>
        </w:tc>
        <w:tc>
          <w:tcPr>
            <w:tcW w:w="1218" w:type="dxa"/>
            <w:vAlign w:val="center"/>
          </w:tcPr>
          <w:p w14:paraId="4F63E00A" w14:textId="6072D98D" w:rsidR="00FB4DA4" w:rsidRDefault="00C20674" w:rsidP="00AC5292">
            <w:pPr>
              <w:keepNext/>
              <w:keepLines/>
              <w:autoSpaceDE w:val="0"/>
              <w:autoSpaceDN w:val="0"/>
              <w:adjustRightInd w:val="0"/>
              <w:jc w:val="center"/>
              <w:rPr>
                <w:rFonts w:ascii="Calibri" w:hAnsi="Calibri"/>
                <w:color w:val="0070C0"/>
              </w:rPr>
            </w:pPr>
            <w:r>
              <w:rPr>
                <w:rFonts w:ascii="Calibri" w:hAnsi="Calibri"/>
                <w:color w:val="0070C0"/>
              </w:rPr>
              <w:t>0.77</w:t>
            </w:r>
          </w:p>
        </w:tc>
        <w:tc>
          <w:tcPr>
            <w:tcW w:w="1218" w:type="dxa"/>
            <w:vAlign w:val="center"/>
          </w:tcPr>
          <w:p w14:paraId="4596D259" w14:textId="23660361" w:rsidR="00FB4DA4" w:rsidRDefault="00C20674" w:rsidP="00AC5292">
            <w:pPr>
              <w:keepNext/>
              <w:keepLines/>
              <w:autoSpaceDE w:val="0"/>
              <w:autoSpaceDN w:val="0"/>
              <w:adjustRightInd w:val="0"/>
              <w:jc w:val="center"/>
              <w:rPr>
                <w:rFonts w:ascii="Calibri" w:hAnsi="Calibri"/>
                <w:color w:val="0070C0"/>
              </w:rPr>
            </w:pPr>
            <w:r>
              <w:rPr>
                <w:rFonts w:ascii="Calibri" w:hAnsi="Calibri"/>
                <w:color w:val="0070C0"/>
              </w:rPr>
              <w:t>1.35</w:t>
            </w:r>
          </w:p>
        </w:tc>
      </w:tr>
      <w:tr w:rsidR="009411AA" w14:paraId="3962B1EF" w14:textId="77777777" w:rsidTr="00AC5292">
        <w:tc>
          <w:tcPr>
            <w:tcW w:w="2065" w:type="dxa"/>
          </w:tcPr>
          <w:p w14:paraId="7C788D5E" w14:textId="6DAF0450" w:rsidR="009411AA" w:rsidRDefault="00DA1995" w:rsidP="00537226">
            <w:pPr>
              <w:keepNext/>
              <w:keepLines/>
              <w:autoSpaceDE w:val="0"/>
              <w:autoSpaceDN w:val="0"/>
              <w:adjustRightInd w:val="0"/>
              <w:rPr>
                <w:rFonts w:ascii="Calibri" w:hAnsi="Calibri"/>
              </w:rPr>
            </w:pPr>
            <w:r>
              <w:rPr>
                <w:rFonts w:ascii="Calibri" w:hAnsi="Calibri"/>
              </w:rPr>
              <w:t>Cox Maze Procedure</w:t>
            </w:r>
          </w:p>
        </w:tc>
        <w:tc>
          <w:tcPr>
            <w:tcW w:w="1218" w:type="dxa"/>
            <w:vAlign w:val="center"/>
          </w:tcPr>
          <w:p w14:paraId="37D4563C" w14:textId="5B957DD4" w:rsidR="009411AA" w:rsidRDefault="00DA1995" w:rsidP="00AC5292">
            <w:pPr>
              <w:keepNext/>
              <w:keepLines/>
              <w:autoSpaceDE w:val="0"/>
              <w:autoSpaceDN w:val="0"/>
              <w:adjustRightInd w:val="0"/>
              <w:jc w:val="center"/>
              <w:rPr>
                <w:rFonts w:ascii="Calibri" w:hAnsi="Calibri"/>
                <w:color w:val="0070C0"/>
              </w:rPr>
            </w:pPr>
            <w:r>
              <w:rPr>
                <w:rFonts w:ascii="Calibri" w:hAnsi="Calibri"/>
                <w:color w:val="0070C0"/>
              </w:rPr>
              <w:t>$56,774</w:t>
            </w:r>
          </w:p>
        </w:tc>
        <w:tc>
          <w:tcPr>
            <w:tcW w:w="1218" w:type="dxa"/>
            <w:vAlign w:val="center"/>
          </w:tcPr>
          <w:p w14:paraId="67FD1988" w14:textId="1A51F50F" w:rsidR="009411AA" w:rsidRDefault="00DA1995" w:rsidP="00AC5292">
            <w:pPr>
              <w:keepNext/>
              <w:keepLines/>
              <w:autoSpaceDE w:val="0"/>
              <w:autoSpaceDN w:val="0"/>
              <w:adjustRightInd w:val="0"/>
              <w:jc w:val="center"/>
              <w:rPr>
                <w:rFonts w:ascii="Calibri" w:hAnsi="Calibri"/>
                <w:color w:val="0070C0"/>
              </w:rPr>
            </w:pPr>
            <w:r>
              <w:rPr>
                <w:rFonts w:ascii="Calibri" w:hAnsi="Calibri"/>
                <w:color w:val="0070C0"/>
              </w:rPr>
              <w:t>$32,387</w:t>
            </w:r>
          </w:p>
        </w:tc>
        <w:tc>
          <w:tcPr>
            <w:tcW w:w="1218" w:type="dxa"/>
            <w:vAlign w:val="center"/>
          </w:tcPr>
          <w:p w14:paraId="73C95929" w14:textId="758BDE3A" w:rsidR="009411AA" w:rsidRDefault="00DA1995" w:rsidP="00AC5292">
            <w:pPr>
              <w:keepNext/>
              <w:keepLines/>
              <w:autoSpaceDE w:val="0"/>
              <w:autoSpaceDN w:val="0"/>
              <w:adjustRightInd w:val="0"/>
              <w:jc w:val="center"/>
              <w:rPr>
                <w:rFonts w:ascii="Calibri" w:hAnsi="Calibri"/>
                <w:color w:val="0070C0"/>
              </w:rPr>
            </w:pPr>
            <w:r>
              <w:rPr>
                <w:rFonts w:ascii="Calibri" w:hAnsi="Calibri"/>
                <w:color w:val="0070C0"/>
              </w:rPr>
              <w:t>$84,009</w:t>
            </w:r>
          </w:p>
        </w:tc>
        <w:tc>
          <w:tcPr>
            <w:tcW w:w="1218" w:type="dxa"/>
            <w:vAlign w:val="center"/>
          </w:tcPr>
          <w:p w14:paraId="0E6E632C" w14:textId="24F81A9E" w:rsidR="009411AA" w:rsidRDefault="00DA1995" w:rsidP="00AC5292">
            <w:pPr>
              <w:keepNext/>
              <w:keepLines/>
              <w:autoSpaceDE w:val="0"/>
              <w:autoSpaceDN w:val="0"/>
              <w:adjustRightInd w:val="0"/>
              <w:jc w:val="center"/>
              <w:rPr>
                <w:rFonts w:ascii="Calibri" w:hAnsi="Calibri"/>
                <w:color w:val="0070C0"/>
              </w:rPr>
            </w:pPr>
            <w:r>
              <w:rPr>
                <w:rFonts w:ascii="Calibri" w:hAnsi="Calibri"/>
                <w:color w:val="0070C0"/>
              </w:rPr>
              <w:t>1.08</w:t>
            </w:r>
          </w:p>
        </w:tc>
        <w:tc>
          <w:tcPr>
            <w:tcW w:w="1218" w:type="dxa"/>
            <w:vAlign w:val="center"/>
          </w:tcPr>
          <w:p w14:paraId="3BDF4A67" w14:textId="3F16C9EB" w:rsidR="009411AA" w:rsidRDefault="00DA1995" w:rsidP="00AC5292">
            <w:pPr>
              <w:keepNext/>
              <w:keepLines/>
              <w:autoSpaceDE w:val="0"/>
              <w:autoSpaceDN w:val="0"/>
              <w:adjustRightInd w:val="0"/>
              <w:jc w:val="center"/>
              <w:rPr>
                <w:rFonts w:ascii="Calibri" w:hAnsi="Calibri"/>
                <w:color w:val="0070C0"/>
              </w:rPr>
            </w:pPr>
            <w:r>
              <w:rPr>
                <w:rFonts w:ascii="Calibri" w:hAnsi="Calibri"/>
                <w:color w:val="0070C0"/>
              </w:rPr>
              <w:t>0.81</w:t>
            </w:r>
          </w:p>
        </w:tc>
        <w:tc>
          <w:tcPr>
            <w:tcW w:w="1218" w:type="dxa"/>
            <w:vAlign w:val="center"/>
          </w:tcPr>
          <w:p w14:paraId="00362CD6" w14:textId="2BDD9459" w:rsidR="009411AA" w:rsidRDefault="00DA1995" w:rsidP="00AC5292">
            <w:pPr>
              <w:keepNext/>
              <w:keepLines/>
              <w:autoSpaceDE w:val="0"/>
              <w:autoSpaceDN w:val="0"/>
              <w:adjustRightInd w:val="0"/>
              <w:jc w:val="center"/>
              <w:rPr>
                <w:rFonts w:ascii="Calibri" w:hAnsi="Calibri"/>
                <w:color w:val="0070C0"/>
              </w:rPr>
            </w:pPr>
            <w:r>
              <w:rPr>
                <w:rFonts w:ascii="Calibri" w:hAnsi="Calibri"/>
                <w:color w:val="0070C0"/>
              </w:rPr>
              <w:t>1.43</w:t>
            </w:r>
          </w:p>
        </w:tc>
      </w:tr>
      <w:tr w:rsidR="009411AA" w14:paraId="7E3265F3" w14:textId="77777777" w:rsidTr="00AC5292">
        <w:tc>
          <w:tcPr>
            <w:tcW w:w="2065" w:type="dxa"/>
          </w:tcPr>
          <w:p w14:paraId="3C69A896" w14:textId="3AA6FCCA" w:rsidR="009411AA" w:rsidRDefault="00DD631F" w:rsidP="00537226">
            <w:pPr>
              <w:keepNext/>
              <w:keepLines/>
              <w:autoSpaceDE w:val="0"/>
              <w:autoSpaceDN w:val="0"/>
              <w:adjustRightInd w:val="0"/>
              <w:rPr>
                <w:rFonts w:ascii="Calibri" w:hAnsi="Calibri"/>
              </w:rPr>
            </w:pPr>
            <w:r>
              <w:rPr>
                <w:rFonts w:ascii="Calibri" w:hAnsi="Calibri"/>
              </w:rPr>
              <w:t>ESRD with Dialysis</w:t>
            </w:r>
          </w:p>
        </w:tc>
        <w:tc>
          <w:tcPr>
            <w:tcW w:w="1218" w:type="dxa"/>
            <w:vAlign w:val="center"/>
          </w:tcPr>
          <w:p w14:paraId="3C755909" w14:textId="63B3B475" w:rsidR="009411AA" w:rsidRDefault="00DD631F" w:rsidP="00AC5292">
            <w:pPr>
              <w:keepNext/>
              <w:keepLines/>
              <w:autoSpaceDE w:val="0"/>
              <w:autoSpaceDN w:val="0"/>
              <w:adjustRightInd w:val="0"/>
              <w:jc w:val="center"/>
              <w:rPr>
                <w:rFonts w:ascii="Calibri" w:hAnsi="Calibri"/>
                <w:color w:val="0070C0"/>
              </w:rPr>
            </w:pPr>
            <w:r>
              <w:rPr>
                <w:rFonts w:ascii="Calibri" w:hAnsi="Calibri"/>
                <w:color w:val="0070C0"/>
              </w:rPr>
              <w:t>$61,460</w:t>
            </w:r>
          </w:p>
        </w:tc>
        <w:tc>
          <w:tcPr>
            <w:tcW w:w="1218" w:type="dxa"/>
            <w:vAlign w:val="center"/>
          </w:tcPr>
          <w:p w14:paraId="7CE5803D" w14:textId="1743A652" w:rsidR="009411AA" w:rsidRDefault="00DD631F" w:rsidP="00AC5292">
            <w:pPr>
              <w:keepNext/>
              <w:keepLines/>
              <w:autoSpaceDE w:val="0"/>
              <w:autoSpaceDN w:val="0"/>
              <w:adjustRightInd w:val="0"/>
              <w:jc w:val="center"/>
              <w:rPr>
                <w:rFonts w:ascii="Calibri" w:hAnsi="Calibri"/>
                <w:color w:val="0070C0"/>
              </w:rPr>
            </w:pPr>
            <w:r>
              <w:rPr>
                <w:rFonts w:ascii="Calibri" w:hAnsi="Calibri"/>
                <w:color w:val="0070C0"/>
              </w:rPr>
              <w:t>$39,363</w:t>
            </w:r>
          </w:p>
        </w:tc>
        <w:tc>
          <w:tcPr>
            <w:tcW w:w="1218" w:type="dxa"/>
            <w:vAlign w:val="center"/>
          </w:tcPr>
          <w:p w14:paraId="0B75996D" w14:textId="2DBBA56A" w:rsidR="009411AA" w:rsidRDefault="00DD631F" w:rsidP="00AC5292">
            <w:pPr>
              <w:keepNext/>
              <w:keepLines/>
              <w:autoSpaceDE w:val="0"/>
              <w:autoSpaceDN w:val="0"/>
              <w:adjustRightInd w:val="0"/>
              <w:jc w:val="center"/>
              <w:rPr>
                <w:rFonts w:ascii="Calibri" w:hAnsi="Calibri"/>
                <w:color w:val="0070C0"/>
              </w:rPr>
            </w:pPr>
            <w:r>
              <w:rPr>
                <w:rFonts w:ascii="Calibri" w:hAnsi="Calibri"/>
                <w:color w:val="0070C0"/>
              </w:rPr>
              <w:t>$88,556</w:t>
            </w:r>
          </w:p>
        </w:tc>
        <w:tc>
          <w:tcPr>
            <w:tcW w:w="1218" w:type="dxa"/>
            <w:vAlign w:val="center"/>
          </w:tcPr>
          <w:p w14:paraId="398BA86A" w14:textId="24CDC6F3" w:rsidR="009411AA" w:rsidRDefault="00DD631F" w:rsidP="00AC5292">
            <w:pPr>
              <w:keepNext/>
              <w:keepLines/>
              <w:autoSpaceDE w:val="0"/>
              <w:autoSpaceDN w:val="0"/>
              <w:adjustRightInd w:val="0"/>
              <w:jc w:val="center"/>
              <w:rPr>
                <w:rFonts w:ascii="Calibri" w:hAnsi="Calibri"/>
                <w:color w:val="0070C0"/>
              </w:rPr>
            </w:pPr>
            <w:r>
              <w:rPr>
                <w:rFonts w:ascii="Calibri" w:hAnsi="Calibri"/>
                <w:color w:val="0070C0"/>
              </w:rPr>
              <w:t>0.96</w:t>
            </w:r>
          </w:p>
        </w:tc>
        <w:tc>
          <w:tcPr>
            <w:tcW w:w="1218" w:type="dxa"/>
            <w:vAlign w:val="center"/>
          </w:tcPr>
          <w:p w14:paraId="3DC8BEBA" w14:textId="54631FFC" w:rsidR="009411AA" w:rsidRDefault="00DD631F" w:rsidP="00AC5292">
            <w:pPr>
              <w:keepNext/>
              <w:keepLines/>
              <w:autoSpaceDE w:val="0"/>
              <w:autoSpaceDN w:val="0"/>
              <w:adjustRightInd w:val="0"/>
              <w:jc w:val="center"/>
              <w:rPr>
                <w:rFonts w:ascii="Calibri" w:hAnsi="Calibri"/>
                <w:color w:val="0070C0"/>
              </w:rPr>
            </w:pPr>
            <w:r>
              <w:rPr>
                <w:rFonts w:ascii="Calibri" w:hAnsi="Calibri"/>
                <w:color w:val="0070C0"/>
              </w:rPr>
              <w:t>0.67</w:t>
            </w:r>
          </w:p>
        </w:tc>
        <w:tc>
          <w:tcPr>
            <w:tcW w:w="1218" w:type="dxa"/>
            <w:vAlign w:val="center"/>
          </w:tcPr>
          <w:p w14:paraId="5949C5B4" w14:textId="50FCCD13" w:rsidR="009411AA" w:rsidRDefault="00DD631F" w:rsidP="00AC5292">
            <w:pPr>
              <w:keepNext/>
              <w:keepLines/>
              <w:autoSpaceDE w:val="0"/>
              <w:autoSpaceDN w:val="0"/>
              <w:adjustRightInd w:val="0"/>
              <w:jc w:val="center"/>
              <w:rPr>
                <w:rFonts w:ascii="Calibri" w:hAnsi="Calibri"/>
                <w:color w:val="0070C0"/>
              </w:rPr>
            </w:pPr>
            <w:r>
              <w:rPr>
                <w:rFonts w:ascii="Calibri" w:hAnsi="Calibri"/>
                <w:color w:val="0070C0"/>
              </w:rPr>
              <w:t>1.35</w:t>
            </w:r>
          </w:p>
        </w:tc>
      </w:tr>
      <w:tr w:rsidR="009411AA" w14:paraId="3E2E3884" w14:textId="77777777" w:rsidTr="00AC5292">
        <w:tc>
          <w:tcPr>
            <w:tcW w:w="2065" w:type="dxa"/>
          </w:tcPr>
          <w:p w14:paraId="6819F824" w14:textId="0F4620BF" w:rsidR="009411AA" w:rsidRDefault="00C04EB1" w:rsidP="00537226">
            <w:pPr>
              <w:keepNext/>
              <w:keepLines/>
              <w:autoSpaceDE w:val="0"/>
              <w:autoSpaceDN w:val="0"/>
              <w:adjustRightInd w:val="0"/>
              <w:rPr>
                <w:rFonts w:ascii="Calibri" w:hAnsi="Calibri"/>
              </w:rPr>
            </w:pPr>
            <w:r>
              <w:rPr>
                <w:rFonts w:ascii="Calibri" w:hAnsi="Calibri"/>
              </w:rPr>
              <w:t>Shock</w:t>
            </w:r>
          </w:p>
        </w:tc>
        <w:tc>
          <w:tcPr>
            <w:tcW w:w="1218" w:type="dxa"/>
            <w:vAlign w:val="center"/>
          </w:tcPr>
          <w:p w14:paraId="4751587E" w14:textId="5E5A3674" w:rsidR="009411AA" w:rsidRDefault="00C04EB1" w:rsidP="00AC5292">
            <w:pPr>
              <w:keepNext/>
              <w:keepLines/>
              <w:autoSpaceDE w:val="0"/>
              <w:autoSpaceDN w:val="0"/>
              <w:adjustRightInd w:val="0"/>
              <w:jc w:val="center"/>
              <w:rPr>
                <w:rFonts w:ascii="Calibri" w:hAnsi="Calibri"/>
                <w:color w:val="0070C0"/>
              </w:rPr>
            </w:pPr>
            <w:r>
              <w:rPr>
                <w:rFonts w:ascii="Calibri" w:hAnsi="Calibri"/>
                <w:color w:val="0070C0"/>
              </w:rPr>
              <w:t>$69,988</w:t>
            </w:r>
          </w:p>
        </w:tc>
        <w:tc>
          <w:tcPr>
            <w:tcW w:w="1218" w:type="dxa"/>
            <w:vAlign w:val="center"/>
          </w:tcPr>
          <w:p w14:paraId="16BCA454" w14:textId="794F9B5F" w:rsidR="009411AA" w:rsidRDefault="00C04EB1" w:rsidP="00AC5292">
            <w:pPr>
              <w:keepNext/>
              <w:keepLines/>
              <w:autoSpaceDE w:val="0"/>
              <w:autoSpaceDN w:val="0"/>
              <w:adjustRightInd w:val="0"/>
              <w:jc w:val="center"/>
              <w:rPr>
                <w:rFonts w:ascii="Calibri" w:hAnsi="Calibri"/>
                <w:color w:val="0070C0"/>
              </w:rPr>
            </w:pPr>
            <w:r>
              <w:rPr>
                <w:rFonts w:ascii="Calibri" w:hAnsi="Calibri"/>
                <w:color w:val="0070C0"/>
              </w:rPr>
              <w:t>$43,878</w:t>
            </w:r>
          </w:p>
        </w:tc>
        <w:tc>
          <w:tcPr>
            <w:tcW w:w="1218" w:type="dxa"/>
            <w:vAlign w:val="center"/>
          </w:tcPr>
          <w:p w14:paraId="5DF8FA17" w14:textId="1697A77F" w:rsidR="009411AA" w:rsidRDefault="00C04EB1" w:rsidP="00AC5292">
            <w:pPr>
              <w:keepNext/>
              <w:keepLines/>
              <w:autoSpaceDE w:val="0"/>
              <w:autoSpaceDN w:val="0"/>
              <w:adjustRightInd w:val="0"/>
              <w:jc w:val="center"/>
              <w:rPr>
                <w:rFonts w:ascii="Calibri" w:hAnsi="Calibri"/>
                <w:color w:val="0070C0"/>
              </w:rPr>
            </w:pPr>
            <w:r>
              <w:rPr>
                <w:rFonts w:ascii="Calibri" w:hAnsi="Calibri"/>
                <w:color w:val="0070C0"/>
              </w:rPr>
              <w:t>$102,166</w:t>
            </w:r>
          </w:p>
        </w:tc>
        <w:tc>
          <w:tcPr>
            <w:tcW w:w="1218" w:type="dxa"/>
            <w:vAlign w:val="center"/>
          </w:tcPr>
          <w:p w14:paraId="339F1A73" w14:textId="7C50A249" w:rsidR="009411AA" w:rsidRDefault="00C04EB1" w:rsidP="00AC5292">
            <w:pPr>
              <w:keepNext/>
              <w:keepLines/>
              <w:autoSpaceDE w:val="0"/>
              <w:autoSpaceDN w:val="0"/>
              <w:adjustRightInd w:val="0"/>
              <w:jc w:val="center"/>
              <w:rPr>
                <w:rFonts w:ascii="Calibri" w:hAnsi="Calibri"/>
                <w:color w:val="0070C0"/>
              </w:rPr>
            </w:pPr>
            <w:r>
              <w:rPr>
                <w:rFonts w:ascii="Calibri" w:hAnsi="Calibri"/>
                <w:color w:val="0070C0"/>
              </w:rPr>
              <w:t>1.15</w:t>
            </w:r>
          </w:p>
        </w:tc>
        <w:tc>
          <w:tcPr>
            <w:tcW w:w="1218" w:type="dxa"/>
            <w:vAlign w:val="center"/>
          </w:tcPr>
          <w:p w14:paraId="79C67C4D" w14:textId="743B055C" w:rsidR="009411AA" w:rsidRDefault="00C04EB1" w:rsidP="00AC5292">
            <w:pPr>
              <w:keepNext/>
              <w:keepLines/>
              <w:autoSpaceDE w:val="0"/>
              <w:autoSpaceDN w:val="0"/>
              <w:adjustRightInd w:val="0"/>
              <w:jc w:val="center"/>
              <w:rPr>
                <w:rFonts w:ascii="Calibri" w:hAnsi="Calibri"/>
                <w:color w:val="0070C0"/>
              </w:rPr>
            </w:pPr>
            <w:r>
              <w:rPr>
                <w:rFonts w:ascii="Calibri" w:hAnsi="Calibri"/>
                <w:color w:val="0070C0"/>
              </w:rPr>
              <w:t>0.81</w:t>
            </w:r>
          </w:p>
        </w:tc>
        <w:tc>
          <w:tcPr>
            <w:tcW w:w="1218" w:type="dxa"/>
            <w:vAlign w:val="center"/>
          </w:tcPr>
          <w:p w14:paraId="4E9B7D99" w14:textId="15CCA710" w:rsidR="009411AA" w:rsidRDefault="00C04EB1" w:rsidP="00AC5292">
            <w:pPr>
              <w:keepNext/>
              <w:keepLines/>
              <w:autoSpaceDE w:val="0"/>
              <w:autoSpaceDN w:val="0"/>
              <w:adjustRightInd w:val="0"/>
              <w:jc w:val="center"/>
              <w:rPr>
                <w:rFonts w:ascii="Calibri" w:hAnsi="Calibri"/>
                <w:color w:val="0070C0"/>
              </w:rPr>
            </w:pPr>
            <w:r>
              <w:rPr>
                <w:rFonts w:ascii="Calibri" w:hAnsi="Calibri"/>
                <w:color w:val="0070C0"/>
              </w:rPr>
              <w:t>1.63</w:t>
            </w:r>
          </w:p>
        </w:tc>
      </w:tr>
      <w:tr w:rsidR="009411AA" w14:paraId="5E6540B5" w14:textId="77777777" w:rsidTr="00AC5292">
        <w:tc>
          <w:tcPr>
            <w:tcW w:w="2065" w:type="dxa"/>
          </w:tcPr>
          <w:p w14:paraId="3D25C0A5" w14:textId="7EA20781" w:rsidR="009411AA" w:rsidRDefault="00AD2478" w:rsidP="00537226">
            <w:pPr>
              <w:keepNext/>
              <w:keepLines/>
              <w:autoSpaceDE w:val="0"/>
              <w:autoSpaceDN w:val="0"/>
              <w:adjustRightInd w:val="0"/>
              <w:rPr>
                <w:rFonts w:ascii="Calibri" w:hAnsi="Calibri"/>
              </w:rPr>
            </w:pPr>
            <w:r>
              <w:rPr>
                <w:rFonts w:ascii="Calibri" w:hAnsi="Calibri"/>
              </w:rPr>
              <w:t>Redo Sternotom</w:t>
            </w:r>
            <w:r w:rsidR="00C04EB1">
              <w:rPr>
                <w:rFonts w:ascii="Calibri" w:hAnsi="Calibri"/>
              </w:rPr>
              <w:t>y</w:t>
            </w:r>
          </w:p>
        </w:tc>
        <w:tc>
          <w:tcPr>
            <w:tcW w:w="1218" w:type="dxa"/>
            <w:vAlign w:val="center"/>
          </w:tcPr>
          <w:p w14:paraId="6C5C4D42" w14:textId="7873561A" w:rsidR="009411AA" w:rsidRDefault="008F46E2" w:rsidP="00AC5292">
            <w:pPr>
              <w:keepNext/>
              <w:keepLines/>
              <w:autoSpaceDE w:val="0"/>
              <w:autoSpaceDN w:val="0"/>
              <w:adjustRightInd w:val="0"/>
              <w:jc w:val="center"/>
              <w:rPr>
                <w:rFonts w:ascii="Calibri" w:hAnsi="Calibri"/>
                <w:color w:val="0070C0"/>
              </w:rPr>
            </w:pPr>
            <w:r>
              <w:rPr>
                <w:rFonts w:ascii="Calibri" w:hAnsi="Calibri"/>
                <w:color w:val="0070C0"/>
              </w:rPr>
              <w:t>$50,356</w:t>
            </w:r>
          </w:p>
        </w:tc>
        <w:tc>
          <w:tcPr>
            <w:tcW w:w="1218" w:type="dxa"/>
            <w:vAlign w:val="center"/>
          </w:tcPr>
          <w:p w14:paraId="2C0CDC95" w14:textId="136754CE" w:rsidR="009411AA" w:rsidRDefault="008F46E2" w:rsidP="00AC5292">
            <w:pPr>
              <w:keepNext/>
              <w:keepLines/>
              <w:autoSpaceDE w:val="0"/>
              <w:autoSpaceDN w:val="0"/>
              <w:adjustRightInd w:val="0"/>
              <w:jc w:val="center"/>
              <w:rPr>
                <w:rFonts w:ascii="Calibri" w:hAnsi="Calibri"/>
                <w:color w:val="0070C0"/>
              </w:rPr>
            </w:pPr>
            <w:r>
              <w:rPr>
                <w:rFonts w:ascii="Calibri" w:hAnsi="Calibri"/>
                <w:color w:val="0070C0"/>
              </w:rPr>
              <w:t>$29,306</w:t>
            </w:r>
          </w:p>
        </w:tc>
        <w:tc>
          <w:tcPr>
            <w:tcW w:w="1218" w:type="dxa"/>
            <w:vAlign w:val="center"/>
          </w:tcPr>
          <w:p w14:paraId="0477007F" w14:textId="26070FFE" w:rsidR="009411AA" w:rsidRDefault="008F46E2" w:rsidP="00AC5292">
            <w:pPr>
              <w:keepNext/>
              <w:keepLines/>
              <w:autoSpaceDE w:val="0"/>
              <w:autoSpaceDN w:val="0"/>
              <w:adjustRightInd w:val="0"/>
              <w:jc w:val="center"/>
              <w:rPr>
                <w:rFonts w:ascii="Calibri" w:hAnsi="Calibri"/>
                <w:color w:val="0070C0"/>
              </w:rPr>
            </w:pPr>
            <w:r>
              <w:rPr>
                <w:rFonts w:ascii="Calibri" w:hAnsi="Calibri"/>
                <w:color w:val="0070C0"/>
              </w:rPr>
              <w:t>$76,790</w:t>
            </w:r>
          </w:p>
        </w:tc>
        <w:tc>
          <w:tcPr>
            <w:tcW w:w="1218" w:type="dxa"/>
            <w:vAlign w:val="center"/>
          </w:tcPr>
          <w:p w14:paraId="645ABCBC" w14:textId="2D70B8B0" w:rsidR="009411AA" w:rsidRDefault="008F46E2" w:rsidP="00AC5292">
            <w:pPr>
              <w:keepNext/>
              <w:keepLines/>
              <w:autoSpaceDE w:val="0"/>
              <w:autoSpaceDN w:val="0"/>
              <w:adjustRightInd w:val="0"/>
              <w:jc w:val="center"/>
              <w:rPr>
                <w:rFonts w:ascii="Calibri" w:hAnsi="Calibri"/>
                <w:color w:val="0070C0"/>
              </w:rPr>
            </w:pPr>
            <w:r>
              <w:rPr>
                <w:rFonts w:ascii="Calibri" w:hAnsi="Calibri"/>
                <w:color w:val="0070C0"/>
              </w:rPr>
              <w:t>1.03</w:t>
            </w:r>
          </w:p>
        </w:tc>
        <w:tc>
          <w:tcPr>
            <w:tcW w:w="1218" w:type="dxa"/>
            <w:vAlign w:val="center"/>
          </w:tcPr>
          <w:p w14:paraId="080765C5" w14:textId="2424EFDA" w:rsidR="009411AA" w:rsidRDefault="008F46E2" w:rsidP="00AC5292">
            <w:pPr>
              <w:keepNext/>
              <w:keepLines/>
              <w:autoSpaceDE w:val="0"/>
              <w:autoSpaceDN w:val="0"/>
              <w:adjustRightInd w:val="0"/>
              <w:jc w:val="center"/>
              <w:rPr>
                <w:rFonts w:ascii="Calibri" w:hAnsi="Calibri"/>
                <w:color w:val="0070C0"/>
              </w:rPr>
            </w:pPr>
            <w:r>
              <w:rPr>
                <w:rFonts w:ascii="Calibri" w:hAnsi="Calibri"/>
                <w:color w:val="0070C0"/>
              </w:rPr>
              <w:t>0.79</w:t>
            </w:r>
          </w:p>
        </w:tc>
        <w:tc>
          <w:tcPr>
            <w:tcW w:w="1218" w:type="dxa"/>
            <w:vAlign w:val="center"/>
          </w:tcPr>
          <w:p w14:paraId="1ED7F881" w14:textId="6A4CD893" w:rsidR="009411AA" w:rsidRDefault="008F46E2" w:rsidP="00AC5292">
            <w:pPr>
              <w:keepNext/>
              <w:keepLines/>
              <w:autoSpaceDE w:val="0"/>
              <w:autoSpaceDN w:val="0"/>
              <w:adjustRightInd w:val="0"/>
              <w:jc w:val="center"/>
              <w:rPr>
                <w:rFonts w:ascii="Calibri" w:hAnsi="Calibri"/>
                <w:color w:val="0070C0"/>
              </w:rPr>
            </w:pPr>
            <w:r>
              <w:rPr>
                <w:rFonts w:ascii="Calibri" w:hAnsi="Calibri"/>
                <w:color w:val="0070C0"/>
              </w:rPr>
              <w:t>1.37</w:t>
            </w:r>
          </w:p>
        </w:tc>
      </w:tr>
      <w:tr w:rsidR="00FB4DA4" w14:paraId="362116E4" w14:textId="77777777" w:rsidTr="00AC5292">
        <w:tc>
          <w:tcPr>
            <w:tcW w:w="2065" w:type="dxa"/>
          </w:tcPr>
          <w:p w14:paraId="1712096E" w14:textId="77777777" w:rsidR="00FB4DA4" w:rsidRPr="00AC3295" w:rsidRDefault="00FB4DA4" w:rsidP="00537226">
            <w:pPr>
              <w:keepNext/>
              <w:keepLines/>
              <w:autoSpaceDE w:val="0"/>
              <w:autoSpaceDN w:val="0"/>
              <w:adjustRightInd w:val="0"/>
              <w:rPr>
                <w:rFonts w:ascii="Calibri" w:hAnsi="Calibri"/>
              </w:rPr>
            </w:pPr>
            <w:r w:rsidRPr="00AC3295">
              <w:rPr>
                <w:rFonts w:ascii="Calibri" w:hAnsi="Calibri"/>
              </w:rPr>
              <w:t>Outlier Cases</w:t>
            </w:r>
          </w:p>
        </w:tc>
        <w:tc>
          <w:tcPr>
            <w:tcW w:w="1218" w:type="dxa"/>
            <w:vAlign w:val="center"/>
          </w:tcPr>
          <w:p w14:paraId="70FDE1A5" w14:textId="72CB391F" w:rsidR="00FB4DA4" w:rsidRDefault="008F46E2" w:rsidP="00AC5292">
            <w:pPr>
              <w:keepNext/>
              <w:keepLines/>
              <w:autoSpaceDE w:val="0"/>
              <w:autoSpaceDN w:val="0"/>
              <w:adjustRightInd w:val="0"/>
              <w:jc w:val="center"/>
              <w:rPr>
                <w:rFonts w:ascii="Calibri" w:hAnsi="Calibri"/>
                <w:color w:val="0070C0"/>
              </w:rPr>
            </w:pPr>
            <w:r>
              <w:rPr>
                <w:rFonts w:ascii="Calibri" w:hAnsi="Calibri"/>
                <w:color w:val="0070C0"/>
              </w:rPr>
              <w:t>$82,760</w:t>
            </w:r>
          </w:p>
        </w:tc>
        <w:tc>
          <w:tcPr>
            <w:tcW w:w="1218" w:type="dxa"/>
            <w:vAlign w:val="center"/>
          </w:tcPr>
          <w:p w14:paraId="56C67C8A" w14:textId="33874B44" w:rsidR="00FB4DA4" w:rsidRDefault="008F46E2" w:rsidP="00AC5292">
            <w:pPr>
              <w:keepNext/>
              <w:keepLines/>
              <w:autoSpaceDE w:val="0"/>
              <w:autoSpaceDN w:val="0"/>
              <w:adjustRightInd w:val="0"/>
              <w:jc w:val="center"/>
              <w:rPr>
                <w:rFonts w:ascii="Calibri" w:hAnsi="Calibri"/>
                <w:color w:val="0070C0"/>
              </w:rPr>
            </w:pPr>
            <w:r>
              <w:rPr>
                <w:rFonts w:ascii="Calibri" w:hAnsi="Calibri"/>
                <w:color w:val="0070C0"/>
              </w:rPr>
              <w:t>$28,545</w:t>
            </w:r>
          </w:p>
        </w:tc>
        <w:tc>
          <w:tcPr>
            <w:tcW w:w="1218" w:type="dxa"/>
            <w:vAlign w:val="center"/>
          </w:tcPr>
          <w:p w14:paraId="17A48EE1" w14:textId="6A503C89" w:rsidR="00FB4DA4" w:rsidRDefault="008F46E2" w:rsidP="00AC5292">
            <w:pPr>
              <w:keepNext/>
              <w:keepLines/>
              <w:autoSpaceDE w:val="0"/>
              <w:autoSpaceDN w:val="0"/>
              <w:adjustRightInd w:val="0"/>
              <w:jc w:val="center"/>
              <w:rPr>
                <w:rFonts w:ascii="Calibri" w:hAnsi="Calibri"/>
                <w:color w:val="0070C0"/>
              </w:rPr>
            </w:pPr>
            <w:r>
              <w:rPr>
                <w:rFonts w:ascii="Calibri" w:hAnsi="Calibri"/>
                <w:color w:val="0070C0"/>
              </w:rPr>
              <w:t>$150,712</w:t>
            </w:r>
          </w:p>
        </w:tc>
        <w:tc>
          <w:tcPr>
            <w:tcW w:w="1218" w:type="dxa"/>
            <w:vAlign w:val="center"/>
          </w:tcPr>
          <w:p w14:paraId="1F0A11ED" w14:textId="1900C85C" w:rsidR="00FB4DA4" w:rsidRDefault="008F46E2" w:rsidP="00AC5292">
            <w:pPr>
              <w:keepNext/>
              <w:keepLines/>
              <w:autoSpaceDE w:val="0"/>
              <w:autoSpaceDN w:val="0"/>
              <w:adjustRightInd w:val="0"/>
              <w:jc w:val="center"/>
              <w:rPr>
                <w:rFonts w:ascii="Calibri" w:hAnsi="Calibri"/>
                <w:color w:val="0070C0"/>
              </w:rPr>
            </w:pPr>
            <w:r>
              <w:rPr>
                <w:rFonts w:ascii="Calibri" w:hAnsi="Calibri"/>
                <w:color w:val="0070C0"/>
              </w:rPr>
              <w:t>1.54</w:t>
            </w:r>
          </w:p>
        </w:tc>
        <w:tc>
          <w:tcPr>
            <w:tcW w:w="1218" w:type="dxa"/>
            <w:vAlign w:val="center"/>
          </w:tcPr>
          <w:p w14:paraId="605E6FD0" w14:textId="2EB442DF" w:rsidR="00FB4DA4" w:rsidRDefault="008F46E2" w:rsidP="00AC5292">
            <w:pPr>
              <w:keepNext/>
              <w:keepLines/>
              <w:autoSpaceDE w:val="0"/>
              <w:autoSpaceDN w:val="0"/>
              <w:adjustRightInd w:val="0"/>
              <w:jc w:val="center"/>
              <w:rPr>
                <w:rFonts w:ascii="Calibri" w:hAnsi="Calibri"/>
                <w:color w:val="0070C0"/>
              </w:rPr>
            </w:pPr>
            <w:r>
              <w:rPr>
                <w:rFonts w:ascii="Calibri" w:hAnsi="Calibri"/>
                <w:color w:val="0070C0"/>
              </w:rPr>
              <w:t>0.54</w:t>
            </w:r>
          </w:p>
        </w:tc>
        <w:tc>
          <w:tcPr>
            <w:tcW w:w="1218" w:type="dxa"/>
            <w:vAlign w:val="center"/>
          </w:tcPr>
          <w:p w14:paraId="21F459AD" w14:textId="0D2876BC" w:rsidR="00FB4DA4" w:rsidRDefault="008F46E2" w:rsidP="00AC5292">
            <w:pPr>
              <w:keepNext/>
              <w:keepLines/>
              <w:autoSpaceDE w:val="0"/>
              <w:autoSpaceDN w:val="0"/>
              <w:adjustRightInd w:val="0"/>
              <w:jc w:val="center"/>
              <w:rPr>
                <w:rFonts w:ascii="Calibri" w:hAnsi="Calibri"/>
                <w:color w:val="0070C0"/>
              </w:rPr>
            </w:pPr>
            <w:r>
              <w:rPr>
                <w:rFonts w:ascii="Calibri" w:hAnsi="Calibri"/>
                <w:color w:val="0070C0"/>
              </w:rPr>
              <w:t>2.82</w:t>
            </w:r>
          </w:p>
        </w:tc>
      </w:tr>
      <w:tr w:rsidR="00FB4DA4" w14:paraId="6AF22A35" w14:textId="77777777" w:rsidTr="00AC5292">
        <w:tc>
          <w:tcPr>
            <w:tcW w:w="2065" w:type="dxa"/>
          </w:tcPr>
          <w:p w14:paraId="2E7808E3" w14:textId="484E19C1" w:rsidR="00FB4DA4" w:rsidRPr="000928F3" w:rsidRDefault="000928F3" w:rsidP="00537226">
            <w:pPr>
              <w:keepNext/>
              <w:keepLines/>
              <w:autoSpaceDE w:val="0"/>
              <w:autoSpaceDN w:val="0"/>
              <w:adjustRightInd w:val="0"/>
              <w:rPr>
                <w:rFonts w:ascii="Calibri" w:hAnsi="Calibri"/>
                <w:b/>
              </w:rPr>
            </w:pPr>
            <w:r w:rsidRPr="000928F3">
              <w:rPr>
                <w:rFonts w:ascii="Calibri" w:hAnsi="Calibri"/>
                <w:b/>
              </w:rPr>
              <w:t>Included</w:t>
            </w:r>
            <w:r w:rsidR="00FB4DA4" w:rsidRPr="000928F3">
              <w:rPr>
                <w:rFonts w:ascii="Calibri" w:hAnsi="Calibri"/>
                <w:b/>
              </w:rPr>
              <w:t xml:space="preserve"> Episodes (TIN level)</w:t>
            </w:r>
          </w:p>
        </w:tc>
        <w:tc>
          <w:tcPr>
            <w:tcW w:w="1218" w:type="dxa"/>
            <w:vAlign w:val="center"/>
          </w:tcPr>
          <w:p w14:paraId="01703911" w14:textId="3DEE53E1" w:rsidR="00FB4DA4" w:rsidRDefault="00AC5292" w:rsidP="00AC5292">
            <w:pPr>
              <w:keepNext/>
              <w:keepLines/>
              <w:autoSpaceDE w:val="0"/>
              <w:autoSpaceDN w:val="0"/>
              <w:adjustRightInd w:val="0"/>
              <w:jc w:val="center"/>
              <w:rPr>
                <w:rFonts w:ascii="Calibri" w:hAnsi="Calibri"/>
                <w:color w:val="0070C0"/>
              </w:rPr>
            </w:pPr>
            <w:r>
              <w:rPr>
                <w:rFonts w:ascii="Calibri" w:hAnsi="Calibri"/>
                <w:color w:val="0070C0"/>
              </w:rPr>
              <w:t>$43,303</w:t>
            </w:r>
          </w:p>
        </w:tc>
        <w:tc>
          <w:tcPr>
            <w:tcW w:w="1218" w:type="dxa"/>
            <w:vAlign w:val="center"/>
          </w:tcPr>
          <w:p w14:paraId="4949E1C5" w14:textId="4DC643FB" w:rsidR="00FB4DA4" w:rsidRDefault="00AC5292" w:rsidP="00AC5292">
            <w:pPr>
              <w:keepNext/>
              <w:keepLines/>
              <w:autoSpaceDE w:val="0"/>
              <w:autoSpaceDN w:val="0"/>
              <w:adjustRightInd w:val="0"/>
              <w:jc w:val="center"/>
              <w:rPr>
                <w:rFonts w:ascii="Calibri" w:hAnsi="Calibri"/>
                <w:color w:val="0070C0"/>
              </w:rPr>
            </w:pPr>
            <w:r>
              <w:rPr>
                <w:rFonts w:ascii="Calibri" w:hAnsi="Calibri"/>
                <w:color w:val="0070C0"/>
              </w:rPr>
              <w:t>$28,540</w:t>
            </w:r>
          </w:p>
        </w:tc>
        <w:tc>
          <w:tcPr>
            <w:tcW w:w="1218" w:type="dxa"/>
            <w:vAlign w:val="center"/>
          </w:tcPr>
          <w:p w14:paraId="32671CEF" w14:textId="31D94A9D" w:rsidR="00FB4DA4" w:rsidRDefault="00AC5292" w:rsidP="00AC5292">
            <w:pPr>
              <w:keepNext/>
              <w:keepLines/>
              <w:autoSpaceDE w:val="0"/>
              <w:autoSpaceDN w:val="0"/>
              <w:adjustRightInd w:val="0"/>
              <w:jc w:val="center"/>
              <w:rPr>
                <w:rFonts w:ascii="Calibri" w:hAnsi="Calibri"/>
                <w:color w:val="0070C0"/>
              </w:rPr>
            </w:pPr>
            <w:r>
              <w:rPr>
                <w:rFonts w:ascii="Calibri" w:hAnsi="Calibri"/>
                <w:color w:val="0070C0"/>
              </w:rPr>
              <w:t>$63,167</w:t>
            </w:r>
          </w:p>
        </w:tc>
        <w:tc>
          <w:tcPr>
            <w:tcW w:w="1218" w:type="dxa"/>
            <w:vAlign w:val="center"/>
          </w:tcPr>
          <w:p w14:paraId="38CDBE03" w14:textId="48B0569C" w:rsidR="00FB4DA4" w:rsidRDefault="00AC5292" w:rsidP="00AC5292">
            <w:pPr>
              <w:keepNext/>
              <w:keepLines/>
              <w:autoSpaceDE w:val="0"/>
              <w:autoSpaceDN w:val="0"/>
              <w:adjustRightInd w:val="0"/>
              <w:jc w:val="center"/>
              <w:rPr>
                <w:rFonts w:ascii="Calibri" w:hAnsi="Calibri"/>
                <w:color w:val="0070C0"/>
              </w:rPr>
            </w:pPr>
            <w:r>
              <w:rPr>
                <w:rFonts w:ascii="Calibri" w:hAnsi="Calibri"/>
                <w:color w:val="0070C0"/>
              </w:rPr>
              <w:t>0.99</w:t>
            </w:r>
          </w:p>
        </w:tc>
        <w:tc>
          <w:tcPr>
            <w:tcW w:w="1218" w:type="dxa"/>
            <w:vAlign w:val="center"/>
          </w:tcPr>
          <w:p w14:paraId="47FF53FA" w14:textId="11C7D922" w:rsidR="00FB4DA4" w:rsidRDefault="00AC5292" w:rsidP="00AC5292">
            <w:pPr>
              <w:keepNext/>
              <w:keepLines/>
              <w:autoSpaceDE w:val="0"/>
              <w:autoSpaceDN w:val="0"/>
              <w:adjustRightInd w:val="0"/>
              <w:jc w:val="center"/>
              <w:rPr>
                <w:rFonts w:ascii="Calibri" w:hAnsi="Calibri"/>
                <w:color w:val="0070C0"/>
              </w:rPr>
            </w:pPr>
            <w:r>
              <w:rPr>
                <w:rFonts w:ascii="Calibri" w:hAnsi="Calibri"/>
                <w:color w:val="0070C0"/>
              </w:rPr>
              <w:t>0.80</w:t>
            </w:r>
          </w:p>
        </w:tc>
        <w:tc>
          <w:tcPr>
            <w:tcW w:w="1218" w:type="dxa"/>
            <w:vAlign w:val="center"/>
          </w:tcPr>
          <w:p w14:paraId="29458453" w14:textId="3EC40B3E" w:rsidR="00FB4DA4" w:rsidRDefault="00AC5292" w:rsidP="00AC5292">
            <w:pPr>
              <w:keepNext/>
              <w:keepLines/>
              <w:autoSpaceDE w:val="0"/>
              <w:autoSpaceDN w:val="0"/>
              <w:adjustRightInd w:val="0"/>
              <w:jc w:val="center"/>
              <w:rPr>
                <w:rFonts w:ascii="Calibri" w:hAnsi="Calibri"/>
                <w:color w:val="0070C0"/>
              </w:rPr>
            </w:pPr>
            <w:r>
              <w:rPr>
                <w:rFonts w:ascii="Calibri" w:hAnsi="Calibri"/>
                <w:color w:val="0070C0"/>
              </w:rPr>
              <w:t>1.27</w:t>
            </w:r>
          </w:p>
        </w:tc>
      </w:tr>
      <w:tr w:rsidR="00AC5292" w14:paraId="0A42E73A" w14:textId="77777777" w:rsidTr="00AC5292">
        <w:tc>
          <w:tcPr>
            <w:tcW w:w="2065" w:type="dxa"/>
          </w:tcPr>
          <w:p w14:paraId="0AD68D6C" w14:textId="1C6B3411" w:rsidR="00AC5292" w:rsidRPr="000928F3" w:rsidRDefault="00AC5292" w:rsidP="00AC5292">
            <w:pPr>
              <w:keepNext/>
              <w:keepLines/>
              <w:autoSpaceDE w:val="0"/>
              <w:autoSpaceDN w:val="0"/>
              <w:adjustRightInd w:val="0"/>
              <w:rPr>
                <w:rFonts w:ascii="Calibri" w:hAnsi="Calibri"/>
                <w:b/>
              </w:rPr>
            </w:pPr>
            <w:r w:rsidRPr="000928F3">
              <w:rPr>
                <w:rFonts w:ascii="Calibri" w:hAnsi="Calibri"/>
                <w:b/>
              </w:rPr>
              <w:t>Included Episodes (TIN-NPI level)</w:t>
            </w:r>
          </w:p>
        </w:tc>
        <w:tc>
          <w:tcPr>
            <w:tcW w:w="1218" w:type="dxa"/>
            <w:vAlign w:val="center"/>
          </w:tcPr>
          <w:p w14:paraId="592A6D83" w14:textId="67F9F641" w:rsidR="00AC5292" w:rsidRDefault="00AC5292" w:rsidP="00AC5292">
            <w:pPr>
              <w:keepNext/>
              <w:keepLines/>
              <w:autoSpaceDE w:val="0"/>
              <w:autoSpaceDN w:val="0"/>
              <w:adjustRightInd w:val="0"/>
              <w:jc w:val="center"/>
              <w:rPr>
                <w:rFonts w:ascii="Calibri" w:hAnsi="Calibri"/>
                <w:color w:val="0070C0"/>
              </w:rPr>
            </w:pPr>
            <w:r>
              <w:rPr>
                <w:rFonts w:ascii="Calibri" w:hAnsi="Calibri"/>
                <w:color w:val="0070C0"/>
              </w:rPr>
              <w:t>$43,121</w:t>
            </w:r>
          </w:p>
        </w:tc>
        <w:tc>
          <w:tcPr>
            <w:tcW w:w="1218" w:type="dxa"/>
            <w:vAlign w:val="center"/>
          </w:tcPr>
          <w:p w14:paraId="4BB82A75" w14:textId="755D5052" w:rsidR="00AC5292" w:rsidRDefault="00AC5292" w:rsidP="00AC5292">
            <w:pPr>
              <w:keepNext/>
              <w:keepLines/>
              <w:autoSpaceDE w:val="0"/>
              <w:autoSpaceDN w:val="0"/>
              <w:adjustRightInd w:val="0"/>
              <w:jc w:val="center"/>
              <w:rPr>
                <w:rFonts w:ascii="Calibri" w:hAnsi="Calibri"/>
                <w:color w:val="0070C0"/>
              </w:rPr>
            </w:pPr>
            <w:r>
              <w:rPr>
                <w:rFonts w:ascii="Calibri" w:hAnsi="Calibri"/>
                <w:color w:val="0070C0"/>
              </w:rPr>
              <w:t>$28,501</w:t>
            </w:r>
          </w:p>
        </w:tc>
        <w:tc>
          <w:tcPr>
            <w:tcW w:w="1218" w:type="dxa"/>
            <w:vAlign w:val="center"/>
          </w:tcPr>
          <w:p w14:paraId="7341AB9C" w14:textId="76232FBA" w:rsidR="00AC5292" w:rsidRDefault="00AC5292" w:rsidP="00AC5292">
            <w:pPr>
              <w:keepNext/>
              <w:keepLines/>
              <w:autoSpaceDE w:val="0"/>
              <w:autoSpaceDN w:val="0"/>
              <w:adjustRightInd w:val="0"/>
              <w:jc w:val="center"/>
              <w:rPr>
                <w:rFonts w:ascii="Calibri" w:hAnsi="Calibri"/>
                <w:color w:val="0070C0"/>
              </w:rPr>
            </w:pPr>
            <w:r>
              <w:rPr>
                <w:rFonts w:ascii="Calibri" w:hAnsi="Calibri"/>
                <w:color w:val="0070C0"/>
              </w:rPr>
              <w:t>$62,867</w:t>
            </w:r>
          </w:p>
        </w:tc>
        <w:tc>
          <w:tcPr>
            <w:tcW w:w="1218" w:type="dxa"/>
            <w:vAlign w:val="center"/>
          </w:tcPr>
          <w:p w14:paraId="39616919" w14:textId="041C883A" w:rsidR="00AC5292" w:rsidRDefault="00AC5292" w:rsidP="00AC5292">
            <w:pPr>
              <w:keepNext/>
              <w:keepLines/>
              <w:autoSpaceDE w:val="0"/>
              <w:autoSpaceDN w:val="0"/>
              <w:adjustRightInd w:val="0"/>
              <w:jc w:val="center"/>
              <w:rPr>
                <w:rFonts w:ascii="Calibri" w:hAnsi="Calibri"/>
                <w:color w:val="0070C0"/>
              </w:rPr>
            </w:pPr>
            <w:r>
              <w:rPr>
                <w:rFonts w:ascii="Calibri" w:hAnsi="Calibri"/>
                <w:color w:val="0070C0"/>
              </w:rPr>
              <w:t>0.99</w:t>
            </w:r>
          </w:p>
        </w:tc>
        <w:tc>
          <w:tcPr>
            <w:tcW w:w="1218" w:type="dxa"/>
            <w:vAlign w:val="center"/>
          </w:tcPr>
          <w:p w14:paraId="6909AD6F" w14:textId="7A919B82" w:rsidR="00AC5292" w:rsidRDefault="00AC5292" w:rsidP="00AC5292">
            <w:pPr>
              <w:keepNext/>
              <w:keepLines/>
              <w:autoSpaceDE w:val="0"/>
              <w:autoSpaceDN w:val="0"/>
              <w:adjustRightInd w:val="0"/>
              <w:jc w:val="center"/>
              <w:rPr>
                <w:rFonts w:ascii="Calibri" w:hAnsi="Calibri"/>
                <w:color w:val="0070C0"/>
              </w:rPr>
            </w:pPr>
            <w:r>
              <w:rPr>
                <w:rFonts w:ascii="Calibri" w:hAnsi="Calibri"/>
                <w:color w:val="0070C0"/>
              </w:rPr>
              <w:t>0.80</w:t>
            </w:r>
          </w:p>
        </w:tc>
        <w:tc>
          <w:tcPr>
            <w:tcW w:w="1218" w:type="dxa"/>
            <w:vAlign w:val="center"/>
          </w:tcPr>
          <w:p w14:paraId="334F74DC" w14:textId="09502277" w:rsidR="00AC5292" w:rsidRDefault="00AC5292" w:rsidP="00AC5292">
            <w:pPr>
              <w:keepNext/>
              <w:keepLines/>
              <w:autoSpaceDE w:val="0"/>
              <w:autoSpaceDN w:val="0"/>
              <w:adjustRightInd w:val="0"/>
              <w:jc w:val="center"/>
              <w:rPr>
                <w:rFonts w:ascii="Calibri" w:hAnsi="Calibri"/>
                <w:color w:val="0070C0"/>
              </w:rPr>
            </w:pPr>
            <w:r>
              <w:rPr>
                <w:rFonts w:ascii="Calibri" w:hAnsi="Calibri"/>
                <w:color w:val="0070C0"/>
              </w:rPr>
              <w:t>1.26</w:t>
            </w:r>
          </w:p>
        </w:tc>
      </w:tr>
    </w:tbl>
    <w:p w14:paraId="1D5B44B3" w14:textId="13D81742" w:rsidR="005F04B7" w:rsidRPr="00C87C6A" w:rsidRDefault="005F04B7" w:rsidP="005F04B7">
      <w:pPr>
        <w:autoSpaceDE w:val="0"/>
        <w:autoSpaceDN w:val="0"/>
        <w:adjustRightInd w:val="0"/>
        <w:spacing w:after="0" w:line="240" w:lineRule="auto"/>
        <w:rPr>
          <w:rFonts w:cstheme="minorHAnsi"/>
          <w:bCs/>
        </w:rPr>
      </w:pPr>
      <w:r>
        <w:rPr>
          <w:rFonts w:cstheme="minorHAnsi"/>
          <w:bCs/>
        </w:rPr>
        <w:t>* indicates 10 or fewer episodes/</w:t>
      </w:r>
      <w:r w:rsidR="009E48AC">
        <w:rPr>
          <w:rFonts w:cstheme="minorHAnsi"/>
          <w:bCs/>
        </w:rPr>
        <w:t>patients</w:t>
      </w:r>
      <w:r>
        <w:rPr>
          <w:rFonts w:cstheme="minorHAnsi"/>
          <w:bCs/>
        </w:rPr>
        <w:t>, in line with the CMS cell size suppression policy</w:t>
      </w:r>
      <w:r>
        <w:rPr>
          <w:rStyle w:val="FootnoteReference"/>
          <w:bCs/>
        </w:rPr>
        <w:footnoteReference w:id="7"/>
      </w:r>
    </w:p>
    <w:p w14:paraId="2B6BD47B" w14:textId="77777777" w:rsidR="00303FFC" w:rsidRDefault="00303FFC"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8B00C67"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D83E9F">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r w:rsidR="00713394" w:rsidRPr="00A25024">
        <w:rPr>
          <w:rFonts w:cstheme="minorHAnsi"/>
          <w:bCs/>
          <w:i/>
        </w:rPr>
        <w:lastRenderedPageBreak/>
        <w:t>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33E2A4FB" w14:textId="697AAD36" w:rsidR="00815382" w:rsidRPr="00D408DC" w:rsidRDefault="00815382" w:rsidP="00815382">
      <w:pPr>
        <w:autoSpaceDE w:val="0"/>
        <w:autoSpaceDN w:val="0"/>
        <w:adjustRightInd w:val="0"/>
        <w:spacing w:after="0" w:line="240" w:lineRule="auto"/>
        <w:rPr>
          <w:rFonts w:cstheme="minorHAnsi"/>
          <w:bCs/>
          <w:color w:val="0070C0"/>
        </w:rPr>
      </w:pPr>
      <w:r w:rsidRPr="00815382">
        <w:rPr>
          <w:rFonts w:cstheme="minorHAnsi"/>
          <w:bCs/>
          <w:color w:val="0070C0"/>
        </w:rPr>
        <w:t>The statistical results provide evidence that excluded episodes are not comparable to the overall measure population. Specifically, the distinct cost and risk characteristics of th</w:t>
      </w:r>
      <w:r w:rsidR="009A5DBD">
        <w:rPr>
          <w:rFonts w:cstheme="minorHAnsi"/>
          <w:bCs/>
          <w:color w:val="0070C0"/>
        </w:rPr>
        <w:t>e episode populations in Table 6</w:t>
      </w:r>
      <w:r w:rsidRPr="00815382">
        <w:rPr>
          <w:rFonts w:cstheme="minorHAnsi"/>
          <w:bCs/>
          <w:color w:val="0070C0"/>
        </w:rPr>
        <w:t xml:space="preserve"> substantiate the clinical rationale, outlined in Section S.9.1 of the Intent to Submit, for why these populations should be excluded to prevent unfair comparisons and potential threats to measure validity. Results for each exclusion are discussed further below.</w:t>
      </w:r>
      <w:r>
        <w:rPr>
          <w:rFonts w:cstheme="minorHAnsi"/>
          <w:bCs/>
          <w:color w:val="0070C0"/>
        </w:rPr>
        <w:t xml:space="preserve"> </w:t>
      </w:r>
    </w:p>
    <w:p w14:paraId="4AA668D0" w14:textId="77777777" w:rsidR="00D30A6C" w:rsidRDefault="00D30A6C" w:rsidP="00D30A6C">
      <w:pPr>
        <w:autoSpaceDE w:val="0"/>
        <w:autoSpaceDN w:val="0"/>
        <w:adjustRightInd w:val="0"/>
        <w:spacing w:after="0" w:line="240" w:lineRule="auto"/>
        <w:rPr>
          <w:rFonts w:cstheme="minorHAnsi"/>
          <w:bCs/>
        </w:rPr>
      </w:pPr>
    </w:p>
    <w:p w14:paraId="2419AEB7" w14:textId="69F1B244" w:rsidR="003769E5" w:rsidRPr="00443764" w:rsidRDefault="003769E5" w:rsidP="00815382">
      <w:pPr>
        <w:autoSpaceDE w:val="0"/>
        <w:autoSpaceDN w:val="0"/>
        <w:adjustRightInd w:val="0"/>
        <w:spacing w:after="0" w:line="240" w:lineRule="auto"/>
        <w:rPr>
          <w:rFonts w:cstheme="minorHAnsi"/>
          <w:bCs/>
          <w:color w:val="0070C0"/>
        </w:rPr>
      </w:pPr>
      <w:r w:rsidRPr="00443764">
        <w:rPr>
          <w:rFonts w:cstheme="minorHAnsi"/>
          <w:bCs/>
          <w:i/>
          <w:color w:val="0070C0"/>
        </w:rPr>
        <w:t>Episodes ending in death:</w:t>
      </w:r>
      <w:r w:rsidRPr="00443764">
        <w:rPr>
          <w:rFonts w:cstheme="minorHAnsi"/>
          <w:bCs/>
          <w:color w:val="0070C0"/>
        </w:rPr>
        <w:t xml:space="preserve"> Results</w:t>
      </w:r>
      <w:r w:rsidR="00815382">
        <w:rPr>
          <w:rFonts w:cstheme="minorHAnsi"/>
          <w:bCs/>
          <w:color w:val="0070C0"/>
        </w:rPr>
        <w:t xml:space="preserve"> provide evidence that episodes ending in death include care for costly complications or end-of-life services that may not be comparable to care provided in the final set of episodes included in the measure. To demonstrate</w:t>
      </w:r>
      <w:r w:rsidRPr="00443764">
        <w:rPr>
          <w:rFonts w:cstheme="minorHAnsi"/>
          <w:bCs/>
          <w:color w:val="0070C0"/>
        </w:rPr>
        <w:t xml:space="preserve">, the </w:t>
      </w:r>
      <w:r w:rsidR="00815382">
        <w:rPr>
          <w:rFonts w:cstheme="minorHAnsi"/>
          <w:bCs/>
          <w:color w:val="0070C0"/>
        </w:rPr>
        <w:t xml:space="preserve">mean </w:t>
      </w:r>
      <w:r w:rsidRPr="00443764">
        <w:rPr>
          <w:rFonts w:cstheme="minorHAnsi"/>
          <w:bCs/>
          <w:color w:val="0070C0"/>
        </w:rPr>
        <w:t xml:space="preserve">observed cost for </w:t>
      </w:r>
      <w:r w:rsidR="00815382">
        <w:rPr>
          <w:rFonts w:cstheme="minorHAnsi"/>
          <w:bCs/>
          <w:color w:val="0070C0"/>
        </w:rPr>
        <w:t xml:space="preserve">these </w:t>
      </w:r>
      <w:r w:rsidRPr="00443764">
        <w:rPr>
          <w:rFonts w:cstheme="minorHAnsi"/>
          <w:bCs/>
          <w:color w:val="0070C0"/>
        </w:rPr>
        <w:t xml:space="preserve">episodes </w:t>
      </w:r>
      <w:r w:rsidR="00A52C5C">
        <w:rPr>
          <w:rFonts w:cstheme="minorHAnsi"/>
          <w:bCs/>
          <w:color w:val="0070C0"/>
        </w:rPr>
        <w:t xml:space="preserve">ending in death </w:t>
      </w:r>
      <w:r w:rsidRPr="00443764">
        <w:rPr>
          <w:rFonts w:cstheme="minorHAnsi"/>
          <w:bCs/>
          <w:color w:val="0070C0"/>
        </w:rPr>
        <w:t>is $</w:t>
      </w:r>
      <w:r>
        <w:rPr>
          <w:rFonts w:cstheme="minorHAnsi"/>
          <w:bCs/>
          <w:color w:val="0070C0"/>
        </w:rPr>
        <w:t>66,255</w:t>
      </w:r>
      <w:r w:rsidRPr="00443764">
        <w:rPr>
          <w:rFonts w:cstheme="minorHAnsi"/>
          <w:bCs/>
          <w:color w:val="0070C0"/>
        </w:rPr>
        <w:t xml:space="preserve">, more than $20,000 over the </w:t>
      </w:r>
      <w:r w:rsidR="00815382">
        <w:rPr>
          <w:rFonts w:cstheme="minorHAnsi"/>
          <w:bCs/>
          <w:color w:val="0070C0"/>
        </w:rPr>
        <w:t xml:space="preserve">mean </w:t>
      </w:r>
      <w:r w:rsidRPr="00443764">
        <w:rPr>
          <w:rFonts w:cstheme="minorHAnsi"/>
          <w:bCs/>
          <w:color w:val="0070C0"/>
        </w:rPr>
        <w:t>observed cost for included episod</w:t>
      </w:r>
      <w:r w:rsidR="00815382">
        <w:rPr>
          <w:rFonts w:cstheme="minorHAnsi"/>
          <w:bCs/>
          <w:color w:val="0070C0"/>
        </w:rPr>
        <w:t>es at the TIN and TIN-NPI levels</w:t>
      </w:r>
      <w:r w:rsidRPr="00443764">
        <w:rPr>
          <w:rFonts w:cstheme="minorHAnsi"/>
          <w:bCs/>
          <w:color w:val="0070C0"/>
        </w:rPr>
        <w:t xml:space="preserve">. The </w:t>
      </w:r>
      <w:r w:rsidR="00815382">
        <w:rPr>
          <w:rFonts w:cstheme="minorHAnsi"/>
          <w:bCs/>
          <w:color w:val="0070C0"/>
        </w:rPr>
        <w:t xml:space="preserve">mean </w:t>
      </w:r>
      <w:r w:rsidRPr="00443764">
        <w:rPr>
          <w:rFonts w:cstheme="minorHAnsi"/>
          <w:bCs/>
          <w:color w:val="0070C0"/>
        </w:rPr>
        <w:t xml:space="preserve">observed to expected cost ratio is also </w:t>
      </w:r>
      <w:r>
        <w:rPr>
          <w:rFonts w:cstheme="minorHAnsi"/>
          <w:bCs/>
          <w:color w:val="0070C0"/>
        </w:rPr>
        <w:t>substantially</w:t>
      </w:r>
      <w:r w:rsidRPr="00443764">
        <w:rPr>
          <w:rFonts w:cstheme="minorHAnsi"/>
          <w:bCs/>
          <w:color w:val="0070C0"/>
        </w:rPr>
        <w:t xml:space="preserve"> hi</w:t>
      </w:r>
      <w:r w:rsidR="00C04EB1">
        <w:rPr>
          <w:rFonts w:cstheme="minorHAnsi"/>
          <w:bCs/>
          <w:color w:val="0070C0"/>
        </w:rPr>
        <w:t xml:space="preserve">gher for these episodes (at </w:t>
      </w:r>
      <w:r>
        <w:rPr>
          <w:rFonts w:cstheme="minorHAnsi"/>
          <w:bCs/>
          <w:color w:val="0070C0"/>
        </w:rPr>
        <w:t>1.14</w:t>
      </w:r>
      <w:r w:rsidRPr="00443764">
        <w:rPr>
          <w:rFonts w:cstheme="minorHAnsi"/>
          <w:bCs/>
          <w:color w:val="0070C0"/>
        </w:rPr>
        <w:t xml:space="preserve">) </w:t>
      </w:r>
      <w:r w:rsidR="006E2690">
        <w:rPr>
          <w:rFonts w:cstheme="minorHAnsi"/>
          <w:bCs/>
          <w:color w:val="0070C0"/>
        </w:rPr>
        <w:t xml:space="preserve">compared to </w:t>
      </w:r>
      <w:r w:rsidRPr="00443764">
        <w:rPr>
          <w:rFonts w:cstheme="minorHAnsi"/>
          <w:bCs/>
          <w:color w:val="0070C0"/>
        </w:rPr>
        <w:t xml:space="preserve">the </w:t>
      </w:r>
      <w:r w:rsidR="00815382">
        <w:rPr>
          <w:rFonts w:cstheme="minorHAnsi"/>
          <w:bCs/>
          <w:color w:val="0070C0"/>
        </w:rPr>
        <w:t xml:space="preserve">mean </w:t>
      </w:r>
      <w:r w:rsidR="006E2690">
        <w:rPr>
          <w:rFonts w:cstheme="minorHAnsi"/>
          <w:bCs/>
          <w:color w:val="0070C0"/>
        </w:rPr>
        <w:t xml:space="preserve">ratio of </w:t>
      </w:r>
      <w:r w:rsidRPr="00443764">
        <w:rPr>
          <w:rFonts w:cstheme="minorHAnsi"/>
          <w:bCs/>
          <w:color w:val="0070C0"/>
        </w:rPr>
        <w:t>included episode</w:t>
      </w:r>
      <w:r w:rsidR="006E2690">
        <w:rPr>
          <w:rFonts w:cstheme="minorHAnsi"/>
          <w:bCs/>
          <w:color w:val="0070C0"/>
        </w:rPr>
        <w:t>s</w:t>
      </w:r>
      <w:r w:rsidRPr="00443764">
        <w:rPr>
          <w:rFonts w:cstheme="minorHAnsi"/>
          <w:bCs/>
          <w:color w:val="0070C0"/>
        </w:rPr>
        <w:t xml:space="preserve"> (0.99 at both TIN and TIN-NPI levels). </w:t>
      </w:r>
    </w:p>
    <w:p w14:paraId="7441FF0C" w14:textId="3387AD8A" w:rsidR="009411AA" w:rsidRDefault="009411AA" w:rsidP="00D30A6C">
      <w:pPr>
        <w:autoSpaceDE w:val="0"/>
        <w:autoSpaceDN w:val="0"/>
        <w:adjustRightInd w:val="0"/>
        <w:spacing w:after="0" w:line="240" w:lineRule="auto"/>
        <w:rPr>
          <w:rFonts w:cstheme="minorHAnsi"/>
          <w:bCs/>
          <w:color w:val="0070C0"/>
          <w:highlight w:val="yellow"/>
        </w:rPr>
      </w:pPr>
    </w:p>
    <w:p w14:paraId="331E4E30" w14:textId="7142B8EC" w:rsidR="003B706B" w:rsidRDefault="009411AA" w:rsidP="009411AA">
      <w:pPr>
        <w:autoSpaceDE w:val="0"/>
        <w:autoSpaceDN w:val="0"/>
        <w:adjustRightInd w:val="0"/>
        <w:spacing w:after="0" w:line="240" w:lineRule="auto"/>
        <w:rPr>
          <w:rFonts w:cstheme="minorHAnsi"/>
          <w:bCs/>
          <w:color w:val="0070C0"/>
        </w:rPr>
      </w:pPr>
      <w:r w:rsidRPr="00FF6398">
        <w:rPr>
          <w:rFonts w:cstheme="minorHAnsi"/>
          <w:bCs/>
          <w:i/>
          <w:color w:val="0070C0"/>
        </w:rPr>
        <w:t xml:space="preserve">Episodes </w:t>
      </w:r>
      <w:r>
        <w:rPr>
          <w:rFonts w:cstheme="minorHAnsi"/>
          <w:bCs/>
          <w:i/>
          <w:color w:val="0070C0"/>
        </w:rPr>
        <w:t xml:space="preserve">without </w:t>
      </w:r>
      <w:r w:rsidRPr="00FF6398">
        <w:rPr>
          <w:rFonts w:cstheme="minorHAnsi"/>
          <w:bCs/>
          <w:i/>
          <w:color w:val="0070C0"/>
        </w:rPr>
        <w:t>a relevant MS-DRG code:</w:t>
      </w:r>
      <w:r w:rsidRPr="00FF6398">
        <w:rPr>
          <w:rFonts w:cstheme="minorHAnsi"/>
          <w:bCs/>
          <w:color w:val="0070C0"/>
        </w:rPr>
        <w:t xml:space="preserve"> Episodes are excluded if the inpatient stay did not have a DRG code relevant to </w:t>
      </w:r>
      <w:r w:rsidR="0058232B">
        <w:rPr>
          <w:rFonts w:cstheme="minorHAnsi"/>
          <w:bCs/>
          <w:color w:val="0070C0"/>
        </w:rPr>
        <w:t>CABG procedures</w:t>
      </w:r>
      <w:r w:rsidRPr="00FF6398">
        <w:rPr>
          <w:rFonts w:cstheme="minorHAnsi"/>
          <w:bCs/>
          <w:color w:val="0070C0"/>
        </w:rPr>
        <w:t xml:space="preserve">. </w:t>
      </w:r>
      <w:r w:rsidRPr="002D7AB9">
        <w:rPr>
          <w:rFonts w:cstheme="minorHAnsi"/>
          <w:bCs/>
          <w:color w:val="0070C0"/>
        </w:rPr>
        <w:t>Results</w:t>
      </w:r>
      <w:r w:rsidR="00A52C5C">
        <w:rPr>
          <w:rFonts w:cstheme="minorHAnsi"/>
          <w:bCs/>
          <w:color w:val="0070C0"/>
        </w:rPr>
        <w:t xml:space="preserve"> provide evidence that these patients are distinct from the overall measure cohort, demonstrating the importance of excluding these episodes so that they do not introduce cost variation unrelated to the measure scope that could pose a threat to measure validity. Specifically, results show </w:t>
      </w:r>
      <w:r w:rsidRPr="002D7AB9">
        <w:rPr>
          <w:rFonts w:cstheme="minorHAnsi"/>
          <w:bCs/>
          <w:color w:val="0070C0"/>
        </w:rPr>
        <w:t xml:space="preserve">that these episodes are </w:t>
      </w:r>
      <w:r w:rsidR="003B706B">
        <w:rPr>
          <w:rFonts w:cstheme="minorHAnsi"/>
          <w:bCs/>
          <w:color w:val="0070C0"/>
        </w:rPr>
        <w:t xml:space="preserve">much less costly than the </w:t>
      </w:r>
      <w:r w:rsidR="00DD631F">
        <w:rPr>
          <w:rFonts w:cstheme="minorHAnsi"/>
          <w:bCs/>
          <w:color w:val="0070C0"/>
        </w:rPr>
        <w:t xml:space="preserve">population of episodes </w:t>
      </w:r>
      <w:r w:rsidR="003B706B">
        <w:rPr>
          <w:rFonts w:cstheme="minorHAnsi"/>
          <w:bCs/>
          <w:color w:val="0070C0"/>
        </w:rPr>
        <w:t xml:space="preserve">included in the measure. </w:t>
      </w:r>
      <w:r w:rsidR="00A52C5C">
        <w:rPr>
          <w:rFonts w:cstheme="minorHAnsi"/>
          <w:bCs/>
          <w:color w:val="0070C0"/>
        </w:rPr>
        <w:t>T</w:t>
      </w:r>
      <w:r w:rsidR="003B706B">
        <w:rPr>
          <w:rFonts w:cstheme="minorHAnsi"/>
          <w:bCs/>
          <w:color w:val="0070C0"/>
        </w:rPr>
        <w:t>he average observed cost for these episodes is $14,068, almost $30,000 less than the average cost of included episodes. Furthermore, the 90</w:t>
      </w:r>
      <w:r w:rsidR="003B706B" w:rsidRPr="003B706B">
        <w:rPr>
          <w:rFonts w:cstheme="minorHAnsi"/>
          <w:bCs/>
          <w:color w:val="0070C0"/>
          <w:vertAlign w:val="superscript"/>
        </w:rPr>
        <w:t>th</w:t>
      </w:r>
      <w:r w:rsidR="003B706B">
        <w:rPr>
          <w:rFonts w:cstheme="minorHAnsi"/>
          <w:bCs/>
          <w:color w:val="0070C0"/>
        </w:rPr>
        <w:t xml:space="preserve"> percentile observed cost for these episodes ($28,260) is comparable to the 10</w:t>
      </w:r>
      <w:r w:rsidR="003B706B" w:rsidRPr="003B706B">
        <w:rPr>
          <w:rFonts w:cstheme="minorHAnsi"/>
          <w:bCs/>
          <w:color w:val="0070C0"/>
          <w:vertAlign w:val="superscript"/>
        </w:rPr>
        <w:t>th</w:t>
      </w:r>
      <w:r w:rsidR="003B706B">
        <w:rPr>
          <w:rFonts w:cstheme="minorHAnsi"/>
          <w:bCs/>
          <w:color w:val="0070C0"/>
        </w:rPr>
        <w:t xml:space="preserve"> percentile cost for included episodes (approximately $28,500 at both TIN and TIN-NPI levels). </w:t>
      </w:r>
    </w:p>
    <w:p w14:paraId="17E98802" w14:textId="4DC33067" w:rsidR="00AC5292" w:rsidRDefault="00AC5292" w:rsidP="009411AA">
      <w:pPr>
        <w:autoSpaceDE w:val="0"/>
        <w:autoSpaceDN w:val="0"/>
        <w:adjustRightInd w:val="0"/>
        <w:spacing w:after="0" w:line="240" w:lineRule="auto"/>
        <w:rPr>
          <w:rFonts w:cstheme="minorHAnsi"/>
          <w:bCs/>
          <w:color w:val="0070C0"/>
        </w:rPr>
      </w:pPr>
    </w:p>
    <w:p w14:paraId="5424AFBD" w14:textId="21B8A22D" w:rsidR="00AC5292" w:rsidRPr="00C20674" w:rsidRDefault="00AC5292" w:rsidP="00A52C5C">
      <w:pPr>
        <w:autoSpaceDE w:val="0"/>
        <w:autoSpaceDN w:val="0"/>
        <w:adjustRightInd w:val="0"/>
        <w:spacing w:after="0" w:line="240" w:lineRule="auto"/>
        <w:rPr>
          <w:rFonts w:cstheme="minorHAnsi"/>
          <w:bCs/>
          <w:color w:val="0070C0"/>
        </w:rPr>
      </w:pPr>
      <w:r>
        <w:rPr>
          <w:rFonts w:cstheme="minorHAnsi"/>
          <w:bCs/>
          <w:i/>
          <w:color w:val="0070C0"/>
        </w:rPr>
        <w:t xml:space="preserve">Episodes </w:t>
      </w:r>
      <w:r w:rsidR="00C20674">
        <w:rPr>
          <w:rFonts w:cstheme="minorHAnsi"/>
          <w:bCs/>
          <w:i/>
          <w:color w:val="0070C0"/>
        </w:rPr>
        <w:t xml:space="preserve">with </w:t>
      </w:r>
      <w:r>
        <w:rPr>
          <w:rFonts w:cstheme="minorHAnsi"/>
          <w:bCs/>
          <w:i/>
          <w:color w:val="0070C0"/>
        </w:rPr>
        <w:t>an emergent CABG procedure:</w:t>
      </w:r>
      <w:r w:rsidR="00C20674">
        <w:rPr>
          <w:rFonts w:cstheme="minorHAnsi"/>
          <w:bCs/>
          <w:color w:val="0070C0"/>
        </w:rPr>
        <w:t xml:space="preserve"> </w:t>
      </w:r>
      <w:r w:rsidR="00C20674" w:rsidRPr="00443764">
        <w:rPr>
          <w:rFonts w:cstheme="minorHAnsi"/>
          <w:bCs/>
          <w:color w:val="0070C0"/>
        </w:rPr>
        <w:t xml:space="preserve">Given the measure’s intent to capture </w:t>
      </w:r>
      <w:r w:rsidR="00C20674">
        <w:rPr>
          <w:rFonts w:cstheme="minorHAnsi"/>
          <w:bCs/>
          <w:color w:val="0070C0"/>
        </w:rPr>
        <w:t>non-emergent CABG procedures</w:t>
      </w:r>
      <w:r w:rsidR="00C20674" w:rsidRPr="00443764">
        <w:rPr>
          <w:rFonts w:cstheme="minorHAnsi"/>
          <w:bCs/>
          <w:color w:val="0070C0"/>
        </w:rPr>
        <w:t>, epi</w:t>
      </w:r>
      <w:r w:rsidR="00C20674">
        <w:rPr>
          <w:rFonts w:cstheme="minorHAnsi"/>
          <w:bCs/>
          <w:color w:val="0070C0"/>
        </w:rPr>
        <w:t xml:space="preserve">sodes with emergent procedures </w:t>
      </w:r>
      <w:r w:rsidR="00C20674" w:rsidRPr="00443764">
        <w:rPr>
          <w:rFonts w:cstheme="minorHAnsi"/>
          <w:bCs/>
          <w:color w:val="0070C0"/>
        </w:rPr>
        <w:t xml:space="preserve">are excluded from the measure. Results indicate that these episodes </w:t>
      </w:r>
      <w:r w:rsidR="00A52C5C">
        <w:rPr>
          <w:rFonts w:cstheme="minorHAnsi"/>
          <w:bCs/>
          <w:color w:val="0070C0"/>
        </w:rPr>
        <w:t xml:space="preserve">tend to be </w:t>
      </w:r>
      <w:r w:rsidR="00C20674" w:rsidRPr="00443764">
        <w:rPr>
          <w:rFonts w:cstheme="minorHAnsi"/>
          <w:bCs/>
          <w:color w:val="0070C0"/>
        </w:rPr>
        <w:t xml:space="preserve">higher </w:t>
      </w:r>
      <w:r w:rsidR="00A52C5C">
        <w:rPr>
          <w:rFonts w:cstheme="minorHAnsi"/>
          <w:bCs/>
          <w:color w:val="0070C0"/>
        </w:rPr>
        <w:t>cost, highlighting the importance of excluding these episodes so they do not introduce cost variation unrelated to the measure scope that could pose a threat to measure validity. To demonstrate</w:t>
      </w:r>
      <w:r w:rsidR="00C20674" w:rsidRPr="00443764">
        <w:rPr>
          <w:rFonts w:cstheme="minorHAnsi"/>
          <w:bCs/>
          <w:color w:val="0070C0"/>
        </w:rPr>
        <w:t xml:space="preserve">, the </w:t>
      </w:r>
      <w:r w:rsidR="00C20674">
        <w:rPr>
          <w:rFonts w:cstheme="minorHAnsi"/>
          <w:bCs/>
          <w:color w:val="0070C0"/>
        </w:rPr>
        <w:t>mean</w:t>
      </w:r>
      <w:r w:rsidR="00C20674" w:rsidRPr="00443764">
        <w:rPr>
          <w:rFonts w:cstheme="minorHAnsi"/>
          <w:bCs/>
          <w:color w:val="0070C0"/>
        </w:rPr>
        <w:t xml:space="preserve"> observed cost for </w:t>
      </w:r>
      <w:r w:rsidR="00C20674">
        <w:rPr>
          <w:rFonts w:cstheme="minorHAnsi"/>
          <w:bCs/>
          <w:color w:val="0070C0"/>
        </w:rPr>
        <w:t xml:space="preserve">emergent </w:t>
      </w:r>
      <w:r w:rsidR="00C20674" w:rsidRPr="00443764">
        <w:rPr>
          <w:rFonts w:cstheme="minorHAnsi"/>
          <w:bCs/>
          <w:color w:val="0070C0"/>
        </w:rPr>
        <w:t xml:space="preserve">episodes is </w:t>
      </w:r>
      <w:r w:rsidR="00C20674">
        <w:rPr>
          <w:rFonts w:cstheme="minorHAnsi"/>
          <w:bCs/>
          <w:color w:val="0070C0"/>
        </w:rPr>
        <w:t>$53,774, more than $10,000</w:t>
      </w:r>
      <w:r w:rsidR="00C20674" w:rsidRPr="00443764">
        <w:rPr>
          <w:rFonts w:cstheme="minorHAnsi"/>
          <w:bCs/>
          <w:color w:val="0070C0"/>
        </w:rPr>
        <w:t xml:space="preserve"> higher than </w:t>
      </w:r>
      <w:r w:rsidR="00C20674">
        <w:rPr>
          <w:rFonts w:cstheme="minorHAnsi"/>
          <w:bCs/>
          <w:color w:val="0070C0"/>
        </w:rPr>
        <w:t>the average cost of included episodes</w:t>
      </w:r>
      <w:r w:rsidR="00C20674" w:rsidRPr="00443764">
        <w:rPr>
          <w:rFonts w:cstheme="minorHAnsi"/>
          <w:bCs/>
          <w:color w:val="0070C0"/>
        </w:rPr>
        <w:t>.</w:t>
      </w:r>
    </w:p>
    <w:p w14:paraId="066C383A" w14:textId="58480A77" w:rsidR="00AC5292" w:rsidRDefault="00AC5292" w:rsidP="009411AA">
      <w:pPr>
        <w:autoSpaceDE w:val="0"/>
        <w:autoSpaceDN w:val="0"/>
        <w:adjustRightInd w:val="0"/>
        <w:spacing w:after="0" w:line="240" w:lineRule="auto"/>
        <w:rPr>
          <w:rFonts w:cstheme="minorHAnsi"/>
          <w:bCs/>
          <w:i/>
          <w:color w:val="0070C0"/>
        </w:rPr>
      </w:pPr>
    </w:p>
    <w:p w14:paraId="5EC64A2D" w14:textId="7C05E992" w:rsidR="00AC5292" w:rsidRPr="00D739A5" w:rsidRDefault="00AC5292" w:rsidP="00381E07">
      <w:pPr>
        <w:autoSpaceDE w:val="0"/>
        <w:autoSpaceDN w:val="0"/>
        <w:adjustRightInd w:val="0"/>
        <w:spacing w:after="0" w:line="240" w:lineRule="auto"/>
        <w:rPr>
          <w:rFonts w:cstheme="minorHAnsi"/>
          <w:bCs/>
          <w:color w:val="0070C0"/>
        </w:rPr>
      </w:pPr>
      <w:r>
        <w:rPr>
          <w:rFonts w:cstheme="minorHAnsi"/>
          <w:bCs/>
          <w:i/>
          <w:color w:val="0070C0"/>
        </w:rPr>
        <w:t>Episodes with a concurrent cox maze procedure:</w:t>
      </w:r>
      <w:r w:rsidR="00D739A5">
        <w:rPr>
          <w:rFonts w:cstheme="minorHAnsi"/>
          <w:bCs/>
          <w:i/>
          <w:color w:val="0070C0"/>
        </w:rPr>
        <w:t xml:space="preserve"> </w:t>
      </w:r>
      <w:r w:rsidR="00D739A5">
        <w:rPr>
          <w:rFonts w:cstheme="minorHAnsi"/>
          <w:bCs/>
          <w:color w:val="0070C0"/>
        </w:rPr>
        <w:t xml:space="preserve">Analysis results </w:t>
      </w:r>
      <w:r w:rsidR="00A52C5C">
        <w:rPr>
          <w:rFonts w:cstheme="minorHAnsi"/>
          <w:bCs/>
          <w:color w:val="0070C0"/>
        </w:rPr>
        <w:t xml:space="preserve">substantiate clinical rationale that </w:t>
      </w:r>
      <w:r w:rsidR="00381E07">
        <w:rPr>
          <w:rFonts w:cstheme="minorHAnsi"/>
          <w:bCs/>
          <w:color w:val="0070C0"/>
        </w:rPr>
        <w:t xml:space="preserve">episodes with </w:t>
      </w:r>
      <w:r w:rsidR="00A52C5C">
        <w:rPr>
          <w:rFonts w:cstheme="minorHAnsi"/>
          <w:bCs/>
          <w:color w:val="0070C0"/>
        </w:rPr>
        <w:t xml:space="preserve">a concurrent cox maze procedure </w:t>
      </w:r>
      <w:r w:rsidR="00A52C5C" w:rsidRPr="00A70B62">
        <w:rPr>
          <w:rFonts w:cstheme="minorHAnsi"/>
          <w:bCs/>
          <w:color w:val="0070C0"/>
        </w:rPr>
        <w:t xml:space="preserve">would </w:t>
      </w:r>
      <w:r w:rsidR="00381E07" w:rsidRPr="00A70B62">
        <w:rPr>
          <w:rFonts w:cstheme="minorHAnsi"/>
          <w:bCs/>
          <w:color w:val="0070C0"/>
        </w:rPr>
        <w:t xml:space="preserve">include distinct and </w:t>
      </w:r>
      <w:r w:rsidR="00A52C5C" w:rsidRPr="00A70B62">
        <w:rPr>
          <w:rFonts w:cstheme="minorHAnsi"/>
          <w:bCs/>
          <w:color w:val="0070C0"/>
        </w:rPr>
        <w:t>more complex care</w:t>
      </w:r>
      <w:r w:rsidR="00791F82" w:rsidRPr="00A70B62">
        <w:rPr>
          <w:rFonts w:cstheme="minorHAnsi"/>
          <w:bCs/>
          <w:color w:val="0070C0"/>
        </w:rPr>
        <w:t>, making</w:t>
      </w:r>
      <w:r w:rsidR="00791F82">
        <w:rPr>
          <w:rFonts w:cstheme="minorHAnsi"/>
          <w:bCs/>
          <w:color w:val="0070C0"/>
        </w:rPr>
        <w:t xml:space="preserve"> them not comparable </w:t>
      </w:r>
      <w:r w:rsidR="00A52C5C">
        <w:rPr>
          <w:rFonts w:cstheme="minorHAnsi"/>
          <w:bCs/>
          <w:color w:val="0070C0"/>
        </w:rPr>
        <w:t xml:space="preserve">to </w:t>
      </w:r>
      <w:r w:rsidR="00791F82">
        <w:rPr>
          <w:rFonts w:cstheme="minorHAnsi"/>
          <w:bCs/>
          <w:color w:val="0070C0"/>
        </w:rPr>
        <w:t xml:space="preserve">other episodes in </w:t>
      </w:r>
      <w:r w:rsidR="00A52C5C">
        <w:rPr>
          <w:rFonts w:cstheme="minorHAnsi"/>
          <w:bCs/>
          <w:color w:val="0070C0"/>
        </w:rPr>
        <w:t>the measure cohort.</w:t>
      </w:r>
      <w:r w:rsidR="00791F82">
        <w:rPr>
          <w:rFonts w:cstheme="minorHAnsi"/>
          <w:bCs/>
          <w:color w:val="0070C0"/>
        </w:rPr>
        <w:t xml:space="preserve"> Specifically, t</w:t>
      </w:r>
      <w:r w:rsidR="00381E07">
        <w:rPr>
          <w:rFonts w:cstheme="minorHAnsi"/>
          <w:bCs/>
          <w:color w:val="0070C0"/>
        </w:rPr>
        <w:t xml:space="preserve">hese episodes </w:t>
      </w:r>
      <w:r w:rsidR="005A1C80">
        <w:rPr>
          <w:rFonts w:cstheme="minorHAnsi"/>
          <w:bCs/>
          <w:color w:val="0070C0"/>
        </w:rPr>
        <w:t xml:space="preserve">are much </w:t>
      </w:r>
      <w:r w:rsidR="00381E07">
        <w:rPr>
          <w:rFonts w:cstheme="minorHAnsi"/>
          <w:bCs/>
          <w:color w:val="0070C0"/>
        </w:rPr>
        <w:t>more costly than the final set of episodes included in the measure, with</w:t>
      </w:r>
      <w:r w:rsidR="00D739A5">
        <w:rPr>
          <w:rFonts w:cstheme="minorHAnsi"/>
          <w:bCs/>
          <w:color w:val="0070C0"/>
        </w:rPr>
        <w:t xml:space="preserve"> </w:t>
      </w:r>
      <w:r w:rsidR="00381E07">
        <w:rPr>
          <w:rFonts w:cstheme="minorHAnsi"/>
          <w:bCs/>
          <w:color w:val="0070C0"/>
        </w:rPr>
        <w:t xml:space="preserve">an </w:t>
      </w:r>
      <w:r w:rsidR="00D739A5">
        <w:rPr>
          <w:rFonts w:cstheme="minorHAnsi"/>
          <w:bCs/>
          <w:color w:val="0070C0"/>
        </w:rPr>
        <w:t xml:space="preserve">average cost </w:t>
      </w:r>
      <w:r w:rsidR="00381E07">
        <w:rPr>
          <w:rFonts w:cstheme="minorHAnsi"/>
          <w:bCs/>
          <w:color w:val="0070C0"/>
        </w:rPr>
        <w:t xml:space="preserve">of </w:t>
      </w:r>
      <w:r w:rsidR="00D739A5">
        <w:rPr>
          <w:rFonts w:cstheme="minorHAnsi"/>
          <w:bCs/>
          <w:color w:val="0070C0"/>
        </w:rPr>
        <w:t xml:space="preserve">$56,774, notably higher than the average cost of included episodes </w:t>
      </w:r>
      <w:r w:rsidR="006E2690">
        <w:rPr>
          <w:rFonts w:cstheme="minorHAnsi"/>
          <w:bCs/>
          <w:color w:val="0070C0"/>
        </w:rPr>
        <w:t>(</w:t>
      </w:r>
      <w:r w:rsidR="00D739A5">
        <w:rPr>
          <w:rFonts w:cstheme="minorHAnsi"/>
          <w:bCs/>
          <w:color w:val="0070C0"/>
        </w:rPr>
        <w:t>approximately $43,000 at both TIN and TIN-NPI levels</w:t>
      </w:r>
      <w:r w:rsidR="006E2690">
        <w:rPr>
          <w:rFonts w:cstheme="minorHAnsi"/>
          <w:bCs/>
          <w:color w:val="0070C0"/>
        </w:rPr>
        <w:t>)</w:t>
      </w:r>
      <w:r w:rsidR="00D739A5">
        <w:rPr>
          <w:rFonts w:cstheme="minorHAnsi"/>
          <w:bCs/>
          <w:color w:val="0070C0"/>
        </w:rPr>
        <w:t>. Furthermore, the average observed to expected cost ratio</w:t>
      </w:r>
      <w:r w:rsidR="006E2690">
        <w:rPr>
          <w:rFonts w:cstheme="minorHAnsi"/>
          <w:bCs/>
          <w:color w:val="0070C0"/>
        </w:rPr>
        <w:t xml:space="preserve"> for these episodes</w:t>
      </w:r>
      <w:r w:rsidR="00D739A5">
        <w:rPr>
          <w:rFonts w:cstheme="minorHAnsi"/>
          <w:bCs/>
          <w:color w:val="0070C0"/>
        </w:rPr>
        <w:t xml:space="preserve"> is 1.08, much higher than the average </w:t>
      </w:r>
      <w:r w:rsidR="00DD631F">
        <w:rPr>
          <w:rFonts w:cstheme="minorHAnsi"/>
          <w:bCs/>
          <w:color w:val="0070C0"/>
        </w:rPr>
        <w:t xml:space="preserve">ratio for included episodes </w:t>
      </w:r>
      <w:r w:rsidR="00D739A5">
        <w:rPr>
          <w:rFonts w:cstheme="minorHAnsi"/>
          <w:bCs/>
          <w:color w:val="0070C0"/>
        </w:rPr>
        <w:t>at 0.</w:t>
      </w:r>
      <w:r w:rsidR="00DD631F">
        <w:rPr>
          <w:rFonts w:cstheme="minorHAnsi"/>
          <w:bCs/>
          <w:color w:val="0070C0"/>
        </w:rPr>
        <w:t>99</w:t>
      </w:r>
      <w:r w:rsidR="00D739A5">
        <w:rPr>
          <w:rFonts w:cstheme="minorHAnsi"/>
          <w:bCs/>
          <w:color w:val="0070C0"/>
        </w:rPr>
        <w:t>.</w:t>
      </w:r>
    </w:p>
    <w:p w14:paraId="07C71547" w14:textId="5E9EBC43" w:rsidR="00AC5292" w:rsidRDefault="00AC5292" w:rsidP="009411AA">
      <w:pPr>
        <w:autoSpaceDE w:val="0"/>
        <w:autoSpaceDN w:val="0"/>
        <w:adjustRightInd w:val="0"/>
        <w:spacing w:after="0" w:line="240" w:lineRule="auto"/>
        <w:rPr>
          <w:rFonts w:cstheme="minorHAnsi"/>
          <w:bCs/>
          <w:i/>
          <w:color w:val="0070C0"/>
        </w:rPr>
      </w:pPr>
    </w:p>
    <w:p w14:paraId="6A3CA44F" w14:textId="3152CB63" w:rsidR="00C04EB1" w:rsidRDefault="00AC5292" w:rsidP="00C04EB1">
      <w:pPr>
        <w:autoSpaceDE w:val="0"/>
        <w:autoSpaceDN w:val="0"/>
        <w:adjustRightInd w:val="0"/>
        <w:spacing w:after="0" w:line="240" w:lineRule="auto"/>
        <w:rPr>
          <w:rFonts w:cstheme="minorHAnsi"/>
          <w:bCs/>
          <w:color w:val="0070C0"/>
        </w:rPr>
      </w:pPr>
      <w:r w:rsidRPr="0075345C">
        <w:rPr>
          <w:rFonts w:cstheme="minorHAnsi"/>
          <w:bCs/>
          <w:i/>
          <w:color w:val="0070C0"/>
        </w:rPr>
        <w:t xml:space="preserve">Episodes in which the patient was on dialysis for </w:t>
      </w:r>
      <w:r w:rsidR="00C04EB1" w:rsidRPr="0075345C">
        <w:rPr>
          <w:rFonts w:cstheme="minorHAnsi"/>
          <w:bCs/>
          <w:i/>
          <w:color w:val="0070C0"/>
        </w:rPr>
        <w:t>ESRD</w:t>
      </w:r>
      <w:r w:rsidRPr="0075345C">
        <w:rPr>
          <w:rFonts w:cstheme="minorHAnsi"/>
          <w:bCs/>
          <w:i/>
          <w:color w:val="0070C0"/>
        </w:rPr>
        <w:t>:</w:t>
      </w:r>
      <w:r w:rsidR="00DD631F" w:rsidRPr="0075345C">
        <w:rPr>
          <w:rFonts w:cstheme="minorHAnsi"/>
          <w:bCs/>
          <w:i/>
          <w:color w:val="0070C0"/>
        </w:rPr>
        <w:t xml:space="preserve"> </w:t>
      </w:r>
      <w:r w:rsidR="00DD631F" w:rsidRPr="0075345C">
        <w:rPr>
          <w:rFonts w:cstheme="minorHAnsi"/>
          <w:bCs/>
          <w:color w:val="0070C0"/>
        </w:rPr>
        <w:t xml:space="preserve">Results </w:t>
      </w:r>
      <w:r w:rsidR="00381E07" w:rsidRPr="0075345C">
        <w:rPr>
          <w:rFonts w:cstheme="minorHAnsi"/>
          <w:bCs/>
          <w:color w:val="0070C0"/>
        </w:rPr>
        <w:t>substantiate clinical rationale that patients on dialysis for ESRD</w:t>
      </w:r>
      <w:r w:rsidR="000D1438">
        <w:rPr>
          <w:rFonts w:cstheme="minorHAnsi"/>
          <w:bCs/>
          <w:color w:val="0070C0"/>
        </w:rPr>
        <w:t xml:space="preserve"> are much higher risk, requiring</w:t>
      </w:r>
      <w:r w:rsidR="00381E07" w:rsidRPr="0075345C">
        <w:rPr>
          <w:rFonts w:cstheme="minorHAnsi"/>
          <w:bCs/>
          <w:color w:val="0070C0"/>
        </w:rPr>
        <w:t xml:space="preserve"> </w:t>
      </w:r>
      <w:r w:rsidR="005A1C80" w:rsidRPr="0075345C">
        <w:rPr>
          <w:rFonts w:cstheme="minorHAnsi"/>
          <w:bCs/>
          <w:color w:val="0070C0"/>
        </w:rPr>
        <w:t xml:space="preserve">much </w:t>
      </w:r>
      <w:r w:rsidR="00381E07" w:rsidRPr="0075345C">
        <w:rPr>
          <w:rFonts w:cstheme="minorHAnsi"/>
          <w:bCs/>
          <w:color w:val="0070C0"/>
        </w:rPr>
        <w:t>more complex care</w:t>
      </w:r>
      <w:r w:rsidR="00A80022" w:rsidRPr="0075345C">
        <w:rPr>
          <w:rFonts w:cstheme="minorHAnsi"/>
          <w:bCs/>
          <w:color w:val="0070C0"/>
        </w:rPr>
        <w:t xml:space="preserve"> than other patients receiving a CABG procedure</w:t>
      </w:r>
      <w:r w:rsidR="00381E07" w:rsidRPr="0075345C">
        <w:rPr>
          <w:rFonts w:cstheme="minorHAnsi"/>
          <w:bCs/>
          <w:color w:val="0070C0"/>
        </w:rPr>
        <w:t xml:space="preserve">, making relevant episodes </w:t>
      </w:r>
      <w:r w:rsidR="0064443D" w:rsidRPr="0075345C">
        <w:rPr>
          <w:rFonts w:cstheme="minorHAnsi"/>
          <w:bCs/>
          <w:color w:val="0070C0"/>
        </w:rPr>
        <w:t>not comparable</w:t>
      </w:r>
      <w:r w:rsidR="00381E07" w:rsidRPr="0075345C">
        <w:rPr>
          <w:rFonts w:cstheme="minorHAnsi"/>
          <w:bCs/>
          <w:color w:val="0070C0"/>
        </w:rPr>
        <w:t xml:space="preserve"> to the overall measure cohort</w:t>
      </w:r>
      <w:r w:rsidR="00DD631F" w:rsidRPr="0075345C">
        <w:rPr>
          <w:rFonts w:cstheme="minorHAnsi"/>
          <w:bCs/>
          <w:color w:val="0070C0"/>
        </w:rPr>
        <w:t xml:space="preserve">. </w:t>
      </w:r>
      <w:r w:rsidR="00381E07" w:rsidRPr="0075345C">
        <w:rPr>
          <w:rFonts w:cstheme="minorHAnsi"/>
          <w:bCs/>
          <w:color w:val="0070C0"/>
        </w:rPr>
        <w:t xml:space="preserve">To demonstrate, results show that these episodes are substantially more costly, with a </w:t>
      </w:r>
      <w:r w:rsidR="00DD631F" w:rsidRPr="0075345C">
        <w:rPr>
          <w:rFonts w:cstheme="minorHAnsi"/>
          <w:bCs/>
          <w:color w:val="0070C0"/>
        </w:rPr>
        <w:t xml:space="preserve">mean observed cost </w:t>
      </w:r>
      <w:r w:rsidR="00381E07" w:rsidRPr="0075345C">
        <w:rPr>
          <w:rFonts w:cstheme="minorHAnsi"/>
          <w:bCs/>
          <w:color w:val="0070C0"/>
        </w:rPr>
        <w:t xml:space="preserve">of </w:t>
      </w:r>
      <w:r w:rsidR="00C04EB1" w:rsidRPr="0075345C">
        <w:rPr>
          <w:rFonts w:cstheme="minorHAnsi"/>
          <w:bCs/>
          <w:color w:val="0070C0"/>
        </w:rPr>
        <w:t>$61,460 which is approximately $18,000 above the ave</w:t>
      </w:r>
      <w:r w:rsidR="00381E07" w:rsidRPr="0075345C">
        <w:rPr>
          <w:rFonts w:cstheme="minorHAnsi"/>
          <w:bCs/>
          <w:color w:val="0070C0"/>
        </w:rPr>
        <w:t>rage cost of included episodes.</w:t>
      </w:r>
    </w:p>
    <w:p w14:paraId="32231BBB" w14:textId="4ADF0E83" w:rsidR="00AC5292" w:rsidRDefault="00C04EB1" w:rsidP="00C04EB1">
      <w:pPr>
        <w:autoSpaceDE w:val="0"/>
        <w:autoSpaceDN w:val="0"/>
        <w:adjustRightInd w:val="0"/>
        <w:spacing w:after="0" w:line="240" w:lineRule="auto"/>
        <w:rPr>
          <w:rFonts w:cstheme="minorHAnsi"/>
          <w:bCs/>
          <w:i/>
          <w:color w:val="0070C0"/>
        </w:rPr>
      </w:pPr>
      <w:r>
        <w:rPr>
          <w:rFonts w:cstheme="minorHAnsi"/>
          <w:bCs/>
          <w:i/>
          <w:color w:val="0070C0"/>
        </w:rPr>
        <w:t xml:space="preserve"> </w:t>
      </w:r>
    </w:p>
    <w:p w14:paraId="09A8C228" w14:textId="5DE38B41" w:rsidR="00AC5292" w:rsidRPr="00C04EB1" w:rsidRDefault="00AC5292" w:rsidP="00A70B62">
      <w:pPr>
        <w:autoSpaceDE w:val="0"/>
        <w:autoSpaceDN w:val="0"/>
        <w:adjustRightInd w:val="0"/>
        <w:spacing w:after="0" w:line="240" w:lineRule="auto"/>
        <w:rPr>
          <w:rFonts w:cstheme="minorHAnsi"/>
          <w:bCs/>
          <w:color w:val="0070C0"/>
        </w:rPr>
      </w:pPr>
      <w:r>
        <w:rPr>
          <w:rFonts w:cstheme="minorHAnsi"/>
          <w:bCs/>
          <w:i/>
          <w:color w:val="0070C0"/>
        </w:rPr>
        <w:t>Episodes in which the patient was in shock prior to the CABG procedure:</w:t>
      </w:r>
      <w:r w:rsidR="00C04EB1">
        <w:rPr>
          <w:rFonts w:cstheme="minorHAnsi"/>
          <w:bCs/>
          <w:color w:val="0070C0"/>
        </w:rPr>
        <w:t xml:space="preserve"> Results </w:t>
      </w:r>
      <w:r w:rsidR="00A70B62">
        <w:rPr>
          <w:rFonts w:cstheme="minorHAnsi"/>
          <w:bCs/>
          <w:color w:val="0070C0"/>
        </w:rPr>
        <w:t xml:space="preserve">show that these episodes are distinct from the overall measure cohort, likely due to patient need for emergent care </w:t>
      </w:r>
      <w:r w:rsidR="00A70B62">
        <w:rPr>
          <w:rFonts w:cstheme="minorHAnsi"/>
          <w:bCs/>
          <w:color w:val="0070C0"/>
        </w:rPr>
        <w:lastRenderedPageBreak/>
        <w:t xml:space="preserve">outside the control of the attributed clinician. </w:t>
      </w:r>
      <w:r w:rsidR="00A80022">
        <w:rPr>
          <w:rFonts w:cstheme="minorHAnsi"/>
          <w:bCs/>
          <w:color w:val="0070C0"/>
        </w:rPr>
        <w:t xml:space="preserve">To be specific, these episodes tends to be </w:t>
      </w:r>
      <w:r w:rsidR="00A70B62">
        <w:rPr>
          <w:rFonts w:cstheme="minorHAnsi"/>
          <w:bCs/>
          <w:color w:val="0070C0"/>
        </w:rPr>
        <w:t xml:space="preserve">much </w:t>
      </w:r>
      <w:r w:rsidR="00A80022">
        <w:rPr>
          <w:rFonts w:cstheme="minorHAnsi"/>
          <w:bCs/>
          <w:color w:val="0070C0"/>
        </w:rPr>
        <w:t>high</w:t>
      </w:r>
      <w:r w:rsidR="00A70B62">
        <w:rPr>
          <w:rFonts w:cstheme="minorHAnsi"/>
          <w:bCs/>
          <w:color w:val="0070C0"/>
        </w:rPr>
        <w:t>er</w:t>
      </w:r>
      <w:r w:rsidR="00A80022">
        <w:rPr>
          <w:rFonts w:cstheme="minorHAnsi"/>
          <w:bCs/>
          <w:color w:val="0070C0"/>
        </w:rPr>
        <w:t xml:space="preserve"> cost</w:t>
      </w:r>
      <w:r w:rsidR="00A70B62">
        <w:rPr>
          <w:rFonts w:cstheme="minorHAnsi"/>
          <w:bCs/>
          <w:color w:val="0070C0"/>
        </w:rPr>
        <w:t xml:space="preserve"> than other CABG episodes</w:t>
      </w:r>
      <w:r w:rsidR="00A80022">
        <w:rPr>
          <w:rFonts w:cstheme="minorHAnsi"/>
          <w:bCs/>
          <w:color w:val="0070C0"/>
        </w:rPr>
        <w:t xml:space="preserve">, with a mean </w:t>
      </w:r>
      <w:r w:rsidR="00C04EB1">
        <w:rPr>
          <w:rFonts w:cstheme="minorHAnsi"/>
          <w:bCs/>
          <w:color w:val="0070C0"/>
        </w:rPr>
        <w:t xml:space="preserve">observed cost </w:t>
      </w:r>
      <w:r w:rsidR="00A80022">
        <w:rPr>
          <w:rFonts w:cstheme="minorHAnsi"/>
          <w:bCs/>
          <w:color w:val="0070C0"/>
        </w:rPr>
        <w:t xml:space="preserve">of </w:t>
      </w:r>
      <w:r w:rsidR="00C04EB1">
        <w:rPr>
          <w:rFonts w:cstheme="minorHAnsi"/>
          <w:bCs/>
          <w:color w:val="0070C0"/>
        </w:rPr>
        <w:t xml:space="preserve">$69,988, more than </w:t>
      </w:r>
      <w:r w:rsidR="008F46E2">
        <w:rPr>
          <w:rFonts w:cstheme="minorHAnsi"/>
          <w:bCs/>
          <w:color w:val="0070C0"/>
        </w:rPr>
        <w:t>$25,000 over the mean cost for included episodes. Furt</w:t>
      </w:r>
      <w:r w:rsidR="00A80022">
        <w:rPr>
          <w:rFonts w:cstheme="minorHAnsi"/>
          <w:bCs/>
          <w:color w:val="0070C0"/>
        </w:rPr>
        <w:t xml:space="preserve">hermore, these episodes have a mean </w:t>
      </w:r>
      <w:r w:rsidR="008F46E2">
        <w:rPr>
          <w:rFonts w:cstheme="minorHAnsi"/>
          <w:bCs/>
          <w:color w:val="0070C0"/>
        </w:rPr>
        <w:t>observed to expected cost ratio of 1.15, substantially higher than the mean ratio for included episodes at 0.99.</w:t>
      </w:r>
    </w:p>
    <w:p w14:paraId="346C3E20" w14:textId="09CA55AE" w:rsidR="00AC5292" w:rsidRDefault="00AC5292" w:rsidP="009411AA">
      <w:pPr>
        <w:autoSpaceDE w:val="0"/>
        <w:autoSpaceDN w:val="0"/>
        <w:adjustRightInd w:val="0"/>
        <w:spacing w:after="0" w:line="240" w:lineRule="auto"/>
        <w:rPr>
          <w:rFonts w:cstheme="minorHAnsi"/>
          <w:bCs/>
          <w:i/>
          <w:color w:val="0070C0"/>
        </w:rPr>
      </w:pPr>
    </w:p>
    <w:p w14:paraId="238342B9" w14:textId="10DDB4B5" w:rsidR="00D30A6C" w:rsidRDefault="00AC5292" w:rsidP="00A70B62">
      <w:pPr>
        <w:autoSpaceDE w:val="0"/>
        <w:autoSpaceDN w:val="0"/>
        <w:adjustRightInd w:val="0"/>
        <w:spacing w:after="0" w:line="240" w:lineRule="auto"/>
        <w:rPr>
          <w:rFonts w:cstheme="minorHAnsi"/>
          <w:bCs/>
          <w:color w:val="0070C0"/>
        </w:rPr>
      </w:pPr>
      <w:r>
        <w:rPr>
          <w:rFonts w:cstheme="minorHAnsi"/>
          <w:bCs/>
          <w:i/>
          <w:color w:val="0070C0"/>
        </w:rPr>
        <w:t>Episodes with a redo sternotomy:</w:t>
      </w:r>
      <w:r w:rsidR="008F46E2">
        <w:rPr>
          <w:rFonts w:cstheme="minorHAnsi"/>
          <w:bCs/>
          <w:i/>
          <w:color w:val="0070C0"/>
        </w:rPr>
        <w:t xml:space="preserve"> </w:t>
      </w:r>
      <w:r w:rsidR="00A70B62">
        <w:rPr>
          <w:rFonts w:cstheme="minorHAnsi"/>
          <w:bCs/>
          <w:color w:val="0070C0"/>
        </w:rPr>
        <w:t xml:space="preserve">Episodes </w:t>
      </w:r>
      <w:r w:rsidR="00CF411A">
        <w:rPr>
          <w:rFonts w:cstheme="minorHAnsi"/>
          <w:bCs/>
          <w:color w:val="0070C0"/>
        </w:rPr>
        <w:t xml:space="preserve">with </w:t>
      </w:r>
      <w:r w:rsidR="00A70B62">
        <w:rPr>
          <w:rFonts w:cstheme="minorHAnsi"/>
          <w:bCs/>
          <w:color w:val="0070C0"/>
        </w:rPr>
        <w:t xml:space="preserve">a redo sternotomy are excluded from the measure as these patients may experience outcomes </w:t>
      </w:r>
      <w:r w:rsidR="00211B1B">
        <w:rPr>
          <w:rFonts w:cstheme="minorHAnsi"/>
          <w:bCs/>
          <w:color w:val="0070C0"/>
        </w:rPr>
        <w:t xml:space="preserve">from </w:t>
      </w:r>
      <w:r w:rsidR="00A70B62">
        <w:rPr>
          <w:rFonts w:cstheme="minorHAnsi"/>
          <w:bCs/>
          <w:color w:val="0070C0"/>
        </w:rPr>
        <w:t>the previous sternotomy (which was not conducted by the attributed clinician</w:t>
      </w:r>
      <w:r w:rsidR="00CF411A">
        <w:rPr>
          <w:rFonts w:cstheme="minorHAnsi"/>
          <w:bCs/>
          <w:color w:val="0070C0"/>
        </w:rPr>
        <w:t>)</w:t>
      </w:r>
      <w:r w:rsidR="00A70B62">
        <w:rPr>
          <w:rFonts w:cstheme="minorHAnsi"/>
          <w:bCs/>
          <w:color w:val="0070C0"/>
        </w:rPr>
        <w:t xml:space="preserve">. </w:t>
      </w:r>
      <w:r w:rsidR="008F46E2">
        <w:rPr>
          <w:rFonts w:cstheme="minorHAnsi"/>
          <w:bCs/>
          <w:color w:val="0070C0"/>
        </w:rPr>
        <w:t xml:space="preserve">Results show that these episodes tend to be </w:t>
      </w:r>
      <w:r w:rsidR="00A70B62">
        <w:rPr>
          <w:rFonts w:cstheme="minorHAnsi"/>
          <w:bCs/>
          <w:color w:val="0070C0"/>
        </w:rPr>
        <w:t xml:space="preserve">much </w:t>
      </w:r>
      <w:r w:rsidR="008F46E2">
        <w:rPr>
          <w:rFonts w:cstheme="minorHAnsi"/>
          <w:bCs/>
          <w:color w:val="0070C0"/>
        </w:rPr>
        <w:t>more costly than the included episodes</w:t>
      </w:r>
      <w:r w:rsidR="00A80022">
        <w:rPr>
          <w:rFonts w:cstheme="minorHAnsi"/>
          <w:bCs/>
          <w:color w:val="0070C0"/>
        </w:rPr>
        <w:t xml:space="preserve">, with a </w:t>
      </w:r>
      <w:r w:rsidR="008F46E2">
        <w:rPr>
          <w:rFonts w:cstheme="minorHAnsi"/>
          <w:bCs/>
          <w:color w:val="0070C0"/>
        </w:rPr>
        <w:t xml:space="preserve">mean observed cost </w:t>
      </w:r>
      <w:r w:rsidR="00A80022">
        <w:rPr>
          <w:rFonts w:cstheme="minorHAnsi"/>
          <w:bCs/>
          <w:color w:val="0070C0"/>
        </w:rPr>
        <w:t>of $50,356</w:t>
      </w:r>
      <w:r w:rsidR="008F46E2">
        <w:rPr>
          <w:rFonts w:cstheme="minorHAnsi"/>
          <w:bCs/>
          <w:color w:val="0070C0"/>
        </w:rPr>
        <w:t xml:space="preserve"> </w:t>
      </w:r>
      <w:r w:rsidR="00A80022">
        <w:rPr>
          <w:rFonts w:cstheme="minorHAnsi"/>
          <w:bCs/>
          <w:color w:val="0070C0"/>
        </w:rPr>
        <w:t>(</w:t>
      </w:r>
      <w:r w:rsidR="008F46E2">
        <w:rPr>
          <w:rFonts w:cstheme="minorHAnsi"/>
          <w:bCs/>
          <w:color w:val="0070C0"/>
        </w:rPr>
        <w:t>higher than the mean cost of approximately $43,000</w:t>
      </w:r>
      <w:r w:rsidR="006E2690">
        <w:rPr>
          <w:rFonts w:cstheme="minorHAnsi"/>
          <w:bCs/>
          <w:color w:val="0070C0"/>
        </w:rPr>
        <w:t xml:space="preserve"> </w:t>
      </w:r>
      <w:r w:rsidR="008F46E2">
        <w:rPr>
          <w:rFonts w:cstheme="minorHAnsi"/>
          <w:bCs/>
          <w:color w:val="0070C0"/>
        </w:rPr>
        <w:t>for included episodes</w:t>
      </w:r>
      <w:r w:rsidR="00A80022">
        <w:rPr>
          <w:rFonts w:cstheme="minorHAnsi"/>
          <w:bCs/>
          <w:color w:val="0070C0"/>
        </w:rPr>
        <w:t>)</w:t>
      </w:r>
      <w:r w:rsidR="008F46E2">
        <w:rPr>
          <w:rFonts w:cstheme="minorHAnsi"/>
          <w:bCs/>
          <w:color w:val="0070C0"/>
        </w:rPr>
        <w:t>. Furthermore, these episodes have a mean observed to expected cost ratio of 1.03, higher than the mean ratio of 0.99 for included episodes.</w:t>
      </w:r>
      <w:r w:rsidR="00A70B62">
        <w:rPr>
          <w:rFonts w:cstheme="minorHAnsi"/>
          <w:bCs/>
          <w:color w:val="0070C0"/>
        </w:rPr>
        <w:t xml:space="preserve"> These results highlight the importance of excluding these episodes so they do not introduce cost variation </w:t>
      </w:r>
      <w:r w:rsidR="00211B1B">
        <w:rPr>
          <w:rFonts w:cstheme="minorHAnsi"/>
          <w:bCs/>
          <w:color w:val="0070C0"/>
        </w:rPr>
        <w:t xml:space="preserve">outside the influence of the </w:t>
      </w:r>
      <w:r w:rsidR="00A70B62">
        <w:rPr>
          <w:rFonts w:cstheme="minorHAnsi"/>
          <w:bCs/>
          <w:color w:val="0070C0"/>
        </w:rPr>
        <w:t>attributed clinician that could pose a threat to measure validity.</w:t>
      </w:r>
    </w:p>
    <w:p w14:paraId="47D79783" w14:textId="77777777" w:rsidR="008F46E2" w:rsidRPr="008F46E2" w:rsidRDefault="008F46E2" w:rsidP="00D30A6C">
      <w:pPr>
        <w:autoSpaceDE w:val="0"/>
        <w:autoSpaceDN w:val="0"/>
        <w:adjustRightInd w:val="0"/>
        <w:spacing w:after="0" w:line="240" w:lineRule="auto"/>
        <w:rPr>
          <w:rFonts w:cstheme="minorHAnsi"/>
          <w:bCs/>
          <w:color w:val="0070C0"/>
        </w:rPr>
      </w:pPr>
    </w:p>
    <w:p w14:paraId="780B85B0" w14:textId="1E1CC52A" w:rsidR="00D30A6C" w:rsidRPr="00A25024" w:rsidRDefault="00D30A6C" w:rsidP="00DB3627">
      <w:pPr>
        <w:autoSpaceDE w:val="0"/>
        <w:autoSpaceDN w:val="0"/>
        <w:adjustRightInd w:val="0"/>
        <w:spacing w:after="0" w:line="240" w:lineRule="auto"/>
        <w:rPr>
          <w:rFonts w:cstheme="minorHAnsi"/>
          <w:bCs/>
        </w:rPr>
      </w:pPr>
      <w:r w:rsidRPr="008F46E2">
        <w:rPr>
          <w:rFonts w:cstheme="minorHAnsi"/>
          <w:bCs/>
          <w:i/>
          <w:color w:val="0070C0"/>
        </w:rPr>
        <w:t xml:space="preserve">Outlier cases: </w:t>
      </w:r>
      <w:r w:rsidR="008F46E2" w:rsidRPr="008F46E2">
        <w:rPr>
          <w:rFonts w:cstheme="minorHAnsi"/>
          <w:bCs/>
          <w:color w:val="0070C0"/>
        </w:rPr>
        <w:t>Outliers</w:t>
      </w:r>
      <w:r w:rsidR="008F46E2" w:rsidRPr="007702CD">
        <w:rPr>
          <w:rFonts w:cstheme="minorHAnsi"/>
          <w:bCs/>
          <w:color w:val="0070C0"/>
        </w:rPr>
        <w:t xml:space="preserve"> are excluded from the </w:t>
      </w:r>
      <w:r w:rsidR="008F46E2">
        <w:rPr>
          <w:rFonts w:cstheme="minorHAnsi"/>
          <w:bCs/>
          <w:color w:val="0070C0"/>
        </w:rPr>
        <w:t xml:space="preserve">measure </w:t>
      </w:r>
      <w:r w:rsidR="008F46E2" w:rsidRPr="007702CD">
        <w:rPr>
          <w:rFonts w:cstheme="minorHAnsi"/>
          <w:bCs/>
          <w:color w:val="0070C0"/>
        </w:rPr>
        <w:t xml:space="preserve">calculation </w:t>
      </w:r>
      <w:r w:rsidR="008F46E2">
        <w:rPr>
          <w:rFonts w:cstheme="minorHAnsi"/>
          <w:bCs/>
          <w:color w:val="0070C0"/>
        </w:rPr>
        <w:t xml:space="preserve">to </w:t>
      </w:r>
      <w:r w:rsidR="008F46E2" w:rsidRPr="007702CD">
        <w:rPr>
          <w:rFonts w:cstheme="minorHAnsi"/>
          <w:bCs/>
          <w:color w:val="0070C0"/>
        </w:rPr>
        <w:t xml:space="preserve">avoid cases where a </w:t>
      </w:r>
      <w:r w:rsidR="008F46E2">
        <w:rPr>
          <w:rFonts w:cstheme="minorHAnsi"/>
          <w:bCs/>
          <w:color w:val="0070C0"/>
        </w:rPr>
        <w:t xml:space="preserve">few extreme </w:t>
      </w:r>
      <w:r w:rsidR="008F46E2" w:rsidRPr="007702CD">
        <w:rPr>
          <w:rFonts w:cstheme="minorHAnsi"/>
          <w:bCs/>
          <w:color w:val="0070C0"/>
        </w:rPr>
        <w:t xml:space="preserve">outliers have a disproportionate effect on measure score. </w:t>
      </w:r>
      <w:r w:rsidR="008F46E2">
        <w:rPr>
          <w:rFonts w:cstheme="minorHAnsi"/>
          <w:bCs/>
          <w:color w:val="0070C0"/>
        </w:rPr>
        <w:t>These cases have a mean observed cost of $82,760, with a wide range from $28,545 at the 10</w:t>
      </w:r>
      <w:r w:rsidR="008F46E2" w:rsidRPr="008E1EC2">
        <w:rPr>
          <w:rFonts w:cstheme="minorHAnsi"/>
          <w:bCs/>
          <w:color w:val="0070C0"/>
          <w:vertAlign w:val="superscript"/>
        </w:rPr>
        <w:t>th</w:t>
      </w:r>
      <w:r w:rsidR="008F46E2">
        <w:rPr>
          <w:rFonts w:cstheme="minorHAnsi"/>
          <w:bCs/>
          <w:color w:val="0070C0"/>
        </w:rPr>
        <w:t xml:space="preserve"> percentile to $150,712 at the 90</w:t>
      </w:r>
      <w:r w:rsidR="008F46E2" w:rsidRPr="008E1EC2">
        <w:rPr>
          <w:rFonts w:cstheme="minorHAnsi"/>
          <w:bCs/>
          <w:color w:val="0070C0"/>
          <w:vertAlign w:val="superscript"/>
        </w:rPr>
        <w:t>th</w:t>
      </w:r>
      <w:r w:rsidR="008F46E2">
        <w:rPr>
          <w:rFonts w:cstheme="minorHAnsi"/>
          <w:bCs/>
          <w:color w:val="0070C0"/>
        </w:rPr>
        <w:t xml:space="preserve"> percentile. The mean observed to expected cost ratio is 1.54, with a range from 0.54 at the 10</w:t>
      </w:r>
      <w:r w:rsidR="008F46E2" w:rsidRPr="008E1EC2">
        <w:rPr>
          <w:rFonts w:cstheme="minorHAnsi"/>
          <w:bCs/>
          <w:color w:val="0070C0"/>
          <w:vertAlign w:val="superscript"/>
        </w:rPr>
        <w:t>th</w:t>
      </w:r>
      <w:r w:rsidR="008F46E2">
        <w:rPr>
          <w:rFonts w:cstheme="minorHAnsi"/>
          <w:bCs/>
          <w:color w:val="0070C0"/>
        </w:rPr>
        <w:t xml:space="preserve"> percentile to 2.82 at the 99</w:t>
      </w:r>
      <w:r w:rsidR="008F46E2" w:rsidRPr="008E1EC2">
        <w:rPr>
          <w:rFonts w:cstheme="minorHAnsi"/>
          <w:bCs/>
          <w:color w:val="0070C0"/>
          <w:vertAlign w:val="superscript"/>
        </w:rPr>
        <w:t>th</w:t>
      </w:r>
      <w:r w:rsidR="008F46E2">
        <w:rPr>
          <w:rFonts w:cstheme="minorHAnsi"/>
          <w:bCs/>
          <w:color w:val="0070C0"/>
        </w:rPr>
        <w:t xml:space="preserve"> percentile.</w:t>
      </w:r>
    </w:p>
    <w:p w14:paraId="0CABCFE9" w14:textId="77777777" w:rsidR="001202E9" w:rsidRPr="00D83E9F" w:rsidRDefault="0086464B" w:rsidP="00DB3627">
      <w:pPr>
        <w:autoSpaceDE w:val="0"/>
        <w:autoSpaceDN w:val="0"/>
        <w:adjustRightInd w:val="0"/>
        <w:spacing w:after="0" w:line="240" w:lineRule="auto"/>
        <w:rPr>
          <w:rFonts w:cstheme="minorHAnsi"/>
          <w:bCs/>
        </w:rPr>
      </w:pPr>
      <w:r w:rsidRPr="00D83E9F">
        <w:rPr>
          <w:rFonts w:cstheme="minorHAnsi"/>
          <w:bCs/>
        </w:rPr>
        <w:t>____________________________</w:t>
      </w:r>
    </w:p>
    <w:p w14:paraId="19E9600A" w14:textId="77777777" w:rsidR="00DA0B9B" w:rsidRPr="0086464B" w:rsidRDefault="00DA0B9B" w:rsidP="00DA0B9B">
      <w:pPr>
        <w:autoSpaceDE w:val="0"/>
        <w:autoSpaceDN w:val="0"/>
        <w:adjustRightInd w:val="0"/>
        <w:spacing w:after="0" w:line="240" w:lineRule="auto"/>
        <w:rPr>
          <w:rFonts w:cstheme="minorHAnsi"/>
          <w:b/>
          <w:bCs/>
          <w:i/>
        </w:rPr>
      </w:pPr>
      <w:bookmarkStart w:id="12" w:name="section2b4"/>
      <w:bookmarkEnd w:id="12"/>
      <w:r w:rsidRPr="00D83E9F">
        <w:rPr>
          <w:rFonts w:cstheme="minorHAnsi"/>
          <w:b/>
          <w:bCs/>
        </w:rPr>
        <w:t>2b3. RISK ADJUSTMENT/STRATIFICATION FOR OUTCOME OR RESOURCE USE MEASURES</w:t>
      </w:r>
      <w:r w:rsidRPr="00D83E9F">
        <w:rPr>
          <w:rFonts w:cstheme="minorHAnsi"/>
          <w:bCs/>
        </w:rPr>
        <w:br/>
      </w:r>
      <w:r w:rsidRPr="00D83E9F">
        <w:rPr>
          <w:rFonts w:cstheme="minorHAnsi"/>
          <w:b/>
          <w:bCs/>
          <w:i/>
        </w:rPr>
        <w:t xml:space="preserve">If not an intermediate or health outcome, or PRO-PM, or resource use measure, skip to section </w:t>
      </w:r>
      <w:hyperlink w:anchor="section2b5" w:history="1">
        <w:r w:rsidRPr="00D83E9F">
          <w:rPr>
            <w:rStyle w:val="Hyperlink"/>
            <w:rFonts w:cstheme="minorHAnsi"/>
            <w:b/>
            <w:bCs/>
            <w:i/>
          </w:rPr>
          <w:t>2b4</w:t>
        </w:r>
      </w:hyperlink>
      <w:r w:rsidRPr="00D83E9F">
        <w:rPr>
          <w:rFonts w:cstheme="minorHAnsi"/>
          <w:b/>
          <w:bCs/>
          <w:i/>
        </w:rPr>
        <w:t>.</w:t>
      </w:r>
    </w:p>
    <w:p w14:paraId="2916258B" w14:textId="77777777" w:rsidR="00DA0B9B" w:rsidRDefault="00DA0B9B" w:rsidP="00DA0B9B">
      <w:pPr>
        <w:autoSpaceDE w:val="0"/>
        <w:autoSpaceDN w:val="0"/>
        <w:adjustRightInd w:val="0"/>
        <w:spacing w:after="0" w:line="240" w:lineRule="auto"/>
        <w:rPr>
          <w:rFonts w:cstheme="minorHAnsi"/>
          <w:b/>
          <w:bCs/>
        </w:rPr>
      </w:pPr>
    </w:p>
    <w:p w14:paraId="51AB0B07" w14:textId="77777777" w:rsidR="00DA0B9B" w:rsidRDefault="00DA0B9B" w:rsidP="00DA0B9B">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Pr="005232D6">
        <w:rPr>
          <w:rFonts w:cstheme="minorHAnsi"/>
          <w:b/>
          <w:bCs/>
        </w:rPr>
        <w:t>.1. What method of controlling for differences in case mix is used?</w:t>
      </w:r>
    </w:p>
    <w:p w14:paraId="29D2FAF7" w14:textId="77777777" w:rsidR="00DA0B9B" w:rsidRPr="005232D6" w:rsidRDefault="002A3AA5" w:rsidP="00DA0B9B">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DA0B9B">
            <w:rPr>
              <w:rFonts w:ascii="MS Gothic" w:eastAsia="MS Gothic" w:hAnsi="MS Gothic" w:cstheme="minorHAnsi" w:hint="eastAsia"/>
              <w:bCs/>
              <w:color w:val="0000FF"/>
            </w:rPr>
            <w:t>☐</w:t>
          </w:r>
        </w:sdtContent>
      </w:sdt>
      <w:r w:rsidR="00DA0B9B">
        <w:rPr>
          <w:rFonts w:eastAsia="MS Mincho" w:cstheme="minorHAnsi"/>
          <w:b/>
          <w:bCs/>
          <w:color w:val="0000FF"/>
        </w:rPr>
        <w:t xml:space="preserve"> </w:t>
      </w:r>
      <w:r w:rsidR="00DA0B9B" w:rsidRPr="005232D6">
        <w:rPr>
          <w:rFonts w:cstheme="minorHAnsi"/>
          <w:b/>
          <w:bCs/>
        </w:rPr>
        <w:t>No risk adjustment or stratification</w:t>
      </w:r>
    </w:p>
    <w:p w14:paraId="1DF28D08" w14:textId="77777777" w:rsidR="00DA0B9B" w:rsidRPr="005232D6" w:rsidRDefault="002A3AA5" w:rsidP="00DA0B9B">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DA0B9B">
            <w:rPr>
              <w:rFonts w:ascii="MS Gothic" w:eastAsia="MS Gothic" w:hAnsi="MS Gothic" w:cstheme="minorHAnsi" w:hint="eastAsia"/>
              <w:bCs/>
              <w:color w:val="0000FF"/>
            </w:rPr>
            <w:t>☒</w:t>
          </w:r>
        </w:sdtContent>
      </w:sdt>
      <w:r w:rsidR="00DA0B9B">
        <w:rPr>
          <w:rFonts w:cstheme="minorHAnsi"/>
          <w:bCs/>
          <w:color w:val="0000FF"/>
        </w:rPr>
        <w:t xml:space="preserve"> </w:t>
      </w:r>
      <w:r w:rsidR="00DA0B9B" w:rsidRPr="005232D6">
        <w:rPr>
          <w:rFonts w:cstheme="minorHAnsi"/>
          <w:b/>
          <w:bCs/>
        </w:rPr>
        <w:t xml:space="preserve">Statistical risk model </w:t>
      </w:r>
      <w:r w:rsidR="00DA0B9B" w:rsidRPr="00050A3E">
        <w:rPr>
          <w:rFonts w:cstheme="minorHAnsi"/>
          <w:b/>
          <w:bCs/>
        </w:rPr>
        <w:t xml:space="preserve">with </w:t>
      </w:r>
      <w:r w:rsidR="00DA0B9B" w:rsidRPr="00BF586B">
        <w:rPr>
          <w:rStyle w:val="Style4"/>
          <w:color w:val="auto"/>
          <w:u w:val="none"/>
        </w:rPr>
        <w:t>110</w:t>
      </w:r>
      <w:r w:rsidR="00DA0B9B" w:rsidRPr="006F22A5">
        <w:rPr>
          <w:rStyle w:val="Style4"/>
          <w:u w:val="none"/>
        </w:rPr>
        <w:t xml:space="preserve"> </w:t>
      </w:r>
      <w:r w:rsidR="00DA0B9B" w:rsidRPr="005232D6">
        <w:rPr>
          <w:rFonts w:cstheme="minorHAnsi"/>
          <w:b/>
          <w:bCs/>
        </w:rPr>
        <w:t>risk factors</w:t>
      </w:r>
    </w:p>
    <w:p w14:paraId="7D192154" w14:textId="77777777" w:rsidR="00DA0B9B" w:rsidRPr="005232D6" w:rsidRDefault="002A3AA5" w:rsidP="00DA0B9B">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Content>
          <w:r w:rsidR="00DA0B9B">
            <w:rPr>
              <w:rFonts w:ascii="MS Gothic" w:eastAsia="MS Gothic" w:hAnsi="MS Gothic" w:cstheme="minorHAnsi" w:hint="eastAsia"/>
              <w:bCs/>
              <w:color w:val="0000FF"/>
            </w:rPr>
            <w:t>☒</w:t>
          </w:r>
        </w:sdtContent>
      </w:sdt>
      <w:r w:rsidR="00DA0B9B">
        <w:rPr>
          <w:rFonts w:eastAsia="MS Mincho" w:cstheme="minorHAnsi"/>
          <w:b/>
          <w:bCs/>
          <w:color w:val="0000FF"/>
        </w:rPr>
        <w:t xml:space="preserve"> </w:t>
      </w:r>
      <w:r w:rsidR="00DA0B9B" w:rsidRPr="005232D6">
        <w:rPr>
          <w:rFonts w:cstheme="minorHAnsi"/>
          <w:b/>
          <w:bCs/>
        </w:rPr>
        <w:t xml:space="preserve">Stratification </w:t>
      </w:r>
      <w:r w:rsidR="00DA0B9B" w:rsidRPr="00050A3E">
        <w:rPr>
          <w:rFonts w:cstheme="minorHAnsi"/>
          <w:b/>
          <w:bCs/>
        </w:rPr>
        <w:t xml:space="preserve">by </w:t>
      </w:r>
      <w:sdt>
        <w:sdtPr>
          <w:rPr>
            <w:rFonts w:cstheme="minorHAnsi"/>
            <w:b/>
            <w:bCs/>
          </w:rPr>
          <w:id w:val="-52006544"/>
          <w:text/>
        </w:sdtPr>
        <w:sdtContent>
          <w:r w:rsidR="00DA0B9B" w:rsidRPr="00BF586B">
            <w:rPr>
              <w:rFonts w:cstheme="minorHAnsi"/>
              <w:b/>
              <w:bCs/>
            </w:rPr>
            <w:t>2</w:t>
          </w:r>
        </w:sdtContent>
      </w:sdt>
      <w:r w:rsidR="00DA0B9B" w:rsidRPr="00050A3E">
        <w:rPr>
          <w:rStyle w:val="Style4"/>
          <w:u w:val="none"/>
        </w:rPr>
        <w:t xml:space="preserve"> </w:t>
      </w:r>
      <w:r w:rsidR="00DA0B9B" w:rsidRPr="00050A3E">
        <w:rPr>
          <w:rFonts w:cstheme="minorHAnsi"/>
          <w:b/>
          <w:bCs/>
        </w:rPr>
        <w:t>r</w:t>
      </w:r>
      <w:r w:rsidR="00DA0B9B">
        <w:rPr>
          <w:rFonts w:cstheme="minorHAnsi"/>
          <w:b/>
          <w:bCs/>
        </w:rPr>
        <w:t xml:space="preserve">isk </w:t>
      </w:r>
      <w:r w:rsidR="00DA0B9B" w:rsidRPr="005232D6">
        <w:rPr>
          <w:rFonts w:cstheme="minorHAnsi"/>
          <w:b/>
          <w:bCs/>
        </w:rPr>
        <w:t>categories</w:t>
      </w:r>
    </w:p>
    <w:p w14:paraId="482080E9" w14:textId="77777777" w:rsidR="00DA0B9B" w:rsidRPr="005232D6" w:rsidRDefault="002A3AA5" w:rsidP="00DA0B9B">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DA0B9B" w:rsidRPr="006574D2">
            <w:rPr>
              <w:rFonts w:ascii="MS Gothic" w:eastAsia="MS Gothic" w:cstheme="minorHAnsi" w:hint="eastAsia"/>
              <w:bCs/>
              <w:color w:val="0000FF"/>
            </w:rPr>
            <w:t>☐</w:t>
          </w:r>
        </w:sdtContent>
      </w:sdt>
      <w:r w:rsidR="00DA0B9B">
        <w:rPr>
          <w:rFonts w:eastAsia="MS Mincho" w:cstheme="minorHAnsi"/>
          <w:b/>
          <w:bCs/>
          <w:color w:val="0000FF"/>
        </w:rPr>
        <w:t xml:space="preserve"> </w:t>
      </w:r>
      <w:r w:rsidR="00DA0B9B"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DA0B9B">
            <w:rPr>
              <w:rStyle w:val="PlaceholderText"/>
            </w:rPr>
            <w:t>Click here to enter description</w:t>
          </w:r>
        </w:sdtContent>
      </w:sdt>
    </w:p>
    <w:p w14:paraId="21FE4BFB" w14:textId="77777777" w:rsidR="00DA0B9B" w:rsidRDefault="00DA0B9B" w:rsidP="00DA0B9B">
      <w:pPr>
        <w:autoSpaceDE w:val="0"/>
        <w:autoSpaceDN w:val="0"/>
        <w:adjustRightInd w:val="0"/>
        <w:spacing w:after="0" w:line="240" w:lineRule="auto"/>
        <w:rPr>
          <w:rFonts w:cstheme="minorHAnsi"/>
          <w:b/>
          <w:bCs/>
        </w:rPr>
      </w:pPr>
    </w:p>
    <w:p w14:paraId="33B58DCA" w14:textId="77777777" w:rsidR="00DA0B9B" w:rsidRDefault="00DA0B9B" w:rsidP="00DA0B9B">
      <w:pPr>
        <w:autoSpaceDE w:val="0"/>
        <w:autoSpaceDN w:val="0"/>
        <w:adjustRightInd w:val="0"/>
        <w:spacing w:after="0" w:line="240" w:lineRule="auto"/>
        <w:rPr>
          <w:rFonts w:cstheme="minorHAnsi"/>
          <w:bCs/>
        </w:rPr>
      </w:pPr>
      <w:r w:rsidRPr="00450C58">
        <w:rPr>
          <w:rFonts w:cstheme="minorHAnsi"/>
          <w:b/>
          <w:bCs/>
        </w:rPr>
        <w:t>2b</w:t>
      </w:r>
      <w:r>
        <w:rPr>
          <w:rFonts w:cstheme="minorHAnsi"/>
          <w:b/>
          <w:bCs/>
        </w:rPr>
        <w:t>3</w:t>
      </w:r>
      <w:r w:rsidRPr="00450C58">
        <w:rPr>
          <w:rFonts w:cstheme="minorHAnsi"/>
          <w:b/>
          <w:bCs/>
        </w:rPr>
        <w:t xml:space="preserve">.1.1 </w:t>
      </w:r>
      <w:r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31A8C64D"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Differences in case mix are controlled for using a statistical risk model with 110 risk factors. </w:t>
      </w:r>
      <w:r w:rsidRPr="00F26445">
        <w:rPr>
          <w:rFonts w:asciiTheme="minorHAnsi" w:eastAsiaTheme="minorEastAsia" w:hAnsiTheme="minorHAnsi" w:cstheme="minorHAnsi"/>
          <w:bCs/>
          <w:color w:val="0070C0"/>
          <w:spacing w:val="0"/>
          <w:sz w:val="22"/>
          <w:szCs w:val="22"/>
        </w:rPr>
        <w:t xml:space="preserve">The </w:t>
      </w:r>
      <w:r w:rsidRPr="00E44679">
        <w:rPr>
          <w:rFonts w:asciiTheme="minorHAnsi" w:eastAsiaTheme="minorEastAsia" w:hAnsiTheme="minorHAnsi" w:cstheme="minorHAnsi"/>
          <w:bCs/>
          <w:color w:val="0070C0"/>
          <w:spacing w:val="0"/>
          <w:sz w:val="22"/>
          <w:szCs w:val="22"/>
        </w:rPr>
        <w:t xml:space="preserve">risk adjustment model </w:t>
      </w:r>
      <w:r>
        <w:rPr>
          <w:rFonts w:asciiTheme="minorHAnsi" w:eastAsiaTheme="minorEastAsia" w:hAnsiTheme="minorHAnsi" w:cstheme="minorHAnsi"/>
          <w:bCs/>
          <w:color w:val="0070C0"/>
          <w:spacing w:val="0"/>
          <w:sz w:val="22"/>
          <w:szCs w:val="22"/>
        </w:rPr>
        <w:t xml:space="preserve">for the </w:t>
      </w:r>
      <w:r w:rsidRPr="00FF416C">
        <w:rPr>
          <w:rFonts w:asciiTheme="minorHAnsi" w:eastAsiaTheme="minorEastAsia" w:hAnsiTheme="minorHAnsi" w:cstheme="minorHAnsi"/>
          <w:bCs/>
          <w:color w:val="0070C0"/>
          <w:spacing w:val="0"/>
          <w:sz w:val="22"/>
          <w:szCs w:val="22"/>
        </w:rPr>
        <w:t>Non-Emergent CABG Measure</w:t>
      </w:r>
      <w:r w:rsidRPr="00CB68C9">
        <w:rPr>
          <w:rFonts w:cstheme="minorHAnsi"/>
          <w:bCs/>
          <w:color w:val="0070C0"/>
        </w:rPr>
        <w:t xml:space="preserve"> </w:t>
      </w:r>
      <w:r w:rsidRPr="00E44679">
        <w:rPr>
          <w:rFonts w:asciiTheme="minorHAnsi" w:eastAsiaTheme="minorEastAsia" w:hAnsiTheme="minorHAnsi" w:cstheme="minorHAnsi"/>
          <w:bCs/>
          <w:color w:val="0070C0"/>
          <w:spacing w:val="0"/>
          <w:sz w:val="22"/>
          <w:szCs w:val="22"/>
        </w:rPr>
        <w:t>broadly follows the CMS-</w:t>
      </w:r>
      <w:r>
        <w:rPr>
          <w:rFonts w:asciiTheme="minorHAnsi" w:eastAsiaTheme="minorEastAsia" w:hAnsiTheme="minorHAnsi" w:cstheme="minorHAnsi"/>
          <w:bCs/>
          <w:color w:val="0070C0"/>
          <w:spacing w:val="0"/>
          <w:sz w:val="22"/>
          <w:szCs w:val="22"/>
        </w:rPr>
        <w:t>HCC risk adjustment methodology</w:t>
      </w:r>
      <w:r w:rsidRPr="00E44679">
        <w:rPr>
          <w:rFonts w:asciiTheme="minorHAnsi" w:eastAsiaTheme="minorEastAsia" w:hAnsiTheme="minorHAnsi" w:cstheme="minorHAnsi"/>
          <w:bCs/>
          <w:color w:val="0070C0"/>
          <w:spacing w:val="0"/>
          <w:sz w:val="22"/>
          <w:szCs w:val="22"/>
        </w:rPr>
        <w:t xml:space="preserve"> used in the Medicare Advantage (MA) program. Severity of illness is measured using </w:t>
      </w:r>
      <w:r>
        <w:rPr>
          <w:rFonts w:asciiTheme="minorHAnsi" w:eastAsiaTheme="minorEastAsia" w:hAnsiTheme="minorHAnsi" w:cstheme="minorHAnsi"/>
          <w:bCs/>
          <w:color w:val="0070C0"/>
          <w:spacing w:val="0"/>
          <w:sz w:val="22"/>
          <w:szCs w:val="22"/>
        </w:rPr>
        <w:t xml:space="preserve">HCCs, indicators of enrollment and long-term care status, and disease interactions. Age is captured in 12 categorical variables. Additional variables are included for factors that affect resource use that expert clinician input identified as important to account for in risk adjustment for the </w:t>
      </w:r>
      <w:r w:rsidRPr="00FF416C">
        <w:rPr>
          <w:rFonts w:asciiTheme="minorHAnsi" w:eastAsiaTheme="minorEastAsia" w:hAnsiTheme="minorHAnsi" w:cstheme="minorHAnsi"/>
          <w:bCs/>
          <w:color w:val="0070C0"/>
          <w:spacing w:val="0"/>
          <w:sz w:val="22"/>
          <w:szCs w:val="22"/>
        </w:rPr>
        <w:t>Non-Emergent CABG Measure</w:t>
      </w:r>
      <w:r w:rsidRPr="00CB68C9">
        <w:rPr>
          <w:rFonts w:cstheme="minorHAnsi"/>
          <w:bCs/>
          <w:color w:val="0070C0"/>
        </w:rPr>
        <w:t xml:space="preserve"> </w:t>
      </w:r>
      <w:r>
        <w:rPr>
          <w:rFonts w:asciiTheme="minorHAnsi" w:eastAsiaTheme="minorEastAsia" w:hAnsiTheme="minorHAnsi" w:cstheme="minorHAnsi"/>
          <w:bCs/>
          <w:color w:val="0070C0"/>
          <w:spacing w:val="0"/>
          <w:sz w:val="22"/>
          <w:szCs w:val="22"/>
        </w:rPr>
        <w:t xml:space="preserve">population. </w:t>
      </w:r>
    </w:p>
    <w:p w14:paraId="32CC3CD5"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p>
    <w:p w14:paraId="60468E72" w14:textId="77777777" w:rsidR="00DA0B9B" w:rsidRPr="00E776AA" w:rsidRDefault="00DA0B9B" w:rsidP="00DA0B9B">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The model includes </w:t>
      </w:r>
      <w:r w:rsidRPr="00E44679">
        <w:rPr>
          <w:rFonts w:asciiTheme="minorHAnsi" w:eastAsiaTheme="minorEastAsia" w:hAnsiTheme="minorHAnsi" w:cstheme="minorHAnsi"/>
          <w:bCs/>
          <w:color w:val="0070C0"/>
          <w:spacing w:val="0"/>
          <w:sz w:val="22"/>
          <w:szCs w:val="22"/>
        </w:rPr>
        <w:t xml:space="preserve">79 HCC indicators </w:t>
      </w:r>
      <w:r>
        <w:rPr>
          <w:rFonts w:asciiTheme="minorHAnsi" w:eastAsiaTheme="minorEastAsia" w:hAnsiTheme="minorHAnsi" w:cstheme="minorHAnsi"/>
          <w:bCs/>
          <w:color w:val="0070C0"/>
          <w:spacing w:val="0"/>
          <w:sz w:val="22"/>
          <w:szCs w:val="22"/>
        </w:rPr>
        <w:t xml:space="preserve">(as </w:t>
      </w:r>
      <w:r w:rsidRPr="00E44679">
        <w:rPr>
          <w:rFonts w:asciiTheme="minorHAnsi" w:eastAsiaTheme="minorEastAsia" w:hAnsiTheme="minorHAnsi" w:cstheme="minorHAnsi"/>
          <w:bCs/>
          <w:color w:val="0070C0"/>
          <w:spacing w:val="0"/>
          <w:sz w:val="22"/>
          <w:szCs w:val="22"/>
        </w:rPr>
        <w:t xml:space="preserve">specified in </w:t>
      </w:r>
      <w:r>
        <w:rPr>
          <w:rFonts w:asciiTheme="minorHAnsi" w:eastAsiaTheme="minorEastAsia" w:hAnsiTheme="minorHAnsi" w:cstheme="minorHAnsi"/>
          <w:bCs/>
          <w:color w:val="0070C0"/>
          <w:spacing w:val="0"/>
          <w:sz w:val="22"/>
          <w:szCs w:val="22"/>
        </w:rPr>
        <w:t xml:space="preserve">the CMS-HCC </w:t>
      </w:r>
      <w:r w:rsidRPr="00E44679">
        <w:rPr>
          <w:rFonts w:asciiTheme="minorHAnsi" w:eastAsiaTheme="minorEastAsia" w:hAnsiTheme="minorHAnsi" w:cstheme="minorHAnsi"/>
          <w:bCs/>
          <w:color w:val="0070C0"/>
          <w:spacing w:val="0"/>
          <w:sz w:val="22"/>
          <w:szCs w:val="22"/>
        </w:rPr>
        <w:t xml:space="preserve">Version </w:t>
      </w:r>
      <w:r>
        <w:rPr>
          <w:rFonts w:asciiTheme="minorHAnsi" w:eastAsiaTheme="minorEastAsia" w:hAnsiTheme="minorHAnsi" w:cstheme="minorHAnsi"/>
          <w:bCs/>
          <w:color w:val="0070C0"/>
          <w:spacing w:val="0"/>
          <w:sz w:val="22"/>
          <w:szCs w:val="22"/>
        </w:rPr>
        <w:t>22 [V22]</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 xml:space="preserve">2016 model) </w:t>
      </w:r>
      <w:r w:rsidRPr="00E44679">
        <w:rPr>
          <w:rFonts w:asciiTheme="minorHAnsi" w:eastAsiaTheme="minorEastAsia" w:hAnsiTheme="minorHAnsi" w:cstheme="minorHAnsi"/>
          <w:bCs/>
          <w:color w:val="0070C0"/>
          <w:spacing w:val="0"/>
          <w:sz w:val="22"/>
          <w:szCs w:val="22"/>
        </w:rPr>
        <w:t xml:space="preserve">derived from the </w:t>
      </w:r>
      <w:r>
        <w:rPr>
          <w:rFonts w:asciiTheme="minorHAnsi" w:eastAsiaTheme="minorEastAsia" w:hAnsiTheme="minorHAnsi" w:cstheme="minorHAnsi"/>
          <w:bCs/>
          <w:color w:val="0070C0"/>
          <w:spacing w:val="0"/>
          <w:sz w:val="22"/>
          <w:szCs w:val="22"/>
        </w:rPr>
        <w:t>patient</w:t>
      </w:r>
      <w:r w:rsidRPr="00E44679">
        <w:rPr>
          <w:rFonts w:asciiTheme="minorHAnsi" w:eastAsiaTheme="minorEastAsia" w:hAnsiTheme="minorHAnsi" w:cstheme="minorHAnsi"/>
          <w:bCs/>
          <w:color w:val="0070C0"/>
          <w:spacing w:val="0"/>
          <w:sz w:val="22"/>
          <w:szCs w:val="22"/>
        </w:rPr>
        <w:t xml:space="preserve">’s </w:t>
      </w:r>
      <w:r>
        <w:rPr>
          <w:rFonts w:asciiTheme="minorHAnsi" w:eastAsiaTheme="minorEastAsia" w:hAnsiTheme="minorHAnsi" w:cstheme="minorHAnsi"/>
          <w:bCs/>
          <w:color w:val="0070C0"/>
          <w:spacing w:val="0"/>
          <w:sz w:val="22"/>
          <w:szCs w:val="22"/>
        </w:rPr>
        <w:t xml:space="preserve">Parts A and B </w:t>
      </w:r>
      <w:r w:rsidRPr="00E44679">
        <w:rPr>
          <w:rFonts w:asciiTheme="minorHAnsi" w:eastAsiaTheme="minorEastAsia" w:hAnsiTheme="minorHAnsi" w:cstheme="minorHAnsi"/>
          <w:bCs/>
          <w:color w:val="0070C0"/>
          <w:spacing w:val="0"/>
          <w:sz w:val="22"/>
          <w:szCs w:val="22"/>
        </w:rPr>
        <w:t xml:space="preserve">claims during the period </w:t>
      </w:r>
      <w:r>
        <w:rPr>
          <w:rFonts w:asciiTheme="minorHAnsi" w:eastAsiaTheme="minorEastAsia" w:hAnsiTheme="minorHAnsi" w:cstheme="minorHAnsi"/>
          <w:bCs/>
          <w:color w:val="0070C0"/>
          <w:spacing w:val="0"/>
          <w:sz w:val="22"/>
          <w:szCs w:val="22"/>
        </w:rPr>
        <w:t>120</w:t>
      </w:r>
      <w:r w:rsidRPr="00E44679">
        <w:rPr>
          <w:rFonts w:asciiTheme="minorHAnsi" w:eastAsiaTheme="minorEastAsia" w:hAnsiTheme="minorHAnsi" w:cstheme="minorHAnsi"/>
          <w:bCs/>
          <w:color w:val="0070C0"/>
          <w:spacing w:val="0"/>
          <w:sz w:val="22"/>
          <w:szCs w:val="22"/>
        </w:rPr>
        <w:t xml:space="preserve"> days pr</w:t>
      </w:r>
      <w:r>
        <w:rPr>
          <w:rFonts w:asciiTheme="minorHAnsi" w:eastAsiaTheme="minorEastAsia" w:hAnsiTheme="minorHAnsi" w:cstheme="minorHAnsi"/>
          <w:bCs/>
          <w:color w:val="0070C0"/>
          <w:spacing w:val="0"/>
          <w:sz w:val="22"/>
          <w:szCs w:val="22"/>
        </w:rPr>
        <w:t xml:space="preserve">ior to the episode trigger. Episodes for patients </w:t>
      </w:r>
      <w:r w:rsidRPr="00E776AA">
        <w:rPr>
          <w:rFonts w:asciiTheme="minorHAnsi" w:eastAsiaTheme="minorEastAsia" w:hAnsiTheme="minorHAnsi" w:cstheme="minorHAnsi"/>
          <w:bCs/>
          <w:color w:val="0070C0"/>
          <w:spacing w:val="0"/>
          <w:sz w:val="22"/>
          <w:szCs w:val="22"/>
        </w:rPr>
        <w:t xml:space="preserve">without a full 120-day lookback period (i.e., </w:t>
      </w:r>
      <w:r>
        <w:rPr>
          <w:rFonts w:asciiTheme="minorHAnsi" w:eastAsiaTheme="minorEastAsia" w:hAnsiTheme="minorHAnsi" w:cstheme="minorHAnsi"/>
          <w:bCs/>
          <w:color w:val="0070C0"/>
          <w:spacing w:val="0"/>
          <w:sz w:val="22"/>
          <w:szCs w:val="22"/>
        </w:rPr>
        <w:t>without patient enrollment</w:t>
      </w:r>
      <w:r w:rsidRPr="00E776AA">
        <w:rPr>
          <w:rFonts w:asciiTheme="minorHAnsi" w:eastAsiaTheme="minorEastAsia" w:hAnsiTheme="minorHAnsi" w:cstheme="minorHAnsi"/>
          <w:bCs/>
          <w:color w:val="0070C0"/>
          <w:spacing w:val="0"/>
          <w:sz w:val="22"/>
          <w:szCs w:val="22"/>
        </w:rPr>
        <w:t xml:space="preserve"> in both Medicare Part A and Medicare Part B for </w:t>
      </w:r>
      <w:r>
        <w:rPr>
          <w:rFonts w:asciiTheme="minorHAnsi" w:eastAsiaTheme="minorEastAsia" w:hAnsiTheme="minorHAnsi" w:cstheme="minorHAnsi"/>
          <w:bCs/>
          <w:color w:val="0070C0"/>
          <w:spacing w:val="0"/>
          <w:sz w:val="22"/>
          <w:szCs w:val="22"/>
        </w:rPr>
        <w:t>the 12</w:t>
      </w:r>
      <w:r w:rsidRPr="00E776AA">
        <w:rPr>
          <w:rFonts w:asciiTheme="minorHAnsi" w:eastAsiaTheme="minorEastAsia" w:hAnsiTheme="minorHAnsi" w:cstheme="minorHAnsi"/>
          <w:bCs/>
          <w:color w:val="0070C0"/>
          <w:spacing w:val="0"/>
          <w:sz w:val="22"/>
          <w:szCs w:val="22"/>
        </w:rPr>
        <w:t>0 days prior to the episode</w:t>
      </w:r>
      <w:r>
        <w:rPr>
          <w:rFonts w:asciiTheme="minorHAnsi" w:eastAsiaTheme="minorEastAsia" w:hAnsiTheme="minorHAnsi" w:cstheme="minorHAnsi"/>
          <w:bCs/>
          <w:color w:val="0070C0"/>
          <w:spacing w:val="0"/>
          <w:sz w:val="22"/>
          <w:szCs w:val="22"/>
        </w:rPr>
        <w:t xml:space="preserve"> trigger</w:t>
      </w:r>
      <w:r w:rsidRPr="00E776AA">
        <w:rPr>
          <w:rFonts w:asciiTheme="minorHAnsi" w:eastAsiaTheme="minorEastAsia" w:hAnsiTheme="minorHAnsi" w:cstheme="minorHAnsi"/>
          <w:bCs/>
          <w:color w:val="0070C0"/>
          <w:spacing w:val="0"/>
          <w:sz w:val="22"/>
          <w:szCs w:val="22"/>
        </w:rPr>
        <w:t xml:space="preserve">) have their episodes excluded from the measure. This 120-day period is used to measure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 xml:space="preserve"> health status</w:t>
      </w:r>
      <w:r>
        <w:rPr>
          <w:rFonts w:asciiTheme="minorHAnsi" w:eastAsiaTheme="minorEastAsia" w:hAnsiTheme="minorHAnsi" w:cstheme="minorHAnsi"/>
          <w:bCs/>
          <w:color w:val="0070C0"/>
          <w:spacing w:val="0"/>
          <w:sz w:val="22"/>
          <w:szCs w:val="22"/>
        </w:rPr>
        <w:t xml:space="preserve"> and </w:t>
      </w:r>
      <w:r w:rsidRPr="00E776AA">
        <w:rPr>
          <w:rFonts w:asciiTheme="minorHAnsi" w:eastAsiaTheme="minorEastAsia" w:hAnsiTheme="minorHAnsi" w:cstheme="minorHAnsi"/>
          <w:bCs/>
          <w:color w:val="0070C0"/>
          <w:spacing w:val="0"/>
          <w:sz w:val="22"/>
          <w:szCs w:val="22"/>
        </w:rPr>
        <w:t xml:space="preserve">ensures that each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’s claims record contains sufficient data for risk adjustment purpo</w:t>
      </w:r>
      <w:r>
        <w:rPr>
          <w:rFonts w:asciiTheme="minorHAnsi" w:eastAsiaTheme="minorEastAsia" w:hAnsiTheme="minorHAnsi" w:cstheme="minorHAnsi"/>
          <w:bCs/>
          <w:color w:val="0070C0"/>
          <w:spacing w:val="0"/>
          <w:sz w:val="22"/>
          <w:szCs w:val="22"/>
        </w:rPr>
        <w:t xml:space="preserve">ses. </w:t>
      </w:r>
    </w:p>
    <w:p w14:paraId="0DD387CE"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p>
    <w:p w14:paraId="070D9BE4"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In addition, t</w:t>
      </w:r>
      <w:r w:rsidRPr="00E776AA">
        <w:rPr>
          <w:rFonts w:asciiTheme="minorHAnsi" w:eastAsiaTheme="minorEastAsia" w:hAnsiTheme="minorHAnsi" w:cstheme="minorHAnsi"/>
          <w:bCs/>
          <w:color w:val="0070C0"/>
          <w:spacing w:val="0"/>
          <w:sz w:val="22"/>
          <w:szCs w:val="22"/>
        </w:rPr>
        <w:t xml:space="preserve">he risk adjustment </w:t>
      </w:r>
      <w:r>
        <w:rPr>
          <w:rFonts w:asciiTheme="minorHAnsi" w:eastAsiaTheme="minorEastAsia" w:hAnsiTheme="minorHAnsi" w:cstheme="minorHAnsi"/>
          <w:bCs/>
          <w:color w:val="0070C0"/>
          <w:spacing w:val="0"/>
          <w:sz w:val="22"/>
          <w:szCs w:val="22"/>
        </w:rPr>
        <w:t xml:space="preserve">model </w:t>
      </w:r>
      <w:r w:rsidRPr="00E776AA">
        <w:rPr>
          <w:rFonts w:asciiTheme="minorHAnsi" w:eastAsiaTheme="minorEastAsia" w:hAnsiTheme="minorHAnsi" w:cstheme="minorHAnsi"/>
          <w:bCs/>
          <w:color w:val="0070C0"/>
          <w:spacing w:val="0"/>
          <w:sz w:val="22"/>
          <w:szCs w:val="22"/>
        </w:rPr>
        <w:t xml:space="preserve">includes status indicator variables for whether the </w:t>
      </w:r>
      <w:r>
        <w:rPr>
          <w:rFonts w:asciiTheme="minorHAnsi" w:eastAsiaTheme="minorEastAsia" w:hAnsiTheme="minorHAnsi" w:cstheme="minorHAnsi"/>
          <w:bCs/>
          <w:color w:val="0070C0"/>
          <w:spacing w:val="0"/>
          <w:sz w:val="22"/>
          <w:szCs w:val="22"/>
        </w:rPr>
        <w:t>patient</w:t>
      </w:r>
      <w:r w:rsidRPr="00E776AA">
        <w:rPr>
          <w:rFonts w:asciiTheme="minorHAnsi" w:eastAsiaTheme="minorEastAsia" w:hAnsiTheme="minorHAnsi" w:cstheme="minorHAnsi"/>
          <w:bCs/>
          <w:color w:val="0070C0"/>
          <w:spacing w:val="0"/>
          <w:sz w:val="22"/>
          <w:szCs w:val="22"/>
        </w:rPr>
        <w:t xml:space="preserve"> qualifies for Medicare through Disability or End-Stage Renal Disease (ESRD). </w:t>
      </w:r>
      <w:r>
        <w:rPr>
          <w:rFonts w:asciiTheme="minorHAnsi" w:eastAsiaTheme="minorEastAsia" w:hAnsiTheme="minorHAnsi" w:cstheme="minorHAnsi"/>
          <w:bCs/>
          <w:color w:val="0070C0"/>
          <w:spacing w:val="0"/>
          <w:sz w:val="22"/>
          <w:szCs w:val="22"/>
        </w:rPr>
        <w:t xml:space="preserve">The model also includes </w:t>
      </w:r>
      <w:r w:rsidRPr="00E44679">
        <w:rPr>
          <w:rFonts w:asciiTheme="minorHAnsi" w:eastAsiaTheme="minorEastAsia" w:hAnsiTheme="minorHAnsi" w:cstheme="minorHAnsi"/>
          <w:bCs/>
          <w:color w:val="0070C0"/>
          <w:spacing w:val="0"/>
          <w:sz w:val="22"/>
          <w:szCs w:val="22"/>
        </w:rPr>
        <w:t xml:space="preserve">an </w:t>
      </w:r>
      <w:r w:rsidRPr="00E44679">
        <w:rPr>
          <w:rFonts w:asciiTheme="minorHAnsi" w:eastAsiaTheme="minorEastAsia" w:hAnsiTheme="minorHAnsi" w:cstheme="minorHAnsi"/>
          <w:bCs/>
          <w:color w:val="0070C0"/>
          <w:spacing w:val="0"/>
          <w:sz w:val="22"/>
          <w:szCs w:val="22"/>
        </w:rPr>
        <w:lastRenderedPageBreak/>
        <w:t xml:space="preserve">indicator of whether the </w:t>
      </w:r>
      <w:r>
        <w:rPr>
          <w:rFonts w:asciiTheme="minorHAnsi" w:eastAsiaTheme="minorEastAsia" w:hAnsiTheme="minorHAnsi" w:cstheme="minorHAnsi"/>
          <w:bCs/>
          <w:color w:val="0070C0"/>
          <w:spacing w:val="0"/>
          <w:sz w:val="22"/>
          <w:szCs w:val="22"/>
        </w:rPr>
        <w:t>patient</w:t>
      </w:r>
      <w:r w:rsidRPr="00E44679">
        <w:rPr>
          <w:rFonts w:asciiTheme="minorHAnsi" w:eastAsiaTheme="minorEastAsia" w:hAnsiTheme="minorHAnsi" w:cstheme="minorHAnsi"/>
          <w:bCs/>
          <w:color w:val="0070C0"/>
          <w:spacing w:val="0"/>
          <w:sz w:val="22"/>
          <w:szCs w:val="22"/>
        </w:rPr>
        <w:t xml:space="preserve"> recently required long-term care</w:t>
      </w:r>
      <w:r>
        <w:rPr>
          <w:rFonts w:asciiTheme="minorHAnsi" w:eastAsiaTheme="minorEastAsia" w:hAnsiTheme="minorHAnsi" w:cstheme="minorHAnsi"/>
          <w:bCs/>
          <w:color w:val="0070C0"/>
          <w:spacing w:val="0"/>
          <w:sz w:val="22"/>
          <w:szCs w:val="22"/>
        </w:rPr>
        <w:t>, defined as 90 days in a long-term care facility without being discharged to community for 14 days. Patients who need to reside in long-term care facilities typically require more intensive care than patients who live in the community. Th</w:t>
      </w:r>
      <w:r w:rsidRPr="00E776AA">
        <w:rPr>
          <w:rFonts w:asciiTheme="minorHAnsi" w:eastAsiaTheme="minorEastAsia" w:hAnsiTheme="minorHAnsi" w:cstheme="minorHAnsi"/>
          <w:bCs/>
          <w:color w:val="0070C0"/>
          <w:spacing w:val="0"/>
          <w:sz w:val="22"/>
          <w:szCs w:val="22"/>
        </w:rPr>
        <w:t xml:space="preserve">ese </w:t>
      </w:r>
      <w:r>
        <w:rPr>
          <w:rFonts w:asciiTheme="minorHAnsi" w:eastAsiaTheme="minorEastAsia" w:hAnsiTheme="minorHAnsi" w:cstheme="minorHAnsi"/>
          <w:bCs/>
          <w:color w:val="0070C0"/>
          <w:spacing w:val="0"/>
          <w:sz w:val="22"/>
          <w:szCs w:val="22"/>
        </w:rPr>
        <w:t xml:space="preserve">enrollment and long-term care </w:t>
      </w:r>
      <w:r w:rsidRPr="00E776AA">
        <w:rPr>
          <w:rFonts w:asciiTheme="minorHAnsi" w:eastAsiaTheme="minorEastAsia" w:hAnsiTheme="minorHAnsi" w:cstheme="minorHAnsi"/>
          <w:bCs/>
          <w:color w:val="0070C0"/>
          <w:spacing w:val="0"/>
          <w:sz w:val="22"/>
          <w:szCs w:val="22"/>
        </w:rPr>
        <w:t xml:space="preserve">status variables </w:t>
      </w:r>
      <w:r>
        <w:rPr>
          <w:rFonts w:asciiTheme="minorHAnsi" w:eastAsiaTheme="minorEastAsia" w:hAnsiTheme="minorHAnsi" w:cstheme="minorHAnsi"/>
          <w:bCs/>
          <w:color w:val="0070C0"/>
          <w:spacing w:val="0"/>
          <w:sz w:val="22"/>
          <w:szCs w:val="22"/>
        </w:rPr>
        <w:t>are non-diagnostic measures of</w:t>
      </w:r>
      <w:r w:rsidRPr="00E776AA">
        <w:rPr>
          <w:rFonts w:asciiTheme="minorHAnsi" w:eastAsiaTheme="minorEastAsia" w:hAnsiTheme="minorHAnsi" w:cstheme="minorHAnsi"/>
          <w:bCs/>
          <w:color w:val="0070C0"/>
          <w:spacing w:val="0"/>
          <w:sz w:val="22"/>
          <w:szCs w:val="22"/>
        </w:rPr>
        <w:t xml:space="preserve"> severity of illness</w:t>
      </w:r>
      <w:r>
        <w:rPr>
          <w:rFonts w:asciiTheme="minorHAnsi" w:eastAsiaTheme="minorEastAsia" w:hAnsiTheme="minorHAnsi" w:cstheme="minorHAnsi"/>
          <w:bCs/>
          <w:color w:val="0070C0"/>
          <w:spacing w:val="0"/>
          <w:sz w:val="22"/>
          <w:szCs w:val="22"/>
        </w:rPr>
        <w:t>.</w:t>
      </w:r>
    </w:p>
    <w:p w14:paraId="30223A31"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p>
    <w:p w14:paraId="2C1F44C4"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r w:rsidRPr="00E44679">
        <w:rPr>
          <w:rFonts w:asciiTheme="minorHAnsi" w:eastAsiaTheme="minorEastAsia" w:hAnsiTheme="minorHAnsi" w:cstheme="minorHAnsi"/>
          <w:bCs/>
          <w:color w:val="0070C0"/>
          <w:spacing w:val="0"/>
          <w:sz w:val="22"/>
          <w:szCs w:val="22"/>
        </w:rPr>
        <w:t>The model also accounts for disease interactions by including interactions between HCCs and</w:t>
      </w:r>
      <w:r>
        <w:rPr>
          <w:rFonts w:asciiTheme="minorHAnsi" w:eastAsiaTheme="minorEastAsia" w:hAnsiTheme="minorHAnsi" w:cstheme="minorHAnsi"/>
          <w:bCs/>
          <w:color w:val="0070C0"/>
          <w:spacing w:val="0"/>
          <w:sz w:val="22"/>
          <w:szCs w:val="22"/>
        </w:rPr>
        <w:t>/or enrollment status variables as included in the MA model. These interactions</w:t>
      </w:r>
      <w:r w:rsidRPr="00E44679">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are</w:t>
      </w:r>
      <w:r w:rsidRPr="00E44679">
        <w:rPr>
          <w:rFonts w:asciiTheme="minorHAnsi" w:eastAsiaTheme="minorEastAsia" w:hAnsiTheme="minorHAnsi" w:cstheme="minorHAnsi"/>
          <w:bCs/>
          <w:color w:val="0070C0"/>
          <w:spacing w:val="0"/>
          <w:sz w:val="22"/>
          <w:szCs w:val="22"/>
        </w:rPr>
        <w:t xml:space="preserve"> included </w:t>
      </w:r>
      <w:r>
        <w:rPr>
          <w:rFonts w:asciiTheme="minorHAnsi" w:eastAsiaTheme="minorEastAsia" w:hAnsiTheme="minorHAnsi" w:cstheme="minorHAnsi"/>
          <w:bCs/>
          <w:color w:val="0070C0"/>
          <w:spacing w:val="0"/>
          <w:sz w:val="22"/>
          <w:szCs w:val="22"/>
        </w:rPr>
        <w:t>since</w:t>
      </w:r>
      <w:r w:rsidRPr="00E44679">
        <w:rPr>
          <w:rFonts w:asciiTheme="minorHAnsi" w:eastAsiaTheme="minorEastAsia" w:hAnsiTheme="minorHAnsi" w:cstheme="minorHAnsi"/>
          <w:bCs/>
          <w:color w:val="0070C0"/>
          <w:spacing w:val="0"/>
          <w:sz w:val="22"/>
          <w:szCs w:val="22"/>
        </w:rPr>
        <w:t xml:space="preserve"> the presence of certain </w:t>
      </w:r>
      <w:r w:rsidRPr="00F26445">
        <w:rPr>
          <w:rFonts w:asciiTheme="minorHAnsi" w:eastAsiaTheme="minorEastAsia" w:hAnsiTheme="minorHAnsi" w:cstheme="minorHAnsi"/>
          <w:bCs/>
          <w:color w:val="0070C0"/>
          <w:spacing w:val="0"/>
          <w:sz w:val="22"/>
          <w:szCs w:val="22"/>
        </w:rPr>
        <w:t xml:space="preserve">comorbidities increases costs in a greater way than predicted by the HCC indicators alone. </w:t>
      </w:r>
    </w:p>
    <w:p w14:paraId="469DDA4F"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p>
    <w:p w14:paraId="30CCF100" w14:textId="5D3DA256" w:rsidR="00DA0B9B" w:rsidRDefault="00DA0B9B" w:rsidP="00DA0B9B">
      <w:pPr>
        <w:pStyle w:val="Body125"/>
        <w:ind w:firstLine="0"/>
        <w:rPr>
          <w:rFonts w:asciiTheme="minorHAnsi" w:eastAsiaTheme="minorEastAsia" w:hAnsiTheme="minorHAnsi" w:cstheme="minorHAnsi"/>
          <w:bCs/>
          <w:color w:val="0070C0"/>
          <w:spacing w:val="0"/>
          <w:sz w:val="22"/>
          <w:szCs w:val="22"/>
        </w:rPr>
      </w:pPr>
      <w:r w:rsidRPr="006D4033">
        <w:rPr>
          <w:rFonts w:asciiTheme="minorHAnsi" w:eastAsiaTheme="minorEastAsia" w:hAnsiTheme="minorHAnsi" w:cstheme="minorHAnsi"/>
          <w:bCs/>
          <w:color w:val="0070C0"/>
          <w:spacing w:val="0"/>
          <w:sz w:val="22"/>
          <w:szCs w:val="22"/>
        </w:rPr>
        <w:t xml:space="preserve">Beyond the variables outlined above, the </w:t>
      </w:r>
      <w:r w:rsidRPr="00FF416C">
        <w:rPr>
          <w:rFonts w:asciiTheme="minorHAnsi" w:eastAsiaTheme="minorEastAsia" w:hAnsiTheme="minorHAnsi" w:cstheme="minorHAnsi"/>
          <w:bCs/>
          <w:color w:val="0070C0"/>
          <w:spacing w:val="0"/>
          <w:sz w:val="22"/>
          <w:szCs w:val="22"/>
        </w:rPr>
        <w:t>Non-Emergent CABG Measure</w:t>
      </w:r>
      <w:r w:rsidRPr="00CB68C9">
        <w:rPr>
          <w:rFonts w:cstheme="minorHAnsi"/>
          <w:bCs/>
          <w:color w:val="0070C0"/>
        </w:rPr>
        <w:t xml:space="preserve"> </w:t>
      </w:r>
      <w:r w:rsidRPr="006D4033">
        <w:rPr>
          <w:rFonts w:asciiTheme="minorHAnsi" w:eastAsiaTheme="minorEastAsia" w:hAnsiTheme="minorHAnsi" w:cstheme="minorHAnsi"/>
          <w:bCs/>
          <w:color w:val="0070C0"/>
          <w:spacing w:val="0"/>
          <w:sz w:val="22"/>
          <w:szCs w:val="22"/>
        </w:rPr>
        <w:t>risk adjustment model also include</w:t>
      </w:r>
      <w:r>
        <w:rPr>
          <w:rFonts w:asciiTheme="minorHAnsi" w:eastAsiaTheme="minorEastAsia" w:hAnsiTheme="minorHAnsi" w:cstheme="minorHAnsi"/>
          <w:bCs/>
          <w:color w:val="0070C0"/>
          <w:spacing w:val="0"/>
          <w:sz w:val="22"/>
          <w:szCs w:val="22"/>
        </w:rPr>
        <w:t>s</w:t>
      </w:r>
      <w:r w:rsidRPr="006D4033">
        <w:rPr>
          <w:rFonts w:asciiTheme="minorHAnsi" w:eastAsiaTheme="minorEastAsia" w:hAnsiTheme="minorHAnsi" w:cstheme="minorHAnsi"/>
          <w:bCs/>
          <w:color w:val="0070C0"/>
          <w:spacing w:val="0"/>
          <w:sz w:val="22"/>
          <w:szCs w:val="22"/>
        </w:rPr>
        <w:t xml:space="preserve"> additional factors to further isolate costs that attributed clinicians can reasonably influence, infor</w:t>
      </w:r>
      <w:r>
        <w:rPr>
          <w:rFonts w:asciiTheme="minorHAnsi" w:eastAsiaTheme="minorEastAsia" w:hAnsiTheme="minorHAnsi" w:cstheme="minorHAnsi"/>
          <w:bCs/>
          <w:color w:val="0070C0"/>
          <w:spacing w:val="0"/>
          <w:sz w:val="22"/>
          <w:szCs w:val="22"/>
        </w:rPr>
        <w:t xml:space="preserve">med by recommendations from the </w:t>
      </w:r>
      <w:r w:rsidR="0000159A">
        <w:rPr>
          <w:rFonts w:asciiTheme="minorHAnsi" w:eastAsiaTheme="minorEastAsia" w:hAnsiTheme="minorHAnsi" w:cstheme="minorHAnsi"/>
          <w:bCs/>
          <w:color w:val="0070C0"/>
          <w:spacing w:val="0"/>
          <w:sz w:val="22"/>
          <w:szCs w:val="22"/>
        </w:rPr>
        <w:t>clinician</w:t>
      </w:r>
      <w:r>
        <w:rPr>
          <w:rFonts w:asciiTheme="minorHAnsi" w:eastAsiaTheme="minorEastAsia" w:hAnsiTheme="minorHAnsi" w:cstheme="minorHAnsi"/>
          <w:bCs/>
          <w:color w:val="0070C0"/>
          <w:spacing w:val="0"/>
          <w:sz w:val="22"/>
          <w:szCs w:val="22"/>
        </w:rPr>
        <w:t xml:space="preserve"> workgroup</w:t>
      </w:r>
      <w:r>
        <w:rPr>
          <w:rFonts w:cstheme="minorHAnsi"/>
          <w:bCs/>
          <w:color w:val="0070C0"/>
        </w:rPr>
        <w:t xml:space="preserve"> </w:t>
      </w:r>
      <w:r w:rsidRPr="006D4033">
        <w:rPr>
          <w:rFonts w:asciiTheme="minorHAnsi" w:eastAsiaTheme="minorEastAsia" w:hAnsiTheme="minorHAnsi" w:cstheme="minorHAnsi"/>
          <w:bCs/>
          <w:color w:val="0070C0"/>
          <w:spacing w:val="0"/>
          <w:sz w:val="22"/>
          <w:szCs w:val="22"/>
        </w:rPr>
        <w:t>based on clinical expertise and empirical analysis. These additional risk adjustors capture</w:t>
      </w:r>
      <w:r>
        <w:rPr>
          <w:rFonts w:asciiTheme="minorHAnsi" w:eastAsiaTheme="minorEastAsia" w:hAnsiTheme="minorHAnsi" w:cstheme="minorHAnsi"/>
          <w:bCs/>
          <w:color w:val="0070C0"/>
          <w:spacing w:val="0"/>
          <w:sz w:val="22"/>
          <w:szCs w:val="22"/>
        </w:rPr>
        <w:t xml:space="preserve"> whether the patient has a history of</w:t>
      </w:r>
      <w:r w:rsidRPr="006D4033">
        <w:rPr>
          <w:rFonts w:asciiTheme="minorHAnsi" w:eastAsiaTheme="minorEastAsia" w:hAnsiTheme="minorHAnsi" w:cstheme="minorHAnsi"/>
          <w:bCs/>
          <w:color w:val="0070C0"/>
          <w:spacing w:val="0"/>
          <w:sz w:val="22"/>
          <w:szCs w:val="22"/>
        </w:rPr>
        <w:t>:</w:t>
      </w:r>
    </w:p>
    <w:p w14:paraId="414660D8" w14:textId="77777777" w:rsidR="00DA0B9B" w:rsidRDefault="00DA0B9B" w:rsidP="00DA0B9B">
      <w:pPr>
        <w:numPr>
          <w:ilvl w:val="0"/>
          <w:numId w:val="6"/>
        </w:numPr>
        <w:spacing w:after="0" w:line="240" w:lineRule="auto"/>
        <w:ind w:left="720" w:hanging="540"/>
        <w:rPr>
          <w:rFonts w:cstheme="minorHAnsi"/>
          <w:bCs/>
          <w:color w:val="0070C0"/>
        </w:rPr>
        <w:sectPr w:rsidR="00DA0B9B" w:rsidSect="008505D1">
          <w:headerReference w:type="default" r:id="rId13"/>
          <w:footerReference w:type="default" r:id="rId14"/>
          <w:pgSz w:w="12240" w:h="15840"/>
          <w:pgMar w:top="1440" w:right="1440" w:bottom="1440" w:left="1440" w:header="720" w:footer="720" w:gutter="0"/>
          <w:cols w:space="720"/>
          <w:docGrid w:linePitch="360"/>
        </w:sectPr>
      </w:pPr>
    </w:p>
    <w:p w14:paraId="43FE2220"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Antiplatelet Use</w:t>
      </w:r>
    </w:p>
    <w:p w14:paraId="076FEF6F"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Anticoagulant Use</w:t>
      </w:r>
    </w:p>
    <w:p w14:paraId="6C412593" w14:textId="77777777" w:rsidR="00DA0B9B" w:rsidRPr="00AD5E23" w:rsidRDefault="00DA0B9B" w:rsidP="00DA0B9B">
      <w:pPr>
        <w:numPr>
          <w:ilvl w:val="0"/>
          <w:numId w:val="6"/>
        </w:numPr>
        <w:spacing w:after="0" w:line="240" w:lineRule="auto"/>
        <w:ind w:left="720" w:hanging="540"/>
        <w:rPr>
          <w:rFonts w:cstheme="minorHAnsi"/>
          <w:bCs/>
          <w:color w:val="0070C0"/>
        </w:rPr>
      </w:pPr>
      <w:r>
        <w:rPr>
          <w:rFonts w:cstheme="minorHAnsi"/>
          <w:bCs/>
          <w:color w:val="0070C0"/>
        </w:rPr>
        <w:t>History of MI or PCI</w:t>
      </w:r>
    </w:p>
    <w:p w14:paraId="1A4B77B5"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Smoking/Nicotine Dependence</w:t>
      </w:r>
    </w:p>
    <w:p w14:paraId="5C3C259B"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Recent Receipt of Home Health Services</w:t>
      </w:r>
    </w:p>
    <w:p w14:paraId="0A7B96C2"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Home Oxygen</w:t>
      </w:r>
    </w:p>
    <w:p w14:paraId="42535616"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Nursing Facility Physician Visits</w:t>
      </w:r>
    </w:p>
    <w:p w14:paraId="121A5A05"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Dementia</w:t>
      </w:r>
    </w:p>
    <w:p w14:paraId="17FC24FF" w14:textId="77777777" w:rsidR="00DA0B9B" w:rsidRPr="00AD5E23"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Walking Aid</w:t>
      </w:r>
    </w:p>
    <w:p w14:paraId="3F240070" w14:textId="77777777" w:rsidR="00DA0B9B" w:rsidRDefault="00DA0B9B" w:rsidP="00DA0B9B">
      <w:pPr>
        <w:numPr>
          <w:ilvl w:val="0"/>
          <w:numId w:val="6"/>
        </w:numPr>
        <w:spacing w:after="0" w:line="240" w:lineRule="auto"/>
        <w:ind w:left="720" w:hanging="540"/>
        <w:rPr>
          <w:rFonts w:cstheme="minorHAnsi"/>
          <w:bCs/>
          <w:color w:val="0070C0"/>
        </w:rPr>
      </w:pPr>
      <w:r w:rsidRPr="00AD5E23">
        <w:rPr>
          <w:rFonts w:cstheme="minorHAnsi"/>
          <w:bCs/>
          <w:color w:val="0070C0"/>
        </w:rPr>
        <w:t>Wheelchairs</w:t>
      </w:r>
    </w:p>
    <w:p w14:paraId="63318C32" w14:textId="77777777" w:rsidR="00DA0B9B" w:rsidRDefault="00DA0B9B" w:rsidP="00DA0B9B">
      <w:pPr>
        <w:numPr>
          <w:ilvl w:val="0"/>
          <w:numId w:val="6"/>
        </w:numPr>
        <w:spacing w:after="0" w:line="240" w:lineRule="auto"/>
        <w:ind w:left="720" w:hanging="540"/>
        <w:rPr>
          <w:rFonts w:cstheme="minorHAnsi"/>
          <w:bCs/>
          <w:color w:val="0070C0"/>
        </w:rPr>
      </w:pPr>
      <w:r>
        <w:rPr>
          <w:rFonts w:cstheme="minorHAnsi"/>
          <w:bCs/>
          <w:color w:val="0070C0"/>
        </w:rPr>
        <w:t>Recent Hospital Discharge</w:t>
      </w:r>
    </w:p>
    <w:p w14:paraId="7EDC4D40" w14:textId="77777777" w:rsidR="00DA0B9B" w:rsidRPr="00AD5E23" w:rsidRDefault="00DA0B9B" w:rsidP="00DA0B9B">
      <w:pPr>
        <w:numPr>
          <w:ilvl w:val="0"/>
          <w:numId w:val="6"/>
        </w:numPr>
        <w:spacing w:after="0" w:line="240" w:lineRule="auto"/>
        <w:ind w:left="720" w:hanging="540"/>
        <w:rPr>
          <w:rFonts w:cstheme="minorHAnsi"/>
          <w:bCs/>
          <w:color w:val="0070C0"/>
        </w:rPr>
      </w:pPr>
      <w:r>
        <w:rPr>
          <w:rFonts w:cstheme="minorHAnsi"/>
          <w:bCs/>
          <w:color w:val="0070C0"/>
        </w:rPr>
        <w:t>Outpatient Therapy</w:t>
      </w:r>
    </w:p>
    <w:p w14:paraId="648C9073" w14:textId="77777777" w:rsidR="00DA0B9B" w:rsidRDefault="00DA0B9B" w:rsidP="00DA0B9B">
      <w:pPr>
        <w:pStyle w:val="Body125"/>
        <w:ind w:left="720" w:firstLine="0"/>
        <w:rPr>
          <w:rFonts w:asciiTheme="minorHAnsi" w:eastAsiaTheme="minorEastAsia" w:hAnsiTheme="minorHAnsi" w:cstheme="minorHAnsi"/>
          <w:bCs/>
          <w:color w:val="0070C0"/>
          <w:spacing w:val="0"/>
          <w:sz w:val="22"/>
          <w:szCs w:val="22"/>
        </w:rPr>
        <w:sectPr w:rsidR="00DA0B9B" w:rsidSect="00F93F6D">
          <w:type w:val="continuous"/>
          <w:pgSz w:w="12240" w:h="15840"/>
          <w:pgMar w:top="1440" w:right="1440" w:bottom="1440" w:left="1440" w:header="720" w:footer="720" w:gutter="0"/>
          <w:cols w:num="2" w:space="720"/>
          <w:docGrid w:linePitch="360"/>
        </w:sectPr>
      </w:pPr>
    </w:p>
    <w:p w14:paraId="7F8E83E2" w14:textId="77777777" w:rsidR="00DA0B9B" w:rsidRDefault="00DA0B9B" w:rsidP="00DA0B9B">
      <w:pPr>
        <w:pStyle w:val="Body125"/>
        <w:ind w:left="720" w:firstLine="0"/>
        <w:rPr>
          <w:rFonts w:asciiTheme="minorHAnsi" w:eastAsiaTheme="minorEastAsia" w:hAnsiTheme="minorHAnsi" w:cstheme="minorHAnsi"/>
          <w:bCs/>
          <w:color w:val="0070C0"/>
          <w:spacing w:val="0"/>
          <w:sz w:val="22"/>
          <w:szCs w:val="22"/>
        </w:rPr>
      </w:pPr>
    </w:p>
    <w:p w14:paraId="19667BD3"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As with</w:t>
      </w:r>
      <w:r w:rsidRPr="00F26445">
        <w:rPr>
          <w:rFonts w:asciiTheme="minorHAnsi" w:eastAsiaTheme="minorEastAsia" w:hAnsiTheme="minorHAnsi" w:cstheme="minorHAnsi"/>
          <w:bCs/>
          <w:color w:val="0070C0"/>
          <w:spacing w:val="0"/>
          <w:sz w:val="22"/>
          <w:szCs w:val="22"/>
        </w:rPr>
        <w:t xml:space="preserve"> the CMS-HCC </w:t>
      </w:r>
      <w:r w:rsidRPr="006D4033">
        <w:rPr>
          <w:rFonts w:asciiTheme="minorHAnsi" w:eastAsiaTheme="minorEastAsia" w:hAnsiTheme="minorHAnsi" w:cstheme="minorHAnsi"/>
          <w:bCs/>
          <w:color w:val="0070C0"/>
          <w:spacing w:val="0"/>
          <w:sz w:val="22"/>
          <w:szCs w:val="22"/>
        </w:rPr>
        <w:t>model, the risk adjustment</w:t>
      </w:r>
      <w:r w:rsidRPr="00F26445">
        <w:rPr>
          <w:rFonts w:asciiTheme="minorHAnsi" w:eastAsiaTheme="minorEastAsia" w:hAnsiTheme="minorHAnsi" w:cstheme="minorHAnsi"/>
          <w:bCs/>
          <w:color w:val="0070C0"/>
          <w:spacing w:val="0"/>
          <w:sz w:val="22"/>
          <w:szCs w:val="22"/>
        </w:rPr>
        <w:t xml:space="preserve"> approach </w:t>
      </w:r>
      <w:r>
        <w:rPr>
          <w:rFonts w:asciiTheme="minorHAnsi" w:eastAsiaTheme="minorEastAsia" w:hAnsiTheme="minorHAnsi" w:cstheme="minorHAnsi"/>
          <w:bCs/>
          <w:color w:val="0070C0"/>
          <w:spacing w:val="0"/>
          <w:sz w:val="22"/>
          <w:szCs w:val="22"/>
        </w:rPr>
        <w:t xml:space="preserve">for this measure </w:t>
      </w:r>
      <w:r w:rsidRPr="00F26445">
        <w:rPr>
          <w:rFonts w:asciiTheme="minorHAnsi" w:eastAsiaTheme="minorEastAsia" w:hAnsiTheme="minorHAnsi" w:cstheme="minorHAnsi"/>
          <w:bCs/>
          <w:color w:val="0070C0"/>
          <w:spacing w:val="0"/>
          <w:sz w:val="22"/>
          <w:szCs w:val="22"/>
        </w:rPr>
        <w:t>uses an ordinary least squares (OLS) linear regression model. The</w:t>
      </w:r>
      <w:r>
        <w:rPr>
          <w:rFonts w:asciiTheme="minorHAnsi" w:eastAsiaTheme="minorEastAsia" w:hAnsiTheme="minorHAnsi" w:cstheme="minorHAnsi"/>
          <w:bCs/>
          <w:color w:val="0070C0"/>
          <w:spacing w:val="0"/>
          <w:sz w:val="22"/>
          <w:szCs w:val="22"/>
        </w:rPr>
        <w:t xml:space="preserve"> predicted, or expected, cost is winsorized at 0.5</w:t>
      </w:r>
      <w:r w:rsidRPr="009715AC">
        <w:rPr>
          <w:rFonts w:asciiTheme="minorHAnsi" w:eastAsiaTheme="minorEastAsia" w:hAnsiTheme="minorHAnsi" w:cstheme="minorHAnsi"/>
          <w:bCs/>
          <w:color w:val="0070C0"/>
          <w:spacing w:val="0"/>
          <w:sz w:val="22"/>
          <w:szCs w:val="22"/>
          <w:vertAlign w:val="superscript"/>
        </w:rPr>
        <w:t>th</w:t>
      </w:r>
      <w:r>
        <w:rPr>
          <w:rFonts w:asciiTheme="minorHAnsi" w:eastAsiaTheme="minorEastAsia" w:hAnsiTheme="minorHAnsi" w:cstheme="minorHAnsi"/>
          <w:bCs/>
          <w:color w:val="0070C0"/>
          <w:spacing w:val="0"/>
          <w:sz w:val="22"/>
          <w:szCs w:val="22"/>
        </w:rPr>
        <w:t xml:space="preserve"> percentile to make sure episodes with unusually small predicted cost, which will make O/E abnormally large, do not dominate certain clinicians’ final scores. The winsorized expected costs are renormalized to ensure the average expected episode cost is the same before and after winsorizing. Then, extremely low- or high-cost outlier episodes with residuals below the 1</w:t>
      </w:r>
      <w:r w:rsidRPr="002935E1">
        <w:rPr>
          <w:rFonts w:asciiTheme="minorHAnsi" w:eastAsiaTheme="minorEastAsia" w:hAnsiTheme="minorHAnsi" w:cstheme="minorHAnsi"/>
          <w:bCs/>
          <w:color w:val="0070C0"/>
          <w:spacing w:val="0"/>
          <w:sz w:val="22"/>
          <w:szCs w:val="22"/>
          <w:vertAlign w:val="superscript"/>
        </w:rPr>
        <w:t>st</w:t>
      </w:r>
      <w:r>
        <w:rPr>
          <w:rFonts w:asciiTheme="minorHAnsi" w:eastAsiaTheme="minorEastAsia" w:hAnsiTheme="minorHAnsi" w:cstheme="minorHAnsi"/>
          <w:bCs/>
          <w:color w:val="0070C0"/>
          <w:spacing w:val="0"/>
          <w:sz w:val="22"/>
          <w:szCs w:val="22"/>
        </w:rPr>
        <w:t xml:space="preserve"> percentile or above the 99</w:t>
      </w:r>
      <w:r w:rsidRPr="002935E1">
        <w:rPr>
          <w:rFonts w:asciiTheme="minorHAnsi" w:eastAsiaTheme="minorEastAsia" w:hAnsiTheme="minorHAnsi" w:cstheme="minorHAnsi"/>
          <w:bCs/>
          <w:color w:val="0070C0"/>
          <w:spacing w:val="0"/>
          <w:sz w:val="22"/>
          <w:szCs w:val="22"/>
          <w:vertAlign w:val="superscript"/>
        </w:rPr>
        <w:t>th</w:t>
      </w:r>
      <w:r>
        <w:rPr>
          <w:rFonts w:asciiTheme="minorHAnsi" w:eastAsiaTheme="minorEastAsia" w:hAnsiTheme="minorHAnsi" w:cstheme="minorHAnsi"/>
          <w:bCs/>
          <w:color w:val="0070C0"/>
          <w:spacing w:val="0"/>
          <w:sz w:val="22"/>
          <w:szCs w:val="22"/>
        </w:rPr>
        <w:t xml:space="preserve"> percentile are excluded to reduce the effect of episodes that deviate the most from their expected values in absolute terms. The expected cost after excluding these outliers is again renormalized to similarly ensure that average expected costs are the same after outlier removal.</w:t>
      </w:r>
    </w:p>
    <w:p w14:paraId="0BA917E9"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p>
    <w:p w14:paraId="7106F958" w14:textId="77777777" w:rsidR="00DA0B9B" w:rsidRPr="00FC395B" w:rsidRDefault="00DA0B9B" w:rsidP="00DA0B9B">
      <w:pPr>
        <w:pStyle w:val="Body125"/>
        <w:ind w:firstLine="0"/>
        <w:rPr>
          <w:rFonts w:asciiTheme="minorHAnsi" w:eastAsiaTheme="minorEastAsia" w:hAnsiTheme="minorHAnsi" w:cstheme="minorHAnsi"/>
          <w:bCs/>
          <w:color w:val="0070C0"/>
          <w:spacing w:val="0"/>
          <w:sz w:val="22"/>
          <w:szCs w:val="22"/>
          <w:highlight w:val="yellow"/>
        </w:rPr>
      </w:pPr>
      <w:r w:rsidRPr="006D4033">
        <w:rPr>
          <w:rFonts w:asciiTheme="minorHAnsi" w:eastAsiaTheme="minorEastAsia" w:hAnsiTheme="minorHAnsi" w:cstheme="minorHAnsi"/>
          <w:bCs/>
          <w:color w:val="0070C0"/>
          <w:spacing w:val="0"/>
          <w:sz w:val="22"/>
          <w:szCs w:val="22"/>
        </w:rPr>
        <w:t xml:space="preserve">The risk adjustment model outlined above is performed separately for each of the </w:t>
      </w:r>
      <w:r w:rsidRPr="00AD5E23">
        <w:rPr>
          <w:rFonts w:asciiTheme="minorHAnsi" w:eastAsiaTheme="minorEastAsia" w:hAnsiTheme="minorHAnsi" w:cstheme="minorHAnsi"/>
          <w:bCs/>
          <w:color w:val="0070C0"/>
          <w:spacing w:val="0"/>
          <w:sz w:val="22"/>
          <w:szCs w:val="22"/>
        </w:rPr>
        <w:t xml:space="preserve">2 </w:t>
      </w:r>
      <w:r w:rsidRPr="006D4033">
        <w:rPr>
          <w:rFonts w:asciiTheme="minorHAnsi" w:eastAsiaTheme="minorEastAsia" w:hAnsiTheme="minorHAnsi" w:cstheme="minorHAnsi"/>
          <w:bCs/>
          <w:color w:val="0070C0"/>
          <w:spacing w:val="0"/>
          <w:sz w:val="22"/>
          <w:szCs w:val="22"/>
        </w:rPr>
        <w:t>measur</w:t>
      </w:r>
      <w:r>
        <w:rPr>
          <w:rFonts w:asciiTheme="minorHAnsi" w:eastAsiaTheme="minorEastAsia" w:hAnsiTheme="minorHAnsi" w:cstheme="minorHAnsi"/>
          <w:bCs/>
          <w:color w:val="0070C0"/>
          <w:spacing w:val="0"/>
          <w:sz w:val="22"/>
          <w:szCs w:val="22"/>
        </w:rPr>
        <w:t>e sub-groups which are based on clinical criteria:</w:t>
      </w:r>
    </w:p>
    <w:p w14:paraId="33988B8C" w14:textId="77777777" w:rsidR="00DA0B9B" w:rsidRPr="00AD5E23" w:rsidRDefault="00DA0B9B" w:rsidP="00DA0B9B">
      <w:pPr>
        <w:pStyle w:val="Body125"/>
        <w:numPr>
          <w:ilvl w:val="0"/>
          <w:numId w:val="7"/>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CABG with Concurrent Aortic Valve Replacement</w:t>
      </w:r>
    </w:p>
    <w:p w14:paraId="7E2E46F5" w14:textId="77777777" w:rsidR="00DA0B9B" w:rsidRPr="00AD5E23" w:rsidRDefault="00DA0B9B" w:rsidP="00DA0B9B">
      <w:pPr>
        <w:pStyle w:val="Body125"/>
        <w:numPr>
          <w:ilvl w:val="0"/>
          <w:numId w:val="7"/>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Isolated CABG</w:t>
      </w:r>
    </w:p>
    <w:p w14:paraId="506521AF"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p>
    <w:p w14:paraId="52CA1A01" w14:textId="6389E5FE" w:rsidR="00DA0B9B" w:rsidRDefault="00DA0B9B" w:rsidP="00DA0B9B">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Additional logic </w:t>
      </w:r>
      <w:r w:rsidRPr="00713F27">
        <w:rPr>
          <w:rFonts w:asciiTheme="minorHAnsi" w:eastAsiaTheme="minorEastAsia" w:hAnsiTheme="minorHAnsi" w:cstheme="minorHAnsi"/>
          <w:bCs/>
          <w:color w:val="0070C0"/>
          <w:spacing w:val="0"/>
          <w:sz w:val="22"/>
          <w:szCs w:val="22"/>
        </w:rPr>
        <w:t>and codes used for risk adjustment are in the RA and RA</w:t>
      </w:r>
      <w:r>
        <w:rPr>
          <w:rFonts w:asciiTheme="minorHAnsi" w:eastAsiaTheme="minorEastAsia" w:hAnsiTheme="minorHAnsi" w:cstheme="minorHAnsi"/>
          <w:bCs/>
          <w:color w:val="0070C0"/>
          <w:spacing w:val="0"/>
          <w:sz w:val="22"/>
          <w:szCs w:val="22"/>
        </w:rPr>
        <w:t xml:space="preserve"> </w:t>
      </w:r>
      <w:r w:rsidRPr="00713F27">
        <w:rPr>
          <w:rFonts w:asciiTheme="minorHAnsi" w:eastAsiaTheme="minorEastAsia" w:hAnsiTheme="minorHAnsi" w:cstheme="minorHAnsi"/>
          <w:bCs/>
          <w:color w:val="0070C0"/>
          <w:spacing w:val="0"/>
          <w:sz w:val="22"/>
          <w:szCs w:val="22"/>
        </w:rPr>
        <w:t xml:space="preserve">Details tabs of the </w:t>
      </w:r>
      <w:r w:rsidRPr="00785DE7">
        <w:rPr>
          <w:rFonts w:asciiTheme="minorHAnsi" w:eastAsiaTheme="minorEastAsia" w:hAnsiTheme="minorHAnsi" w:cstheme="minorHAnsi"/>
          <w:bCs/>
          <w:color w:val="0070C0"/>
          <w:spacing w:val="0"/>
          <w:sz w:val="22"/>
          <w:szCs w:val="22"/>
        </w:rPr>
        <w:t>Measure Codes List File (see S.1.).</w:t>
      </w:r>
      <w:r>
        <w:rPr>
          <w:rFonts w:asciiTheme="minorHAnsi" w:eastAsiaTheme="minorEastAsia" w:hAnsiTheme="minorHAnsi" w:cstheme="minorHAnsi"/>
          <w:bCs/>
          <w:color w:val="0070C0"/>
          <w:spacing w:val="0"/>
          <w:sz w:val="22"/>
          <w:szCs w:val="22"/>
        </w:rPr>
        <w:t xml:space="preserve"> Appendix Table 2b3.1.1 includes regression coefficients and standard errors for each of the covariates used in the risk adjustment model. </w:t>
      </w:r>
    </w:p>
    <w:p w14:paraId="2E5473A1" w14:textId="77777777" w:rsidR="00DA0B9B" w:rsidRDefault="00DA0B9B" w:rsidP="00DA0B9B">
      <w:pPr>
        <w:spacing w:after="0"/>
        <w:rPr>
          <w:rFonts w:cs="Calibri"/>
          <w:b/>
          <w:bCs/>
        </w:rPr>
      </w:pPr>
    </w:p>
    <w:p w14:paraId="78E4A41A" w14:textId="248039EE" w:rsidR="00DA0B9B" w:rsidRPr="009D3882" w:rsidRDefault="00DA0B9B" w:rsidP="00DA0B9B">
      <w:pPr>
        <w:rPr>
          <w:rFonts w:cstheme="minorHAnsi"/>
          <w:b/>
          <w:bCs/>
          <w:sz w:val="14"/>
        </w:rPr>
      </w:pPr>
      <w:r>
        <w:rPr>
          <w:rFonts w:cs="Calibri"/>
          <w:b/>
          <w:bCs/>
        </w:rPr>
        <w:t xml:space="preserve">2b3.2.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r w:rsidRPr="00B215B6">
        <w:rPr>
          <w:rFonts w:cstheme="minorHAnsi"/>
          <w:bCs/>
          <w:color w:val="0070C0"/>
        </w:rPr>
        <w:t>N/A</w:t>
      </w:r>
    </w:p>
    <w:p w14:paraId="06920A79" w14:textId="3A074AC7" w:rsidR="00DA0B9B" w:rsidRDefault="00DA0B9B" w:rsidP="00DA0B9B">
      <w:pPr>
        <w:spacing w:after="0" w:line="240" w:lineRule="auto"/>
        <w:rPr>
          <w:rFonts w:cstheme="minorHAnsi"/>
          <w:b/>
          <w:bCs/>
          <w:color w:val="0070C0"/>
        </w:rPr>
      </w:pPr>
      <w:r>
        <w:rPr>
          <w:rFonts w:cstheme="minorHAnsi"/>
          <w:b/>
          <w:bCs/>
        </w:rPr>
        <w:t>2b3.3a. 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Pr>
          <w:rFonts w:cstheme="minorHAnsi"/>
          <w:b/>
          <w:bCs/>
        </w:rPr>
        <w:t xml:space="preserve">patient </w:t>
      </w:r>
      <w:r w:rsidRPr="00A25024">
        <w:rPr>
          <w:rFonts w:cstheme="minorHAnsi"/>
          <w:b/>
          <w:bCs/>
        </w:rPr>
        <w:t xml:space="preserve">factors </w:t>
      </w:r>
      <w:r>
        <w:rPr>
          <w:rFonts w:cstheme="minorHAnsi"/>
          <w:b/>
          <w:bCs/>
        </w:rPr>
        <w:t xml:space="preserve">(clinical factors or social risk factors) </w:t>
      </w:r>
      <w:r w:rsidRPr="00A25024">
        <w:rPr>
          <w:rFonts w:cstheme="minorHAnsi"/>
          <w:b/>
          <w:bCs/>
        </w:rPr>
        <w:t>used in the statistical risk model or for stratification by risk</w:t>
      </w:r>
      <w:r>
        <w:rPr>
          <w:rFonts w:cstheme="minorHAnsi"/>
          <w:b/>
          <w:bCs/>
        </w:rPr>
        <w:t xml:space="preserve"> </w:t>
      </w:r>
      <w:r w:rsidRPr="00A25024">
        <w:rPr>
          <w:rFonts w:cstheme="minorHAnsi"/>
          <w:bCs/>
        </w:rPr>
        <w:t>(</w:t>
      </w:r>
      <w:r w:rsidRPr="00A25024">
        <w:rPr>
          <w:rFonts w:cstheme="minorHAnsi"/>
          <w:bCs/>
          <w:i/>
        </w:rPr>
        <w:t xml:space="preserve">e.g., potential factors identified in </w:t>
      </w:r>
      <w:r>
        <w:rPr>
          <w:rFonts w:cstheme="minorHAnsi"/>
          <w:bCs/>
          <w:i/>
        </w:rPr>
        <w:t xml:space="preserve">the </w:t>
      </w:r>
      <w:r w:rsidRPr="00A25024">
        <w:rPr>
          <w:rFonts w:cstheme="minorHAnsi"/>
          <w:bCs/>
          <w:i/>
        </w:rPr>
        <w:t xml:space="preserve">literature and/or expert panel; regression analysis; statistical </w:t>
      </w:r>
      <w:r w:rsidRPr="00A25024">
        <w:rPr>
          <w:rFonts w:cstheme="minorHAnsi"/>
          <w:bCs/>
          <w:i/>
        </w:rPr>
        <w:lastRenderedPageBreak/>
        <w:t>significance of p&lt;0.10; correlation of x or higher</w:t>
      </w:r>
      <w:r>
        <w:rPr>
          <w:rFonts w:cstheme="minorHAnsi"/>
          <w:bCs/>
          <w:i/>
        </w:rPr>
        <w:t>; patient factors should be present at the start of care</w:t>
      </w:r>
      <w:r w:rsidRPr="00A25024">
        <w:rPr>
          <w:rFonts w:cstheme="minorHAnsi"/>
          <w:bCs/>
        </w:rPr>
        <w:t>)</w:t>
      </w:r>
      <w:r>
        <w:rPr>
          <w:rFonts w:cstheme="minorHAnsi"/>
          <w:bCs/>
        </w:rPr>
        <w:t xml:space="preserve">  </w:t>
      </w:r>
      <w:r w:rsidRPr="00AF2D68">
        <w:rPr>
          <w:rFonts w:cstheme="minorHAnsi"/>
          <w:b/>
          <w:bCs/>
        </w:rPr>
        <w:t>Also discuss any “ordering” of risk factor inclusion</w:t>
      </w:r>
      <w:r>
        <w:rPr>
          <w:rFonts w:cstheme="minorHAnsi"/>
          <w:bCs/>
        </w:rPr>
        <w:t>; for example, are social risk factors added after all clinical factors?</w:t>
      </w:r>
      <w:r w:rsidRPr="00A25024">
        <w:rPr>
          <w:rFonts w:cstheme="minorHAnsi"/>
          <w:bCs/>
        </w:rPr>
        <w:br/>
      </w:r>
      <w:r>
        <w:rPr>
          <w:rFonts w:cstheme="minorHAnsi"/>
          <w:b/>
          <w:bCs/>
          <w:color w:val="0070C0"/>
        </w:rPr>
        <w:t>Clinical Factors</w:t>
      </w:r>
    </w:p>
    <w:p w14:paraId="2BA8733D" w14:textId="77777777" w:rsidR="00DA0B9B" w:rsidRDefault="00DA0B9B" w:rsidP="00DA0B9B">
      <w:pPr>
        <w:spacing w:line="240" w:lineRule="auto"/>
        <w:rPr>
          <w:rFonts w:cstheme="minorHAnsi"/>
          <w:bCs/>
          <w:color w:val="0070C0"/>
        </w:rPr>
      </w:pPr>
      <w:r>
        <w:rPr>
          <w:rFonts w:cstheme="minorHAnsi"/>
          <w:bCs/>
          <w:color w:val="0070C0"/>
        </w:rPr>
        <w:t>In deciding which clinical variables to include in the Non-Emergent CABG Measure risk-adjustment model, we considered the following 10 factors that NQF has highlighted as important to consider</w:t>
      </w:r>
      <w:r>
        <w:rPr>
          <w:rStyle w:val="FootnoteReference"/>
          <w:bCs/>
          <w:color w:val="0070C0"/>
        </w:rPr>
        <w:footnoteReference w:id="8"/>
      </w:r>
      <w:r>
        <w:rPr>
          <w:rFonts w:cstheme="minorHAnsi"/>
          <w:bCs/>
          <w:color w:val="0070C0"/>
        </w:rPr>
        <w:t>:</w:t>
      </w:r>
    </w:p>
    <w:p w14:paraId="7859B63C" w14:textId="77777777" w:rsidR="00DA0B9B"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Clinical/conceptual relationship with the outcome of interest</w:t>
      </w:r>
    </w:p>
    <w:p w14:paraId="24B11C27" w14:textId="77777777" w:rsidR="00DA0B9B" w:rsidRPr="001C4552" w:rsidRDefault="00DA0B9B" w:rsidP="00DA0B9B">
      <w:pPr>
        <w:pStyle w:val="Body125"/>
        <w:numPr>
          <w:ilvl w:val="0"/>
          <w:numId w:val="9"/>
        </w:numPr>
        <w:ind w:left="810" w:hanging="432"/>
        <w:rPr>
          <w:rFonts w:cstheme="minorHAnsi"/>
          <w:bCs/>
          <w:i/>
          <w:color w:val="0070C0"/>
        </w:rPr>
      </w:pPr>
      <w:r>
        <w:rPr>
          <w:rFonts w:asciiTheme="minorHAnsi" w:eastAsiaTheme="minorEastAsia" w:hAnsiTheme="minorHAnsi" w:cstheme="minorHAnsi"/>
          <w:bCs/>
          <w:i/>
          <w:color w:val="0070C0"/>
          <w:spacing w:val="0"/>
          <w:sz w:val="22"/>
          <w:szCs w:val="22"/>
        </w:rPr>
        <w:t>Empirical association with the outcome of interest</w:t>
      </w:r>
      <w:r w:rsidRPr="001C4552">
        <w:rPr>
          <w:rFonts w:asciiTheme="minorHAnsi" w:eastAsiaTheme="minorEastAsia" w:hAnsiTheme="minorHAnsi" w:cstheme="minorHAnsi"/>
          <w:bCs/>
          <w:i/>
          <w:color w:val="0070C0"/>
          <w:spacing w:val="0"/>
          <w:sz w:val="22"/>
          <w:szCs w:val="22"/>
        </w:rPr>
        <w:t xml:space="preserve"> </w:t>
      </w:r>
    </w:p>
    <w:p w14:paraId="3991BD7D" w14:textId="77777777" w:rsidR="00DA0B9B" w:rsidRPr="001C4552"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Variation in prevalence of the factor across the measured entities </w:t>
      </w:r>
    </w:p>
    <w:p w14:paraId="271F3C87" w14:textId="77777777" w:rsidR="00DA0B9B" w:rsidRPr="001C4552"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Present at the start of care </w:t>
      </w:r>
    </w:p>
    <w:p w14:paraId="7461D1E5" w14:textId="77777777" w:rsidR="00DA0B9B" w:rsidRPr="001C4552"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Is not an indicator or characteristic of the care provided (e.g., treatments, expertise of staff)</w:t>
      </w:r>
    </w:p>
    <w:p w14:paraId="67BE29A3" w14:textId="77777777" w:rsidR="00DA0B9B"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Resistant to manipulation or gaming </w:t>
      </w:r>
    </w:p>
    <w:p w14:paraId="05503E57" w14:textId="77777777" w:rsidR="00DA0B9B" w:rsidRPr="001C4552" w:rsidRDefault="00DA0B9B" w:rsidP="00DA0B9B">
      <w:pPr>
        <w:pStyle w:val="Body125"/>
        <w:numPr>
          <w:ilvl w:val="0"/>
          <w:numId w:val="9"/>
        </w:numPr>
        <w:ind w:left="810" w:hanging="432"/>
        <w:rPr>
          <w:rFonts w:cstheme="minorHAnsi"/>
          <w:bCs/>
          <w:i/>
          <w:color w:val="0070C0"/>
        </w:rPr>
      </w:pPr>
      <w:r>
        <w:rPr>
          <w:rFonts w:asciiTheme="minorHAnsi" w:eastAsiaTheme="minorEastAsia" w:hAnsiTheme="minorHAnsi" w:cstheme="minorHAnsi"/>
          <w:bCs/>
          <w:i/>
          <w:color w:val="0070C0"/>
          <w:spacing w:val="0"/>
          <w:sz w:val="22"/>
          <w:szCs w:val="22"/>
        </w:rPr>
        <w:t>Accurate data that can be reliably and feasibly captured</w:t>
      </w:r>
    </w:p>
    <w:p w14:paraId="72744733" w14:textId="77777777" w:rsidR="00DA0B9B" w:rsidRPr="001C4552"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Contribution of unique variation in the outcome (i.e., not redundant)</w:t>
      </w:r>
    </w:p>
    <w:p w14:paraId="71DC672F" w14:textId="77777777" w:rsidR="00DA0B9B" w:rsidRPr="001C4552"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 xml:space="preserve">Potentially, improvement of the risk model (e.g., risk model metrics of discrimination, calibration) </w:t>
      </w:r>
    </w:p>
    <w:p w14:paraId="2F6F796D" w14:textId="77777777" w:rsidR="00DA0B9B" w:rsidRPr="001C4552" w:rsidRDefault="00DA0B9B" w:rsidP="00DA0B9B">
      <w:pPr>
        <w:pStyle w:val="Body125"/>
        <w:numPr>
          <w:ilvl w:val="0"/>
          <w:numId w:val="9"/>
        </w:numPr>
        <w:ind w:left="810" w:hanging="432"/>
        <w:rPr>
          <w:rFonts w:cstheme="minorHAnsi"/>
          <w:bCs/>
          <w:i/>
          <w:color w:val="0070C0"/>
        </w:rPr>
      </w:pPr>
      <w:r w:rsidRPr="001C4552">
        <w:rPr>
          <w:rFonts w:asciiTheme="minorHAnsi" w:eastAsiaTheme="minorEastAsia" w:hAnsiTheme="minorHAnsi" w:cstheme="minorHAnsi"/>
          <w:bCs/>
          <w:i/>
          <w:color w:val="0070C0"/>
          <w:spacing w:val="0"/>
          <w:sz w:val="22"/>
          <w:szCs w:val="22"/>
        </w:rPr>
        <w:t>Potentially, face validity and acceptability</w:t>
      </w:r>
    </w:p>
    <w:p w14:paraId="62920E1B" w14:textId="77777777" w:rsidR="00DA0B9B" w:rsidRDefault="00DA0B9B" w:rsidP="00DA0B9B">
      <w:pPr>
        <w:spacing w:after="0" w:line="240" w:lineRule="auto"/>
        <w:rPr>
          <w:rFonts w:cstheme="minorHAnsi"/>
          <w:b/>
          <w:bCs/>
          <w:color w:val="0070C0"/>
        </w:rPr>
      </w:pPr>
    </w:p>
    <w:p w14:paraId="183414E7" w14:textId="77777777" w:rsidR="00DA0B9B" w:rsidRDefault="00DA0B9B" w:rsidP="00DA0B9B">
      <w:pPr>
        <w:spacing w:line="240" w:lineRule="auto"/>
        <w:rPr>
          <w:rFonts w:cstheme="minorHAnsi"/>
          <w:bCs/>
          <w:color w:val="0070C0"/>
        </w:rPr>
      </w:pPr>
      <w:r>
        <w:rPr>
          <w:rFonts w:cstheme="minorHAnsi"/>
          <w:bCs/>
          <w:color w:val="0070C0"/>
        </w:rPr>
        <w:t>To demonstrate, expert clinicians in the Non-Emergent CABG Measure workgroup were asked to identify risk factors they understood to have clinical relationships with the cost of care for non-emergent CABG procedures (related to i and x above). Workgroup m</w:t>
      </w:r>
      <w:r w:rsidRPr="006D4033">
        <w:rPr>
          <w:rFonts w:cstheme="minorHAnsi"/>
          <w:bCs/>
          <w:color w:val="0070C0"/>
        </w:rPr>
        <w:t xml:space="preserve">embers were </w:t>
      </w:r>
      <w:r>
        <w:rPr>
          <w:rFonts w:cstheme="minorHAnsi"/>
          <w:bCs/>
          <w:color w:val="0070C0"/>
        </w:rPr>
        <w:t xml:space="preserve">then </w:t>
      </w:r>
      <w:r w:rsidRPr="006D4033">
        <w:rPr>
          <w:rFonts w:cstheme="minorHAnsi"/>
          <w:bCs/>
          <w:color w:val="0070C0"/>
        </w:rPr>
        <w:t>provided with empirical analyses</w:t>
      </w:r>
      <w:r>
        <w:rPr>
          <w:rFonts w:cstheme="minorHAnsi"/>
          <w:bCs/>
          <w:color w:val="0070C0"/>
        </w:rPr>
        <w:t xml:space="preserve"> evaluating the relative prevalence and impact on cost of these potential risk factors to confirm appropriateness for inclusion in the risk adjustment model (related to ii and iii above</w:t>
      </w:r>
      <w:r w:rsidRPr="00517BA3">
        <w:rPr>
          <w:rFonts w:cstheme="minorHAnsi"/>
          <w:bCs/>
          <w:color w:val="0070C0"/>
        </w:rPr>
        <w:t xml:space="preserve">). Furthermore, throughout measure development, measure testing is conducted (as discussed in Section </w:t>
      </w:r>
      <w:r w:rsidRPr="00A35421">
        <w:rPr>
          <w:rFonts w:cstheme="minorHAnsi"/>
          <w:bCs/>
          <w:color w:val="0070C0"/>
        </w:rPr>
        <w:t xml:space="preserve">2b3.5) to evaluate the </w:t>
      </w:r>
      <w:r>
        <w:rPr>
          <w:rFonts w:cstheme="minorHAnsi"/>
          <w:bCs/>
          <w:color w:val="0070C0"/>
        </w:rPr>
        <w:t>impact</w:t>
      </w:r>
      <w:r w:rsidRPr="00A35421">
        <w:rPr>
          <w:rFonts w:cstheme="minorHAnsi"/>
          <w:bCs/>
          <w:color w:val="0070C0"/>
        </w:rPr>
        <w:t xml:space="preserve"> of including certain risk factors on the overall risk model (related to ix above). </w:t>
      </w:r>
      <w:r w:rsidRPr="00517BA3">
        <w:rPr>
          <w:rFonts w:cstheme="minorHAnsi"/>
          <w:bCs/>
          <w:color w:val="0070C0"/>
        </w:rPr>
        <w:t>Finally</w:t>
      </w:r>
      <w:r>
        <w:rPr>
          <w:rFonts w:cstheme="minorHAnsi"/>
          <w:bCs/>
          <w:color w:val="0070C0"/>
        </w:rPr>
        <w:t xml:space="preserve">, patient risk factors for each episode are always identified by claim information present at the start or prior to the start of the episode, ensuring that risk is not an indicator of the care provided by the attributed clinician and mitigating risk of manipulation or gaming (related to iv, v, vi, vii above). </w:t>
      </w:r>
    </w:p>
    <w:p w14:paraId="21129565" w14:textId="7AE48E81" w:rsidR="00DA0B9B" w:rsidRPr="006D4033" w:rsidRDefault="00DA0B9B" w:rsidP="00DA0B9B">
      <w:pPr>
        <w:spacing w:line="240" w:lineRule="auto"/>
        <w:rPr>
          <w:rFonts w:cstheme="minorHAnsi"/>
          <w:bCs/>
          <w:color w:val="0070C0"/>
        </w:rPr>
      </w:pPr>
      <w:r>
        <w:rPr>
          <w:rFonts w:cstheme="minorHAnsi"/>
          <w:bCs/>
          <w:color w:val="0070C0"/>
        </w:rPr>
        <w:t>Based on these criteria</w:t>
      </w:r>
      <w:r w:rsidRPr="006D4033">
        <w:rPr>
          <w:rFonts w:cstheme="minorHAnsi"/>
          <w:bCs/>
          <w:color w:val="0070C0"/>
        </w:rPr>
        <w:t>,</w:t>
      </w:r>
      <w:r>
        <w:rPr>
          <w:rFonts w:cstheme="minorHAnsi"/>
          <w:bCs/>
          <w:color w:val="0070C0"/>
        </w:rPr>
        <w:t xml:space="preserve"> workgroup</w:t>
      </w:r>
      <w:r w:rsidRPr="006D4033">
        <w:rPr>
          <w:rFonts w:cstheme="minorHAnsi"/>
          <w:bCs/>
          <w:color w:val="0070C0"/>
        </w:rPr>
        <w:t xml:space="preserve"> members recommended accounting for the following </w:t>
      </w:r>
      <w:r>
        <w:rPr>
          <w:rFonts w:cstheme="minorHAnsi"/>
          <w:bCs/>
          <w:color w:val="0070C0"/>
        </w:rPr>
        <w:t xml:space="preserve">patient </w:t>
      </w:r>
      <w:r w:rsidRPr="006D4033">
        <w:rPr>
          <w:rFonts w:cstheme="minorHAnsi"/>
          <w:bCs/>
          <w:color w:val="0070C0"/>
        </w:rPr>
        <w:t>variables</w:t>
      </w:r>
      <w:r>
        <w:rPr>
          <w:rFonts w:cstheme="minorHAnsi"/>
          <w:bCs/>
          <w:color w:val="0070C0"/>
        </w:rPr>
        <w:t xml:space="preserve"> based on their clinical associations with the Medicare cost of a non-emergent CABG</w:t>
      </w:r>
      <w:r w:rsidRPr="006D4033">
        <w:rPr>
          <w:rFonts w:cstheme="minorHAnsi"/>
          <w:bCs/>
          <w:color w:val="0070C0"/>
        </w:rPr>
        <w:t>:</w:t>
      </w:r>
    </w:p>
    <w:p w14:paraId="60FA155D" w14:textId="11FB2E68" w:rsidR="00DA0B9B" w:rsidRPr="004305D3"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p</w:t>
      </w:r>
      <w:r w:rsidR="00DA0B9B" w:rsidRPr="004305D3">
        <w:rPr>
          <w:rFonts w:asciiTheme="minorHAnsi" w:eastAsiaTheme="minorEastAsia" w:hAnsiTheme="minorHAnsi" w:cstheme="minorHAnsi"/>
          <w:bCs/>
          <w:color w:val="0070C0"/>
          <w:spacing w:val="0"/>
          <w:sz w:val="22"/>
          <w:szCs w:val="22"/>
        </w:rPr>
        <w:t>atient history of anti-platelet medications, which is associated with higher risk of post-surgical bleeding;</w:t>
      </w:r>
    </w:p>
    <w:p w14:paraId="75126A2C" w14:textId="648B0927"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 xml:space="preserve">has long-term anticoagulant use in the 120-day lookback period as </w:t>
      </w:r>
      <w:r>
        <w:rPr>
          <w:rFonts w:asciiTheme="minorHAnsi" w:eastAsiaTheme="minorEastAsia" w:hAnsiTheme="minorHAnsi" w:cstheme="minorHAnsi"/>
          <w:bCs/>
          <w:color w:val="0070C0"/>
          <w:spacing w:val="0"/>
          <w:sz w:val="22"/>
          <w:szCs w:val="22"/>
        </w:rPr>
        <w:t xml:space="preserve">this </w:t>
      </w:r>
      <w:r w:rsidR="00DA0B9B" w:rsidRPr="00D86332">
        <w:rPr>
          <w:rFonts w:asciiTheme="minorHAnsi" w:eastAsiaTheme="minorEastAsia" w:hAnsiTheme="minorHAnsi" w:cstheme="minorHAnsi"/>
          <w:bCs/>
          <w:color w:val="0070C0"/>
          <w:spacing w:val="0"/>
          <w:sz w:val="22"/>
          <w:szCs w:val="22"/>
        </w:rPr>
        <w:t>indicates higher procedural risk of bleeding and the presence</w:t>
      </w:r>
      <w:r w:rsidR="00DA0B9B">
        <w:rPr>
          <w:rFonts w:asciiTheme="minorHAnsi" w:eastAsiaTheme="minorEastAsia" w:hAnsiTheme="minorHAnsi" w:cstheme="minorHAnsi"/>
          <w:bCs/>
          <w:color w:val="0070C0"/>
          <w:spacing w:val="0"/>
          <w:sz w:val="22"/>
          <w:szCs w:val="22"/>
        </w:rPr>
        <w:t xml:space="preserve"> of additional comorbidities; </w:t>
      </w:r>
    </w:p>
    <w:p w14:paraId="5E800E92" w14:textId="3A7D3089"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 xml:space="preserve">has long-term antiplatelet use in the 120-day lookback period as </w:t>
      </w:r>
      <w:r>
        <w:rPr>
          <w:rFonts w:asciiTheme="minorHAnsi" w:eastAsiaTheme="minorEastAsia" w:hAnsiTheme="minorHAnsi" w:cstheme="minorHAnsi"/>
          <w:bCs/>
          <w:color w:val="0070C0"/>
          <w:spacing w:val="0"/>
          <w:sz w:val="22"/>
          <w:szCs w:val="22"/>
        </w:rPr>
        <w:t xml:space="preserve">this </w:t>
      </w:r>
      <w:r w:rsidR="00DA0B9B" w:rsidRPr="00D86332">
        <w:rPr>
          <w:rFonts w:asciiTheme="minorHAnsi" w:eastAsiaTheme="minorEastAsia" w:hAnsiTheme="minorHAnsi" w:cstheme="minorHAnsi"/>
          <w:bCs/>
          <w:color w:val="0070C0"/>
          <w:spacing w:val="0"/>
          <w:sz w:val="22"/>
          <w:szCs w:val="22"/>
        </w:rPr>
        <w:t xml:space="preserve">indicates higher procedural risk of bleeding and </w:t>
      </w:r>
      <w:r>
        <w:rPr>
          <w:rFonts w:asciiTheme="minorHAnsi" w:eastAsiaTheme="minorEastAsia" w:hAnsiTheme="minorHAnsi" w:cstheme="minorHAnsi"/>
          <w:bCs/>
          <w:color w:val="0070C0"/>
          <w:spacing w:val="0"/>
          <w:sz w:val="22"/>
          <w:szCs w:val="22"/>
        </w:rPr>
        <w:t xml:space="preserve">is </w:t>
      </w:r>
      <w:r w:rsidR="00DA0B9B" w:rsidRPr="00D86332">
        <w:rPr>
          <w:rFonts w:asciiTheme="minorHAnsi" w:eastAsiaTheme="minorEastAsia" w:hAnsiTheme="minorHAnsi" w:cstheme="minorHAnsi"/>
          <w:bCs/>
          <w:color w:val="0070C0"/>
          <w:spacing w:val="0"/>
          <w:sz w:val="22"/>
          <w:szCs w:val="22"/>
        </w:rPr>
        <w:t>often a surrogate for</w:t>
      </w:r>
      <w:r w:rsidR="00DA0B9B">
        <w:rPr>
          <w:rFonts w:asciiTheme="minorHAnsi" w:eastAsiaTheme="minorEastAsia" w:hAnsiTheme="minorHAnsi" w:cstheme="minorHAnsi"/>
          <w:bCs/>
          <w:color w:val="0070C0"/>
          <w:spacing w:val="0"/>
          <w:sz w:val="22"/>
          <w:szCs w:val="22"/>
        </w:rPr>
        <w:t xml:space="preserve"> prior coronary intervention; </w:t>
      </w:r>
    </w:p>
    <w:p w14:paraId="71BBE927" w14:textId="462CB3BF"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 xml:space="preserve">history of myocardial infarction (MI) or percutaneous coronary intervention (PCI) in the 30 days prior to </w:t>
      </w:r>
      <w:r>
        <w:rPr>
          <w:rFonts w:asciiTheme="minorHAnsi" w:eastAsiaTheme="minorEastAsia" w:hAnsiTheme="minorHAnsi" w:cstheme="minorHAnsi"/>
          <w:bCs/>
          <w:color w:val="0070C0"/>
          <w:spacing w:val="0"/>
          <w:sz w:val="22"/>
          <w:szCs w:val="22"/>
        </w:rPr>
        <w:t xml:space="preserve">or on </w:t>
      </w:r>
      <w:r w:rsidR="00DA0B9B" w:rsidRPr="00D86332">
        <w:rPr>
          <w:rFonts w:asciiTheme="minorHAnsi" w:eastAsiaTheme="minorEastAsia" w:hAnsiTheme="minorHAnsi" w:cstheme="minorHAnsi"/>
          <w:bCs/>
          <w:color w:val="0070C0"/>
          <w:spacing w:val="0"/>
          <w:sz w:val="22"/>
          <w:szCs w:val="22"/>
        </w:rPr>
        <w:t>the trigger date, as patients undergoing CABG surgery after recent MI or PCI are distinct from patients with CABG without recent revascularization or MI;</w:t>
      </w:r>
      <w:r w:rsidR="00DA0B9B">
        <w:rPr>
          <w:rFonts w:asciiTheme="minorHAnsi" w:eastAsiaTheme="minorEastAsia" w:hAnsiTheme="minorHAnsi" w:cstheme="minorHAnsi"/>
          <w:bCs/>
          <w:color w:val="0070C0"/>
          <w:spacing w:val="0"/>
          <w:sz w:val="22"/>
          <w:szCs w:val="22"/>
        </w:rPr>
        <w:t xml:space="preserve"> </w:t>
      </w:r>
    </w:p>
    <w:p w14:paraId="50EC6F82" w14:textId="4AB4419C"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has dementia in the 120-day lookback period as these patients are more likely to have increased costs following the procedure due to complications and additional required services including po</w:t>
      </w:r>
      <w:r w:rsidR="00DA0B9B">
        <w:rPr>
          <w:rFonts w:asciiTheme="minorHAnsi" w:eastAsiaTheme="minorEastAsia" w:hAnsiTheme="minorHAnsi" w:cstheme="minorHAnsi"/>
          <w:bCs/>
          <w:color w:val="0070C0"/>
          <w:spacing w:val="0"/>
          <w:sz w:val="22"/>
          <w:szCs w:val="22"/>
        </w:rPr>
        <w:t xml:space="preserve">st-acute care rehabilitation; </w:t>
      </w:r>
    </w:p>
    <w:p w14:paraId="197EAF43" w14:textId="10FCA0D2"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lastRenderedPageBreak/>
        <w:t xml:space="preserve">patient </w:t>
      </w:r>
      <w:r w:rsidR="00DA0B9B" w:rsidRPr="00D86332">
        <w:rPr>
          <w:rFonts w:asciiTheme="minorHAnsi" w:eastAsiaTheme="minorEastAsia" w:hAnsiTheme="minorHAnsi" w:cstheme="minorHAnsi"/>
          <w:bCs/>
          <w:color w:val="0070C0"/>
          <w:spacing w:val="0"/>
          <w:sz w:val="22"/>
          <w:szCs w:val="22"/>
        </w:rPr>
        <w:t>smokes or is dependent on nicotine in the 120-day lookback period as these patients are more likely to have severe coronary artery disease with higher procedural risks and higher post-operative respiratory complications and recurrent cor</w:t>
      </w:r>
      <w:r w:rsidR="00DA0B9B">
        <w:rPr>
          <w:rFonts w:asciiTheme="minorHAnsi" w:eastAsiaTheme="minorEastAsia" w:hAnsiTheme="minorHAnsi" w:cstheme="minorHAnsi"/>
          <w:bCs/>
          <w:color w:val="0070C0"/>
          <w:spacing w:val="0"/>
          <w:sz w:val="22"/>
          <w:szCs w:val="22"/>
        </w:rPr>
        <w:t xml:space="preserve">onary events; </w:t>
      </w:r>
    </w:p>
    <w:p w14:paraId="2C16596F" w14:textId="484F20C4"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uses home oxygen in the 120-day lookback period as this indicator of frailty is associated with higher resource ut</w:t>
      </w:r>
      <w:r w:rsidR="00DA0B9B">
        <w:rPr>
          <w:rFonts w:asciiTheme="minorHAnsi" w:eastAsiaTheme="minorEastAsia" w:hAnsiTheme="minorHAnsi" w:cstheme="minorHAnsi"/>
          <w:bCs/>
          <w:color w:val="0070C0"/>
          <w:spacing w:val="0"/>
          <w:sz w:val="22"/>
          <w:szCs w:val="22"/>
        </w:rPr>
        <w:t xml:space="preserve">ilization after CABG surgery; </w:t>
      </w:r>
    </w:p>
    <w:p w14:paraId="7071C4B9" w14:textId="0FAB2EC0"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has nursing facility physician visits in the 120-day lookback period as this indicator of frailty is associated with higher resource ut</w:t>
      </w:r>
      <w:r w:rsidR="00DA0B9B">
        <w:rPr>
          <w:rFonts w:asciiTheme="minorHAnsi" w:eastAsiaTheme="minorEastAsia" w:hAnsiTheme="minorHAnsi" w:cstheme="minorHAnsi"/>
          <w:bCs/>
          <w:color w:val="0070C0"/>
          <w:spacing w:val="0"/>
          <w:sz w:val="22"/>
          <w:szCs w:val="22"/>
        </w:rPr>
        <w:t xml:space="preserve">ilization after CABG surgery; </w:t>
      </w:r>
    </w:p>
    <w:p w14:paraId="5794DF66" w14:textId="27DE4DA0"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 xml:space="preserve">has been discharged from an IP stay in the 30 days prior to </w:t>
      </w:r>
      <w:r>
        <w:rPr>
          <w:rFonts w:asciiTheme="minorHAnsi" w:eastAsiaTheme="minorEastAsia" w:hAnsiTheme="minorHAnsi" w:cstheme="minorHAnsi"/>
          <w:bCs/>
          <w:color w:val="0070C0"/>
          <w:spacing w:val="0"/>
          <w:sz w:val="22"/>
          <w:szCs w:val="22"/>
        </w:rPr>
        <w:t xml:space="preserve">or on </w:t>
      </w:r>
      <w:r w:rsidR="00DA0B9B" w:rsidRPr="00D86332">
        <w:rPr>
          <w:rFonts w:asciiTheme="minorHAnsi" w:eastAsiaTheme="minorEastAsia" w:hAnsiTheme="minorHAnsi" w:cstheme="minorHAnsi"/>
          <w:bCs/>
          <w:color w:val="0070C0"/>
          <w:spacing w:val="0"/>
          <w:sz w:val="22"/>
          <w:szCs w:val="22"/>
        </w:rPr>
        <w:t>the trigger date as this indicator of frailty is associated with higher resource ut</w:t>
      </w:r>
      <w:r w:rsidR="00DA0B9B">
        <w:rPr>
          <w:rFonts w:asciiTheme="minorHAnsi" w:eastAsiaTheme="minorEastAsia" w:hAnsiTheme="minorHAnsi" w:cstheme="minorHAnsi"/>
          <w:bCs/>
          <w:color w:val="0070C0"/>
          <w:spacing w:val="0"/>
          <w:sz w:val="22"/>
          <w:szCs w:val="22"/>
        </w:rPr>
        <w:t xml:space="preserve">ilization after CABG surgery; </w:t>
      </w:r>
    </w:p>
    <w:p w14:paraId="054B1F01" w14:textId="5A9C4B2B"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history of wheelchair use in the 120-day lookback period as this indicator of frailty is associated with higher resource utilization a</w:t>
      </w:r>
      <w:r w:rsidR="00DA0B9B">
        <w:rPr>
          <w:rFonts w:asciiTheme="minorHAnsi" w:eastAsiaTheme="minorEastAsia" w:hAnsiTheme="minorHAnsi" w:cstheme="minorHAnsi"/>
          <w:bCs/>
          <w:color w:val="0070C0"/>
          <w:spacing w:val="0"/>
          <w:sz w:val="22"/>
          <w:szCs w:val="22"/>
        </w:rPr>
        <w:t xml:space="preserve">fter CABG surgery; </w:t>
      </w:r>
    </w:p>
    <w:p w14:paraId="2DF11FC3" w14:textId="6D6B709A" w:rsidR="00DA0B9B" w:rsidRPr="00D86332"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 xml:space="preserve">home health services during the 120-day lookback period as this indicator of frailty is associated with higher resource utilization after CABG surgery; </w:t>
      </w:r>
    </w:p>
    <w:p w14:paraId="165C50BD" w14:textId="29DE5FC6"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received outpatient therapy during the 120-day lookback period as this indicator of frailty is associated with higher resource utiliza</w:t>
      </w:r>
      <w:r w:rsidR="00DA0B9B">
        <w:rPr>
          <w:rFonts w:asciiTheme="minorHAnsi" w:eastAsiaTheme="minorEastAsia" w:hAnsiTheme="minorHAnsi" w:cstheme="minorHAnsi"/>
          <w:bCs/>
          <w:color w:val="0070C0"/>
          <w:spacing w:val="0"/>
          <w:sz w:val="22"/>
          <w:szCs w:val="22"/>
        </w:rPr>
        <w:t xml:space="preserve">tion after CABG surgery, and; </w:t>
      </w:r>
    </w:p>
    <w:p w14:paraId="6E920E6A" w14:textId="36B98A5E" w:rsidR="00DA0B9B" w:rsidRDefault="00CC23A3" w:rsidP="00DA0B9B">
      <w:pPr>
        <w:pStyle w:val="Body125"/>
        <w:numPr>
          <w:ilvl w:val="0"/>
          <w:numId w:val="17"/>
        </w:numPr>
        <w:ind w:left="810" w:hanging="432"/>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 xml:space="preserve">patient </w:t>
      </w:r>
      <w:r w:rsidR="00DA0B9B" w:rsidRPr="00D86332">
        <w:rPr>
          <w:rFonts w:asciiTheme="minorHAnsi" w:eastAsiaTheme="minorEastAsia" w:hAnsiTheme="minorHAnsi" w:cstheme="minorHAnsi"/>
          <w:bCs/>
          <w:color w:val="0070C0"/>
          <w:spacing w:val="0"/>
          <w:sz w:val="22"/>
          <w:szCs w:val="22"/>
        </w:rPr>
        <w:t xml:space="preserve">history </w:t>
      </w:r>
      <w:r>
        <w:rPr>
          <w:rFonts w:asciiTheme="minorHAnsi" w:eastAsiaTheme="minorEastAsia" w:hAnsiTheme="minorHAnsi" w:cstheme="minorHAnsi"/>
          <w:bCs/>
          <w:color w:val="0070C0"/>
          <w:spacing w:val="0"/>
          <w:sz w:val="22"/>
          <w:szCs w:val="22"/>
        </w:rPr>
        <w:t xml:space="preserve">of </w:t>
      </w:r>
      <w:r w:rsidR="00DA0B9B" w:rsidRPr="00D86332">
        <w:rPr>
          <w:rFonts w:asciiTheme="minorHAnsi" w:eastAsiaTheme="minorEastAsia" w:hAnsiTheme="minorHAnsi" w:cstheme="minorHAnsi"/>
          <w:bCs/>
          <w:color w:val="0070C0"/>
          <w:spacing w:val="0"/>
          <w:sz w:val="22"/>
          <w:szCs w:val="22"/>
        </w:rPr>
        <w:t>walking aid use in the 120-day lookback period as this indicator of frailty is associated with higher resource utilization after CABG surgery.</w:t>
      </w:r>
    </w:p>
    <w:p w14:paraId="743FFBB4" w14:textId="77777777" w:rsidR="00DA0B9B" w:rsidRDefault="00DA0B9B" w:rsidP="00DA0B9B">
      <w:pPr>
        <w:pStyle w:val="Body125"/>
        <w:rPr>
          <w:rFonts w:asciiTheme="minorHAnsi" w:eastAsiaTheme="minorEastAsia" w:hAnsiTheme="minorHAnsi" w:cstheme="minorHAnsi"/>
          <w:bCs/>
          <w:color w:val="0070C0"/>
          <w:spacing w:val="0"/>
          <w:sz w:val="22"/>
          <w:szCs w:val="22"/>
        </w:rPr>
      </w:pPr>
    </w:p>
    <w:p w14:paraId="55A82AB1" w14:textId="197B5115" w:rsidR="00DA0B9B" w:rsidRPr="004305D3" w:rsidRDefault="00DA0B9B" w:rsidP="00DA0B9B">
      <w:pPr>
        <w:pStyle w:val="Body125"/>
        <w:ind w:firstLine="0"/>
        <w:rPr>
          <w:rFonts w:asciiTheme="minorHAnsi" w:eastAsiaTheme="minorEastAsia" w:hAnsiTheme="minorHAnsi" w:cstheme="minorHAnsi"/>
          <w:bCs/>
          <w:color w:val="0070C0"/>
          <w:spacing w:val="0"/>
          <w:sz w:val="22"/>
          <w:szCs w:val="22"/>
        </w:rPr>
      </w:pPr>
      <w:r w:rsidRPr="00B1161D">
        <w:rPr>
          <w:rFonts w:asciiTheme="minorHAnsi" w:eastAsiaTheme="minorEastAsia" w:hAnsiTheme="minorHAnsi" w:cstheme="minorHAnsi"/>
          <w:bCs/>
          <w:color w:val="0070C0"/>
          <w:spacing w:val="0"/>
          <w:sz w:val="22"/>
          <w:szCs w:val="22"/>
        </w:rPr>
        <w:t xml:space="preserve">Beyond these measure-specific factors, we also </w:t>
      </w:r>
      <w:r>
        <w:rPr>
          <w:rFonts w:asciiTheme="minorHAnsi" w:eastAsiaTheme="minorEastAsia" w:hAnsiTheme="minorHAnsi" w:cstheme="minorHAnsi"/>
          <w:bCs/>
          <w:color w:val="0070C0"/>
          <w:spacing w:val="0"/>
          <w:sz w:val="22"/>
          <w:szCs w:val="22"/>
        </w:rPr>
        <w:t>included</w:t>
      </w:r>
      <w:r w:rsidRPr="00B1161D">
        <w:rPr>
          <w:rFonts w:asciiTheme="minorHAnsi" w:eastAsiaTheme="minorEastAsia" w:hAnsiTheme="minorHAnsi" w:cstheme="minorHAnsi"/>
          <w:bCs/>
          <w:color w:val="0070C0"/>
          <w:spacing w:val="0"/>
          <w:sz w:val="22"/>
          <w:szCs w:val="22"/>
        </w:rPr>
        <w:t xml:space="preserve"> CMS-HCC factors in the measure risk-adjustment model based on previous studies evaluating its appropriateness for use in risk adjusting Medicare claims data. The </w:t>
      </w:r>
      <w:r>
        <w:rPr>
          <w:rFonts w:asciiTheme="minorHAnsi" w:eastAsiaTheme="minorEastAsia" w:hAnsiTheme="minorHAnsi" w:cstheme="minorHAnsi"/>
          <w:bCs/>
          <w:color w:val="0070C0"/>
          <w:spacing w:val="0"/>
          <w:sz w:val="22"/>
          <w:szCs w:val="22"/>
        </w:rPr>
        <w:t>CMS-</w:t>
      </w:r>
      <w:r w:rsidRPr="00B1161D">
        <w:rPr>
          <w:rFonts w:asciiTheme="minorHAnsi" w:eastAsiaTheme="minorEastAsia" w:hAnsiTheme="minorHAnsi" w:cstheme="minorHAnsi"/>
          <w:bCs/>
          <w:color w:val="0070C0"/>
          <w:spacing w:val="0"/>
          <w:sz w:val="22"/>
          <w:szCs w:val="22"/>
        </w:rPr>
        <w:t>HCC model was developed specifically for use in the Medicare population, meaning that it accounts for conditions found in the Medicare population and is calibrated on Medicare Fee-for-Service (FFS) patients. Additionally, the CMS-HCC model is routinely updated for changes in coding practices (e.g., the transition from ICD-9 to ICD-10 codes) and is exhaustive on these code sets, ensuring that clinical risk data are reliably and feasibly captured in the model. Because the CMS-HCC model has already been extensively tested and is used for a large Medicare Part C population, we focus our testing</w:t>
      </w:r>
      <w:r>
        <w:rPr>
          <w:rFonts w:asciiTheme="minorHAnsi" w:eastAsiaTheme="minorEastAsia" w:hAnsiTheme="minorHAnsi" w:cstheme="minorHAnsi"/>
          <w:bCs/>
          <w:color w:val="0070C0"/>
          <w:spacing w:val="0"/>
          <w:sz w:val="22"/>
          <w:szCs w:val="22"/>
        </w:rPr>
        <w:t xml:space="preserve"> (described in Sections 2b3.5 to 2b3.20)</w:t>
      </w:r>
      <w:r w:rsidRPr="00B1161D">
        <w:rPr>
          <w:rFonts w:asciiTheme="minorHAnsi" w:eastAsiaTheme="minorEastAsia" w:hAnsiTheme="minorHAnsi" w:cstheme="minorHAnsi"/>
          <w:bCs/>
          <w:color w:val="0070C0"/>
          <w:spacing w:val="0"/>
          <w:sz w:val="22"/>
          <w:szCs w:val="22"/>
        </w:rPr>
        <w:t xml:space="preserve"> on how the CMS-HCC model was adapted to the </w:t>
      </w:r>
      <w:r w:rsidR="009E48AC">
        <w:rPr>
          <w:rFonts w:asciiTheme="minorHAnsi" w:eastAsiaTheme="minorEastAsia" w:hAnsiTheme="minorHAnsi" w:cstheme="minorHAnsi"/>
          <w:bCs/>
          <w:color w:val="0070C0"/>
          <w:spacing w:val="0"/>
          <w:sz w:val="22"/>
          <w:szCs w:val="22"/>
        </w:rPr>
        <w:t xml:space="preserve">Non-Emergent CABG </w:t>
      </w:r>
      <w:r w:rsidRPr="00B1161D">
        <w:rPr>
          <w:rFonts w:asciiTheme="minorHAnsi" w:eastAsiaTheme="minorEastAsia" w:hAnsiTheme="minorHAnsi" w:cstheme="minorHAnsi"/>
          <w:bCs/>
          <w:color w:val="0070C0"/>
          <w:spacing w:val="0"/>
          <w:sz w:val="22"/>
          <w:szCs w:val="22"/>
        </w:rPr>
        <w:t>Measure.</w:t>
      </w:r>
      <w:r w:rsidRPr="0038107B">
        <w:rPr>
          <w:rStyle w:val="FootnoteReference"/>
          <w:rFonts w:cstheme="minorHAnsi"/>
          <w:color w:val="0070C0"/>
        </w:rPr>
        <w:footnoteReference w:id="9"/>
      </w:r>
      <w:r w:rsidRPr="00B1161D">
        <w:rPr>
          <w:rStyle w:val="FootnoteReference"/>
          <w:rFonts w:cstheme="minorHAnsi"/>
        </w:rPr>
        <w:t>,</w:t>
      </w:r>
      <w:r w:rsidRPr="0038107B">
        <w:rPr>
          <w:rStyle w:val="FootnoteReference"/>
          <w:rFonts w:cstheme="minorHAnsi"/>
          <w:color w:val="0070C0"/>
        </w:rPr>
        <w:footnoteReference w:id="10"/>
      </w:r>
      <w:r w:rsidRPr="00B1161D">
        <w:rPr>
          <w:rStyle w:val="FootnoteReference"/>
          <w:rFonts w:cstheme="minorHAnsi"/>
        </w:rPr>
        <w:t>,</w:t>
      </w:r>
      <w:r w:rsidRPr="0038107B">
        <w:rPr>
          <w:rStyle w:val="FootnoteReference"/>
          <w:rFonts w:cstheme="minorHAnsi"/>
          <w:color w:val="0070C0"/>
        </w:rPr>
        <w:footnoteReference w:id="11"/>
      </w:r>
      <w:r w:rsidRPr="00B1161D">
        <w:rPr>
          <w:rStyle w:val="FootnoteReference"/>
          <w:rFonts w:cstheme="minorHAnsi"/>
        </w:rPr>
        <w:t xml:space="preserve">  </w:t>
      </w:r>
    </w:p>
    <w:p w14:paraId="2F7A9D59" w14:textId="77777777" w:rsidR="00DA0B9B" w:rsidRDefault="00DA0B9B" w:rsidP="00DA0B9B">
      <w:pPr>
        <w:pStyle w:val="Body125"/>
        <w:ind w:firstLine="0"/>
        <w:rPr>
          <w:rFonts w:asciiTheme="minorHAnsi" w:eastAsiaTheme="minorEastAsia" w:hAnsiTheme="minorHAnsi" w:cstheme="minorHAnsi"/>
          <w:bCs/>
          <w:color w:val="0070C0"/>
          <w:spacing w:val="0"/>
          <w:sz w:val="22"/>
          <w:szCs w:val="22"/>
        </w:rPr>
      </w:pPr>
    </w:p>
    <w:p w14:paraId="0DF31908" w14:textId="71808FEE" w:rsidR="00DA0B9B" w:rsidRPr="003C2648" w:rsidRDefault="00DA0B9B" w:rsidP="00DA0B9B">
      <w:pPr>
        <w:pStyle w:val="Body125"/>
        <w:ind w:firstLine="0"/>
        <w:rPr>
          <w:rFonts w:asciiTheme="minorHAnsi" w:eastAsiaTheme="minorEastAsia" w:hAnsiTheme="minorHAnsi" w:cstheme="minorHAnsi"/>
          <w:bCs/>
          <w:color w:val="0070C0"/>
          <w:spacing w:val="0"/>
          <w:sz w:val="22"/>
          <w:szCs w:val="22"/>
          <w:highlight w:val="yellow"/>
        </w:rPr>
      </w:pPr>
      <w:r>
        <w:rPr>
          <w:rFonts w:asciiTheme="minorHAnsi" w:eastAsiaTheme="minorEastAsia" w:hAnsiTheme="minorHAnsi" w:cstheme="minorHAnsi"/>
          <w:bCs/>
          <w:color w:val="0070C0"/>
          <w:spacing w:val="0"/>
          <w:sz w:val="22"/>
          <w:szCs w:val="22"/>
        </w:rPr>
        <w:t>A</w:t>
      </w:r>
      <w:r w:rsidRPr="008475CD">
        <w:rPr>
          <w:rFonts w:asciiTheme="minorHAnsi" w:eastAsiaTheme="minorEastAsia" w:hAnsiTheme="minorHAnsi" w:cstheme="minorHAnsi"/>
          <w:bCs/>
          <w:color w:val="0070C0"/>
          <w:spacing w:val="0"/>
          <w:sz w:val="22"/>
          <w:szCs w:val="22"/>
        </w:rPr>
        <w:t>s</w:t>
      </w:r>
      <w:r>
        <w:rPr>
          <w:rFonts w:asciiTheme="minorHAnsi" w:eastAsiaTheme="minorEastAsia" w:hAnsiTheme="minorHAnsi" w:cstheme="minorHAnsi"/>
          <w:bCs/>
          <w:color w:val="0070C0"/>
          <w:spacing w:val="0"/>
          <w:sz w:val="22"/>
          <w:szCs w:val="22"/>
        </w:rPr>
        <w:t xml:space="preserve"> noted previously (in Section 2b3.1.1), the </w:t>
      </w:r>
      <w:r w:rsidRPr="00112035">
        <w:rPr>
          <w:rFonts w:asciiTheme="minorHAnsi" w:eastAsiaTheme="minorEastAsia" w:hAnsiTheme="minorHAnsi" w:cstheme="minorHAnsi"/>
          <w:bCs/>
          <w:color w:val="0070C0"/>
          <w:spacing w:val="0"/>
          <w:sz w:val="22"/>
          <w:szCs w:val="22"/>
        </w:rPr>
        <w:t>Non-Emergent CABG Measure</w:t>
      </w:r>
      <w:r>
        <w:rPr>
          <w:rFonts w:cstheme="minorHAnsi"/>
          <w:bCs/>
          <w:color w:val="0070C0"/>
        </w:rPr>
        <w:t xml:space="preserve"> </w:t>
      </w:r>
      <w:r w:rsidRPr="008475CD">
        <w:rPr>
          <w:rFonts w:asciiTheme="minorHAnsi" w:eastAsiaTheme="minorEastAsia" w:hAnsiTheme="minorHAnsi" w:cstheme="minorHAnsi"/>
          <w:bCs/>
          <w:color w:val="0070C0"/>
          <w:spacing w:val="0"/>
          <w:sz w:val="22"/>
          <w:szCs w:val="22"/>
        </w:rPr>
        <w:t>risk adjustment model is run on episo</w:t>
      </w:r>
      <w:r>
        <w:rPr>
          <w:rFonts w:asciiTheme="minorHAnsi" w:eastAsiaTheme="minorEastAsia" w:hAnsiTheme="minorHAnsi" w:cstheme="minorHAnsi"/>
          <w:bCs/>
          <w:color w:val="0070C0"/>
          <w:spacing w:val="0"/>
          <w:sz w:val="22"/>
          <w:szCs w:val="22"/>
        </w:rPr>
        <w:t>des stratified into subgroups</w:t>
      </w:r>
      <w:r w:rsidRPr="008475CD">
        <w:rPr>
          <w:rFonts w:asciiTheme="minorHAnsi" w:eastAsiaTheme="minorEastAsia" w:hAnsiTheme="minorHAnsi" w:cstheme="minorHAnsi"/>
          <w:bCs/>
          <w:color w:val="0070C0"/>
          <w:spacing w:val="0"/>
          <w:sz w:val="22"/>
          <w:szCs w:val="22"/>
        </w:rPr>
        <w:t>.</w:t>
      </w:r>
      <w:r>
        <w:rPr>
          <w:rFonts w:asciiTheme="minorHAnsi" w:eastAsiaTheme="minorEastAsia" w:hAnsiTheme="minorHAnsi" w:cstheme="minorHAnsi"/>
          <w:bCs/>
          <w:color w:val="0070C0"/>
          <w:spacing w:val="0"/>
          <w:sz w:val="22"/>
          <w:szCs w:val="22"/>
        </w:rPr>
        <w:t xml:space="preserve"> Subgroups were selected based on expert recommendation from the measure workgroup, with the goal of ensuring clinical comparability among episodes so that the cost measure fairly compares clinicians with similar patient case-mix. Sub</w:t>
      </w:r>
      <w:r w:rsidRPr="003862D0">
        <w:rPr>
          <w:rFonts w:asciiTheme="minorHAnsi" w:eastAsiaTheme="minorEastAsia" w:hAnsiTheme="minorHAnsi" w:cstheme="minorHAnsi"/>
          <w:bCs/>
          <w:color w:val="0070C0"/>
          <w:spacing w:val="0"/>
          <w:sz w:val="22"/>
          <w:szCs w:val="22"/>
        </w:rPr>
        <w:t xml:space="preserve">groups </w:t>
      </w:r>
      <w:r w:rsidR="0000159A">
        <w:rPr>
          <w:rFonts w:asciiTheme="minorHAnsi" w:eastAsiaTheme="minorEastAsia" w:hAnsiTheme="minorHAnsi" w:cstheme="minorHAnsi"/>
          <w:bCs/>
          <w:color w:val="0070C0"/>
          <w:spacing w:val="0"/>
          <w:sz w:val="22"/>
          <w:szCs w:val="22"/>
        </w:rPr>
        <w:t>further</w:t>
      </w:r>
      <w:r w:rsidRPr="003862D0">
        <w:rPr>
          <w:rFonts w:asciiTheme="minorHAnsi" w:eastAsiaTheme="minorEastAsia" w:hAnsiTheme="minorHAnsi" w:cstheme="minorHAnsi"/>
          <w:bCs/>
          <w:color w:val="0070C0"/>
          <w:spacing w:val="0"/>
          <w:sz w:val="22"/>
          <w:szCs w:val="22"/>
        </w:rPr>
        <w:t xml:space="preserve"> allow the risk-adjustm</w:t>
      </w:r>
      <w:r>
        <w:rPr>
          <w:rFonts w:asciiTheme="minorHAnsi" w:eastAsiaTheme="minorEastAsia" w:hAnsiTheme="minorHAnsi" w:cstheme="minorHAnsi"/>
          <w:bCs/>
          <w:color w:val="0070C0"/>
          <w:spacing w:val="0"/>
          <w:sz w:val="22"/>
          <w:szCs w:val="22"/>
        </w:rPr>
        <w:t>ent model to adjust for the sub</w:t>
      </w:r>
      <w:r w:rsidRPr="003862D0">
        <w:rPr>
          <w:rFonts w:asciiTheme="minorHAnsi" w:eastAsiaTheme="minorEastAsia" w:hAnsiTheme="minorHAnsi" w:cstheme="minorHAnsi"/>
          <w:bCs/>
          <w:color w:val="0070C0"/>
          <w:spacing w:val="0"/>
          <w:sz w:val="22"/>
          <w:szCs w:val="22"/>
        </w:rPr>
        <w:t xml:space="preserve">group variable itself (i.e., the </w:t>
      </w:r>
      <w:r>
        <w:rPr>
          <w:rFonts w:asciiTheme="minorHAnsi" w:eastAsiaTheme="minorEastAsia" w:hAnsiTheme="minorHAnsi" w:cstheme="minorHAnsi"/>
          <w:bCs/>
          <w:color w:val="0070C0"/>
          <w:spacing w:val="0"/>
          <w:sz w:val="22"/>
          <w:szCs w:val="22"/>
        </w:rPr>
        <w:t>clinical scope of the CABG procedure</w:t>
      </w:r>
      <w:r w:rsidRPr="003862D0">
        <w:rPr>
          <w:rFonts w:asciiTheme="minorHAnsi" w:eastAsiaTheme="minorEastAsia" w:hAnsiTheme="minorHAnsi" w:cstheme="minorHAnsi"/>
          <w:bCs/>
          <w:color w:val="0070C0"/>
          <w:spacing w:val="0"/>
          <w:sz w:val="22"/>
          <w:szCs w:val="22"/>
        </w:rPr>
        <w:t xml:space="preserve">) and thus more precisely predict costs for the measure overall. </w:t>
      </w:r>
      <w:r>
        <w:rPr>
          <w:rFonts w:asciiTheme="minorHAnsi" w:eastAsiaTheme="minorEastAsia" w:hAnsiTheme="minorHAnsi" w:cstheme="minorHAnsi"/>
          <w:bCs/>
          <w:color w:val="0070C0"/>
          <w:spacing w:val="0"/>
          <w:sz w:val="22"/>
          <w:szCs w:val="22"/>
        </w:rPr>
        <w:t xml:space="preserve">The workgroup recommended the following </w:t>
      </w:r>
      <w:r w:rsidRPr="00112035">
        <w:rPr>
          <w:rFonts w:asciiTheme="minorHAnsi" w:eastAsiaTheme="minorEastAsia" w:hAnsiTheme="minorHAnsi" w:cstheme="minorHAnsi"/>
          <w:bCs/>
          <w:color w:val="0070C0"/>
          <w:spacing w:val="0"/>
          <w:sz w:val="22"/>
          <w:szCs w:val="22"/>
        </w:rPr>
        <w:t>Non-Emergent CABG Measure</w:t>
      </w:r>
      <w:r>
        <w:rPr>
          <w:rFonts w:cstheme="minorHAnsi"/>
          <w:bCs/>
          <w:color w:val="0070C0"/>
        </w:rPr>
        <w:t xml:space="preserve"> </w:t>
      </w:r>
      <w:r>
        <w:rPr>
          <w:rFonts w:asciiTheme="minorHAnsi" w:eastAsiaTheme="minorEastAsia" w:hAnsiTheme="minorHAnsi" w:cstheme="minorHAnsi"/>
          <w:bCs/>
          <w:color w:val="0070C0"/>
          <w:spacing w:val="0"/>
          <w:sz w:val="22"/>
          <w:szCs w:val="22"/>
        </w:rPr>
        <w:t>subgroups based on these criteria:</w:t>
      </w:r>
    </w:p>
    <w:p w14:paraId="4213F623" w14:textId="77777777" w:rsidR="00DA0B9B" w:rsidRPr="0036022B" w:rsidRDefault="00DA0B9B" w:rsidP="00DA0B9B">
      <w:pPr>
        <w:pStyle w:val="Body125"/>
        <w:numPr>
          <w:ilvl w:val="0"/>
          <w:numId w:val="18"/>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CABG with Concurrent Aortic Valve Replacement</w:t>
      </w:r>
    </w:p>
    <w:p w14:paraId="12D67954" w14:textId="77777777" w:rsidR="00DA0B9B" w:rsidRPr="0036022B" w:rsidRDefault="00DA0B9B" w:rsidP="00DA0B9B">
      <w:pPr>
        <w:pStyle w:val="Body125"/>
        <w:numPr>
          <w:ilvl w:val="0"/>
          <w:numId w:val="18"/>
        </w:numPr>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t>Isolated CABG</w:t>
      </w:r>
    </w:p>
    <w:p w14:paraId="48F95279" w14:textId="20023DDF" w:rsidR="00DA0B9B" w:rsidRDefault="00DA0B9B" w:rsidP="00DA0B9B">
      <w:pPr>
        <w:pStyle w:val="Body125"/>
        <w:ind w:firstLine="0"/>
        <w:rPr>
          <w:rFonts w:asciiTheme="minorHAnsi" w:eastAsiaTheme="minorEastAsia" w:hAnsiTheme="minorHAnsi" w:cstheme="minorHAnsi"/>
          <w:bCs/>
          <w:color w:val="0070C0"/>
          <w:spacing w:val="0"/>
          <w:sz w:val="22"/>
          <w:szCs w:val="22"/>
        </w:rPr>
      </w:pPr>
      <w:r>
        <w:rPr>
          <w:rFonts w:asciiTheme="minorHAnsi" w:eastAsiaTheme="minorEastAsia" w:hAnsiTheme="minorHAnsi" w:cstheme="minorHAnsi"/>
          <w:bCs/>
          <w:color w:val="0070C0"/>
          <w:spacing w:val="0"/>
          <w:sz w:val="22"/>
          <w:szCs w:val="22"/>
        </w:rPr>
        <w:lastRenderedPageBreak/>
        <w:t xml:space="preserve">This stratification </w:t>
      </w:r>
      <w:r w:rsidRPr="003862D0">
        <w:rPr>
          <w:rFonts w:asciiTheme="minorHAnsi" w:eastAsiaTheme="minorEastAsia" w:hAnsiTheme="minorHAnsi" w:cstheme="minorHAnsi"/>
          <w:bCs/>
          <w:color w:val="0070C0"/>
          <w:spacing w:val="0"/>
          <w:sz w:val="22"/>
          <w:szCs w:val="22"/>
        </w:rPr>
        <w:t xml:space="preserve">ensures that </w:t>
      </w:r>
      <w:r>
        <w:rPr>
          <w:rFonts w:asciiTheme="minorHAnsi" w:eastAsiaTheme="minorEastAsia" w:hAnsiTheme="minorHAnsi" w:cstheme="minorHAnsi"/>
          <w:bCs/>
          <w:color w:val="0070C0"/>
          <w:spacing w:val="0"/>
          <w:sz w:val="22"/>
          <w:szCs w:val="22"/>
        </w:rPr>
        <w:t>costs were only</w:t>
      </w:r>
      <w:r w:rsidRPr="003862D0">
        <w:rPr>
          <w:rFonts w:asciiTheme="minorHAnsi" w:eastAsiaTheme="minorEastAsia" w:hAnsiTheme="minorHAnsi" w:cstheme="minorHAnsi"/>
          <w:bCs/>
          <w:color w:val="0070C0"/>
          <w:spacing w:val="0"/>
          <w:sz w:val="22"/>
          <w:szCs w:val="22"/>
        </w:rPr>
        <w:t xml:space="preserve"> compared </w:t>
      </w:r>
      <w:r>
        <w:rPr>
          <w:rFonts w:asciiTheme="minorHAnsi" w:eastAsiaTheme="minorEastAsia" w:hAnsiTheme="minorHAnsi" w:cstheme="minorHAnsi"/>
          <w:bCs/>
          <w:color w:val="0070C0"/>
          <w:spacing w:val="0"/>
          <w:sz w:val="22"/>
          <w:szCs w:val="22"/>
        </w:rPr>
        <w:t>within a scope of non-emergent CABG, and that the measure specifically accounts for this key difference in patient risk when evaluating clinician cost performance</w:t>
      </w:r>
      <w:r w:rsidRPr="003862D0">
        <w:rPr>
          <w:rFonts w:asciiTheme="minorHAnsi" w:eastAsiaTheme="minorEastAsia" w:hAnsiTheme="minorHAnsi" w:cstheme="minorHAnsi"/>
          <w:bCs/>
          <w:color w:val="0070C0"/>
          <w:spacing w:val="0"/>
          <w:sz w:val="22"/>
          <w:szCs w:val="22"/>
        </w:rPr>
        <w:t xml:space="preserve">. </w:t>
      </w:r>
      <w:r>
        <w:rPr>
          <w:rFonts w:asciiTheme="minorHAnsi" w:eastAsiaTheme="minorEastAsia" w:hAnsiTheme="minorHAnsi" w:cstheme="minorHAnsi"/>
          <w:bCs/>
          <w:color w:val="0070C0"/>
          <w:spacing w:val="0"/>
          <w:sz w:val="22"/>
          <w:szCs w:val="22"/>
        </w:rPr>
        <w:t>More information on sub</w:t>
      </w:r>
      <w:r w:rsidRPr="0043772B">
        <w:rPr>
          <w:rFonts w:asciiTheme="minorHAnsi" w:eastAsiaTheme="minorEastAsia" w:hAnsiTheme="minorHAnsi" w:cstheme="minorHAnsi"/>
          <w:bCs/>
          <w:color w:val="0070C0"/>
          <w:spacing w:val="0"/>
          <w:sz w:val="22"/>
          <w:szCs w:val="22"/>
        </w:rPr>
        <w:t xml:space="preserve">groups can be found in Section </w:t>
      </w:r>
      <w:r>
        <w:rPr>
          <w:rFonts w:asciiTheme="minorHAnsi" w:eastAsiaTheme="minorEastAsia" w:hAnsiTheme="minorHAnsi" w:cstheme="minorHAnsi"/>
          <w:bCs/>
          <w:color w:val="0070C0"/>
          <w:spacing w:val="0"/>
          <w:sz w:val="22"/>
          <w:szCs w:val="22"/>
        </w:rPr>
        <w:t>2b3.9</w:t>
      </w:r>
      <w:r w:rsidRPr="0043772B">
        <w:rPr>
          <w:rFonts w:asciiTheme="minorHAnsi" w:eastAsiaTheme="minorEastAsia" w:hAnsiTheme="minorHAnsi" w:cstheme="minorHAnsi"/>
          <w:bCs/>
          <w:color w:val="0070C0"/>
          <w:spacing w:val="0"/>
          <w:sz w:val="22"/>
          <w:szCs w:val="22"/>
        </w:rPr>
        <w:t>.</w:t>
      </w:r>
      <w:r>
        <w:rPr>
          <w:rFonts w:asciiTheme="minorHAnsi" w:eastAsiaTheme="minorEastAsia" w:hAnsiTheme="minorHAnsi" w:cstheme="minorHAnsi"/>
          <w:bCs/>
          <w:color w:val="0070C0"/>
          <w:spacing w:val="0"/>
          <w:sz w:val="22"/>
          <w:szCs w:val="22"/>
        </w:rPr>
        <w:t xml:space="preserve"> </w:t>
      </w:r>
    </w:p>
    <w:p w14:paraId="1FDDC653" w14:textId="77777777" w:rsidR="00DA0B9B" w:rsidRPr="00F26445" w:rsidRDefault="00DA0B9B" w:rsidP="00DA0B9B">
      <w:pPr>
        <w:pStyle w:val="Body125"/>
        <w:ind w:firstLine="0"/>
        <w:rPr>
          <w:rFonts w:asciiTheme="minorHAnsi" w:eastAsiaTheme="minorEastAsia" w:hAnsiTheme="minorHAnsi" w:cstheme="minorHAnsi"/>
          <w:bCs/>
          <w:color w:val="0070C0"/>
          <w:spacing w:val="0"/>
          <w:sz w:val="22"/>
          <w:szCs w:val="22"/>
        </w:rPr>
      </w:pPr>
    </w:p>
    <w:p w14:paraId="1A0E13E1" w14:textId="77777777" w:rsidR="00DA0B9B" w:rsidRDefault="00DA0B9B" w:rsidP="00DA0B9B">
      <w:pPr>
        <w:spacing w:after="0" w:line="240" w:lineRule="auto"/>
        <w:rPr>
          <w:rFonts w:ascii="Times New Roman" w:hAnsi="Times New Roman" w:cs="Times New Roman"/>
          <w:b/>
          <w:bCs/>
          <w:color w:val="0070C0"/>
        </w:rPr>
      </w:pPr>
      <w:r w:rsidRPr="00AD3AAC">
        <w:rPr>
          <w:rFonts w:cstheme="minorHAnsi"/>
          <w:b/>
          <w:bCs/>
          <w:color w:val="0070C0"/>
        </w:rPr>
        <w:t>Social Risk Factors</w:t>
      </w:r>
      <w:r w:rsidRPr="004C5C9D">
        <w:rPr>
          <w:rFonts w:ascii="Times New Roman" w:hAnsi="Times New Roman" w:cs="Times New Roman"/>
          <w:b/>
          <w:bCs/>
          <w:color w:val="0070C0"/>
        </w:rPr>
        <w:t xml:space="preserve"> </w:t>
      </w:r>
    </w:p>
    <w:p w14:paraId="291D5B48" w14:textId="77777777" w:rsidR="00DA0B9B" w:rsidRPr="003C6BDA" w:rsidRDefault="00DA0B9B" w:rsidP="00DA0B9B">
      <w:pPr>
        <w:spacing w:line="240" w:lineRule="auto"/>
        <w:rPr>
          <w:rFonts w:cstheme="minorHAnsi"/>
          <w:bCs/>
          <w:color w:val="0070C0"/>
        </w:rPr>
      </w:pPr>
      <w:r w:rsidRPr="003C6BDA">
        <w:rPr>
          <w:rFonts w:cstheme="minorHAnsi"/>
          <w:bCs/>
          <w:color w:val="0070C0"/>
        </w:rPr>
        <w:t>According to a 2014 National Quality Forum report</w:t>
      </w:r>
      <w:r w:rsidRPr="003C6BDA">
        <w:rPr>
          <w:rStyle w:val="FootnoteReference"/>
          <w:rFonts w:cstheme="minorHAnsi"/>
          <w:color w:val="0070C0"/>
        </w:rPr>
        <w:footnoteReference w:id="12"/>
      </w:r>
      <w:r w:rsidRPr="003C6BDA">
        <w:rPr>
          <w:rFonts w:cstheme="minorHAnsi"/>
          <w:bCs/>
          <w:color w:val="0070C0"/>
        </w:rPr>
        <w:t xml:space="preserve">, the mechanisms underlying differences in resource use by socioeconomic status and race are complex and may be impacted by factors such as financial resources, community resources, historical and current discrimination, and reduced access to preventive services. Provider assumptions or implicit biases may impact quality of care for </w:t>
      </w:r>
      <w:r>
        <w:rPr>
          <w:rFonts w:cstheme="minorHAnsi"/>
          <w:bCs/>
          <w:color w:val="0070C0"/>
        </w:rPr>
        <w:t>patients</w:t>
      </w:r>
      <w:r w:rsidRPr="003C6BDA">
        <w:rPr>
          <w:rFonts w:cstheme="minorHAnsi"/>
          <w:bCs/>
          <w:color w:val="0070C0"/>
        </w:rPr>
        <w:t xml:space="preserve"> of different races. These factors may result in inefficient care, increased disease severity, or greater morbidity, leading to higher Medicare spending for </w:t>
      </w:r>
      <w:r>
        <w:rPr>
          <w:rFonts w:cstheme="minorHAnsi"/>
          <w:bCs/>
          <w:color w:val="0070C0"/>
        </w:rPr>
        <w:t>patients</w:t>
      </w:r>
      <w:r w:rsidRPr="003C6BDA">
        <w:rPr>
          <w:rFonts w:cstheme="minorHAnsi"/>
          <w:bCs/>
          <w:color w:val="0070C0"/>
        </w:rPr>
        <w:t xml:space="preserve"> depending on </w:t>
      </w:r>
      <w:r w:rsidRPr="003C6BDA">
        <w:rPr>
          <w:rFonts w:cstheme="minorHAnsi"/>
          <w:color w:val="0070C0"/>
        </w:rPr>
        <w:t>s</w:t>
      </w:r>
      <w:r w:rsidRPr="003C6BDA">
        <w:rPr>
          <w:rFonts w:cstheme="minorHAnsi"/>
          <w:bCs/>
          <w:color w:val="0070C0"/>
        </w:rPr>
        <w:t>ocioeconomic status or demographic status. Other social risk factors identified by the literature that can affect resource use include income, insurance (e.g., Medicaid), education, race and ethnicity, sex, social relationships, and residential and community context including rurality.</w:t>
      </w:r>
      <w:r w:rsidRPr="003C6BDA">
        <w:rPr>
          <w:rStyle w:val="FootnoteReference"/>
          <w:rFonts w:cstheme="minorHAnsi"/>
          <w:color w:val="0070C0"/>
        </w:rPr>
        <w:footnoteReference w:id="13"/>
      </w:r>
      <w:r w:rsidRPr="003C6BDA">
        <w:rPr>
          <w:rFonts w:cstheme="minorHAnsi"/>
          <w:bCs/>
          <w:color w:val="0070C0"/>
          <w:vertAlign w:val="superscript"/>
        </w:rPr>
        <w:t>,</w:t>
      </w:r>
      <w:r w:rsidRPr="003C6BDA">
        <w:rPr>
          <w:rStyle w:val="FootnoteReference"/>
          <w:rFonts w:cstheme="minorHAnsi"/>
          <w:color w:val="0070C0"/>
        </w:rPr>
        <w:footnoteReference w:id="14"/>
      </w:r>
      <w:r w:rsidRPr="003C6BDA">
        <w:rPr>
          <w:rFonts w:cstheme="minorHAnsi"/>
          <w:bCs/>
          <w:color w:val="0070C0"/>
          <w:vertAlign w:val="superscript"/>
        </w:rPr>
        <w:t>,</w:t>
      </w:r>
      <w:r w:rsidRPr="003C6BDA">
        <w:rPr>
          <w:rStyle w:val="FootnoteReference"/>
          <w:rFonts w:cstheme="minorHAnsi"/>
          <w:color w:val="0070C0"/>
        </w:rPr>
        <w:footnoteReference w:id="15"/>
      </w:r>
    </w:p>
    <w:p w14:paraId="6643AA00" w14:textId="77777777" w:rsidR="00DA0B9B" w:rsidRPr="003C6BDA" w:rsidRDefault="00DA0B9B" w:rsidP="00DA0B9B">
      <w:pPr>
        <w:spacing w:line="240" w:lineRule="auto"/>
        <w:rPr>
          <w:rFonts w:cstheme="minorHAnsi"/>
          <w:bCs/>
          <w:color w:val="0070C0"/>
        </w:rPr>
      </w:pPr>
      <w:r w:rsidRPr="003C6BDA">
        <w:rPr>
          <w:rFonts w:cstheme="minorHAnsi"/>
          <w:bCs/>
          <w:color w:val="0070C0"/>
        </w:rPr>
        <w:t xml:space="preserve">Given the conceptual relationship between these social risk factors and resource use, we analyzed the impact of the following </w:t>
      </w:r>
      <w:r>
        <w:rPr>
          <w:rFonts w:cstheme="minorHAnsi"/>
          <w:bCs/>
          <w:color w:val="0070C0"/>
        </w:rPr>
        <w:t>patient</w:t>
      </w:r>
      <w:r w:rsidRPr="003C6BDA">
        <w:rPr>
          <w:rFonts w:cstheme="minorHAnsi"/>
          <w:bCs/>
          <w:color w:val="0070C0"/>
        </w:rPr>
        <w:t>-level and Census-Block Group-level factors: income, education, employment, race, sex, dual status, and AHRQ Index. These factors are also listed in Section 1.8.</w:t>
      </w:r>
    </w:p>
    <w:p w14:paraId="4CDDC1D4" w14:textId="77777777" w:rsidR="00DA0B9B" w:rsidRPr="003C6BDA" w:rsidRDefault="00DA0B9B" w:rsidP="00DA0B9B">
      <w:pPr>
        <w:spacing w:line="240" w:lineRule="auto"/>
        <w:rPr>
          <w:rFonts w:cstheme="minorHAnsi"/>
          <w:bCs/>
          <w:color w:val="0070C0"/>
        </w:rPr>
      </w:pPr>
      <w:r w:rsidRPr="003C6BDA">
        <w:rPr>
          <w:rFonts w:cstheme="minorHAnsi"/>
          <w:bCs/>
          <w:color w:val="0070C0"/>
        </w:rPr>
        <w:t xml:space="preserve">We used the CMS Enrollment Database (EDB), and Common Medicare Environment (CME) to determine dual eligibility, race, and sex. Socioeconomic status was determined by two approaches: a) using income, education and employment status as categorical dependents and b) using Agency of Healthcare Research and Quality (AHRQ) SES Index as a continuous dependent. Both approaches used data from the 2017 American Community Survey (5-year file) by linking episodes to census block groups, and ZIP code when census block group is missing. </w:t>
      </w:r>
    </w:p>
    <w:p w14:paraId="7261B735" w14:textId="77777777" w:rsidR="00DA0B9B" w:rsidRDefault="00DA0B9B" w:rsidP="00DA0B9B">
      <w:pPr>
        <w:spacing w:line="240" w:lineRule="auto"/>
        <w:rPr>
          <w:rFonts w:cstheme="minorHAnsi"/>
          <w:bCs/>
          <w:color w:val="0070C0"/>
        </w:rPr>
      </w:pPr>
      <w:r w:rsidRPr="003C6BDA">
        <w:rPr>
          <w:rFonts w:cstheme="minorHAnsi"/>
          <w:bCs/>
          <w:color w:val="0070C0"/>
        </w:rPr>
        <w:t xml:space="preserve">Social risk factors were examined relative to the base </w:t>
      </w:r>
      <w:r w:rsidRPr="003C6BDA">
        <w:rPr>
          <w:rFonts w:cstheme="minorHAnsi"/>
          <w:color w:val="0070C0"/>
        </w:rPr>
        <w:t>set of risk adjustment variables from the CMS-HCC V22 2016 model, disability status, ESRD status, interaction variables, and recent long-term care use, and in a step-wise fashion to determine the potential value of each social risk factor considered.</w:t>
      </w:r>
      <w:r w:rsidRPr="003C6BDA">
        <w:rPr>
          <w:rFonts w:cstheme="minorHAnsi"/>
          <w:bCs/>
          <w:color w:val="0070C0"/>
        </w:rPr>
        <w:t xml:space="preserve"> </w:t>
      </w:r>
    </w:p>
    <w:p w14:paraId="29BE5A40" w14:textId="77777777" w:rsidR="00DA0B9B" w:rsidRDefault="00DA0B9B" w:rsidP="00DA0B9B">
      <w:pPr>
        <w:autoSpaceDE w:val="0"/>
        <w:autoSpaceDN w:val="0"/>
        <w:adjustRightInd w:val="0"/>
        <w:spacing w:after="0" w:line="240" w:lineRule="auto"/>
        <w:rPr>
          <w:rFonts w:cstheme="minorHAnsi"/>
          <w:b/>
          <w:bCs/>
        </w:rPr>
      </w:pPr>
      <w:r>
        <w:rPr>
          <w:rFonts w:cstheme="minorHAnsi"/>
          <w:b/>
          <w:bCs/>
        </w:rPr>
        <w:t>2b3.3b. How was the conceptual model of how social risk impacts this outcome developed?  Please check all that apply:</w:t>
      </w:r>
    </w:p>
    <w:p w14:paraId="0699159B" w14:textId="77777777" w:rsidR="00DA0B9B" w:rsidRPr="005232D6" w:rsidRDefault="002A3AA5" w:rsidP="00DA0B9B">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DA0B9B">
            <w:rPr>
              <w:rFonts w:ascii="MS Gothic" w:eastAsia="MS Gothic" w:hAnsi="MS Gothic" w:cstheme="minorHAnsi" w:hint="eastAsia"/>
              <w:bCs/>
              <w:color w:val="0000FF"/>
            </w:rPr>
            <w:t>☒</w:t>
          </w:r>
        </w:sdtContent>
      </w:sdt>
      <w:r w:rsidR="00DA0B9B">
        <w:rPr>
          <w:rFonts w:eastAsia="MS Mincho" w:cstheme="minorHAnsi"/>
          <w:b/>
          <w:bCs/>
          <w:color w:val="0000FF"/>
        </w:rPr>
        <w:t xml:space="preserve"> </w:t>
      </w:r>
      <w:r w:rsidR="00DA0B9B">
        <w:rPr>
          <w:rFonts w:cstheme="minorHAnsi"/>
          <w:b/>
          <w:bCs/>
        </w:rPr>
        <w:t>Published literature</w:t>
      </w:r>
    </w:p>
    <w:p w14:paraId="39DE924F" w14:textId="77777777" w:rsidR="00DA0B9B" w:rsidRPr="005232D6" w:rsidRDefault="002A3AA5" w:rsidP="00DA0B9B">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Content>
          <w:r w:rsidR="00DA0B9B">
            <w:rPr>
              <w:rFonts w:ascii="MS Gothic" w:eastAsia="MS Gothic" w:hAnsi="MS Gothic" w:cstheme="minorHAnsi" w:hint="eastAsia"/>
              <w:bCs/>
              <w:color w:val="0000FF"/>
            </w:rPr>
            <w:t>☒</w:t>
          </w:r>
        </w:sdtContent>
      </w:sdt>
      <w:r w:rsidR="00DA0B9B">
        <w:rPr>
          <w:rFonts w:cstheme="minorHAnsi"/>
          <w:bCs/>
          <w:color w:val="0000FF"/>
        </w:rPr>
        <w:t xml:space="preserve"> </w:t>
      </w:r>
      <w:r w:rsidR="00DA0B9B">
        <w:rPr>
          <w:rFonts w:cstheme="minorHAnsi"/>
          <w:b/>
          <w:bCs/>
        </w:rPr>
        <w:t>Internal data analysis</w:t>
      </w:r>
    </w:p>
    <w:p w14:paraId="2A9FA09D" w14:textId="77777777" w:rsidR="00DA0B9B" w:rsidRPr="005232D6" w:rsidRDefault="002A3AA5" w:rsidP="00DA0B9B">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Content>
          <w:r w:rsidR="00DA0B9B" w:rsidRPr="006574D2">
            <w:rPr>
              <w:rFonts w:ascii="MS Gothic" w:eastAsia="MS Gothic" w:cstheme="minorHAnsi" w:hint="eastAsia"/>
              <w:bCs/>
              <w:color w:val="0000FF"/>
            </w:rPr>
            <w:t>☐</w:t>
          </w:r>
        </w:sdtContent>
      </w:sdt>
      <w:r w:rsidR="00DA0B9B">
        <w:rPr>
          <w:rFonts w:eastAsia="MS Mincho" w:cstheme="minorHAnsi"/>
          <w:b/>
          <w:bCs/>
          <w:color w:val="0000FF"/>
        </w:rPr>
        <w:t xml:space="preserve"> </w:t>
      </w:r>
      <w:r w:rsidR="00DA0B9B">
        <w:rPr>
          <w:rFonts w:cstheme="minorHAnsi"/>
          <w:b/>
          <w:bCs/>
        </w:rPr>
        <w:t>Other (please describe)</w:t>
      </w:r>
    </w:p>
    <w:p w14:paraId="48E17E8D" w14:textId="77777777" w:rsidR="00DA0B9B" w:rsidRDefault="00DA0B9B" w:rsidP="00DA0B9B">
      <w:pPr>
        <w:autoSpaceDE w:val="0"/>
        <w:autoSpaceDN w:val="0"/>
        <w:adjustRightInd w:val="0"/>
        <w:spacing w:after="0" w:line="240" w:lineRule="auto"/>
        <w:rPr>
          <w:rFonts w:cstheme="minorHAnsi"/>
          <w:b/>
          <w:bCs/>
        </w:rPr>
      </w:pPr>
    </w:p>
    <w:p w14:paraId="0DC0C70F" w14:textId="77777777" w:rsidR="00DA0B9B" w:rsidRPr="0043772B" w:rsidRDefault="00DA0B9B" w:rsidP="00DA0B9B">
      <w:pPr>
        <w:keepNext/>
        <w:autoSpaceDE w:val="0"/>
        <w:autoSpaceDN w:val="0"/>
        <w:adjustRightInd w:val="0"/>
        <w:spacing w:after="0" w:line="240" w:lineRule="auto"/>
        <w:rPr>
          <w:rFonts w:cstheme="minorHAnsi"/>
          <w:bCs/>
          <w:color w:val="0070C0"/>
        </w:rPr>
      </w:pPr>
      <w:r>
        <w:rPr>
          <w:rFonts w:cstheme="minorHAnsi"/>
          <w:b/>
          <w:bCs/>
        </w:rPr>
        <w:t xml:space="preserve">2b3.4a. </w:t>
      </w:r>
      <w:r w:rsidRPr="00A25024">
        <w:rPr>
          <w:rFonts w:cstheme="minorHAnsi"/>
          <w:b/>
          <w:bCs/>
        </w:rPr>
        <w:t>What were the statistical results of the analyses used to select risk factors?</w:t>
      </w:r>
      <w:r>
        <w:rPr>
          <w:rFonts w:cstheme="minorHAnsi"/>
          <w:b/>
          <w:bCs/>
        </w:rPr>
        <w:br/>
      </w:r>
      <w:r w:rsidRPr="0043772B">
        <w:rPr>
          <w:rFonts w:cstheme="minorHAnsi"/>
          <w:bCs/>
          <w:color w:val="0070C0"/>
        </w:rPr>
        <w:t>The literature has extensively tested the use of the HCC model as applied to Medicare claims data</w:t>
      </w:r>
      <w:r>
        <w:rPr>
          <w:rFonts w:cstheme="minorHAnsi"/>
          <w:bCs/>
          <w:color w:val="0070C0"/>
        </w:rPr>
        <w:t xml:space="preserve">. </w:t>
      </w:r>
      <w:r w:rsidRPr="0043772B">
        <w:rPr>
          <w:rFonts w:cstheme="minorHAnsi"/>
          <w:bCs/>
          <w:color w:val="0070C0"/>
        </w:rPr>
        <w:t xml:space="preserve">Although the variables in the HCC model were chosen to predict annual cost, CMS has also used this risk </w:t>
      </w:r>
      <w:r w:rsidRPr="0043772B">
        <w:rPr>
          <w:rFonts w:cstheme="minorHAnsi"/>
          <w:bCs/>
          <w:color w:val="0070C0"/>
        </w:rPr>
        <w:lastRenderedPageBreak/>
        <w:t>adjustment model in a number of other settings (e.g., ACOs, previous physician QRUR programs, and other measures such as</w:t>
      </w:r>
      <w:r>
        <w:rPr>
          <w:rFonts w:cstheme="minorHAnsi"/>
          <w:bCs/>
          <w:color w:val="0070C0"/>
        </w:rPr>
        <w:t xml:space="preserve"> the</w:t>
      </w:r>
      <w:r w:rsidRPr="0043772B">
        <w:rPr>
          <w:rFonts w:cstheme="minorHAnsi"/>
          <w:bCs/>
          <w:color w:val="0070C0"/>
        </w:rPr>
        <w:t xml:space="preserve"> MSPB</w:t>
      </w:r>
      <w:r>
        <w:rPr>
          <w:rFonts w:cstheme="minorHAnsi"/>
          <w:bCs/>
          <w:color w:val="0070C0"/>
        </w:rPr>
        <w:t xml:space="preserve"> </w:t>
      </w:r>
      <w:r w:rsidRPr="0043772B">
        <w:rPr>
          <w:rFonts w:cstheme="minorHAnsi"/>
          <w:bCs/>
          <w:color w:val="0070C0"/>
        </w:rPr>
        <w:t xml:space="preserve">Hospital </w:t>
      </w:r>
      <w:r>
        <w:rPr>
          <w:rFonts w:cstheme="minorHAnsi"/>
          <w:bCs/>
          <w:color w:val="0070C0"/>
        </w:rPr>
        <w:t>M</w:t>
      </w:r>
      <w:r w:rsidRPr="0043772B">
        <w:rPr>
          <w:rFonts w:cstheme="minorHAnsi"/>
          <w:bCs/>
          <w:color w:val="0070C0"/>
        </w:rPr>
        <w:t>easure</w:t>
      </w:r>
      <w:r>
        <w:rPr>
          <w:rFonts w:cstheme="minorHAnsi"/>
          <w:bCs/>
          <w:color w:val="0070C0"/>
        </w:rPr>
        <w:t xml:space="preserve"> [</w:t>
      </w:r>
      <w:r w:rsidRPr="0043772B">
        <w:rPr>
          <w:rFonts w:cstheme="minorHAnsi"/>
          <w:bCs/>
          <w:color w:val="0070C0"/>
        </w:rPr>
        <w:t>NQF #2158</w:t>
      </w:r>
      <w:r>
        <w:rPr>
          <w:rFonts w:cstheme="minorHAnsi"/>
          <w:bCs/>
          <w:color w:val="0070C0"/>
        </w:rPr>
        <w:t>]</w:t>
      </w:r>
      <w:r w:rsidRPr="0043772B">
        <w:rPr>
          <w:rFonts w:cstheme="minorHAnsi"/>
          <w:bCs/>
          <w:color w:val="0070C0"/>
        </w:rPr>
        <w:t xml:space="preserve">). </w:t>
      </w:r>
      <w:r w:rsidRPr="00D12E9C">
        <w:rPr>
          <w:rFonts w:cstheme="minorHAnsi"/>
          <w:bCs/>
          <w:color w:val="0070C0"/>
        </w:rPr>
        <w:t>Recalling that the risk model relies on the existing CMS-HCC model, t</w:t>
      </w:r>
      <w:r w:rsidRPr="00D12E9C">
        <w:rPr>
          <w:color w:val="0070C0"/>
        </w:rPr>
        <w:t>esting results for factors included in the CMS-HCC V22 2016 model can be found in the Pope et al (2011) report and the December 2018 CMS Report to Congress on risk adjustment in Medicare Advantage.</w:t>
      </w:r>
      <w:bookmarkStart w:id="13" w:name="_Ref26358139"/>
      <w:r w:rsidRPr="00D12E9C">
        <w:rPr>
          <w:rStyle w:val="FootnoteReference"/>
          <w:bCs/>
          <w:color w:val="0070C0"/>
        </w:rPr>
        <w:footnoteReference w:id="16"/>
      </w:r>
      <w:bookmarkEnd w:id="13"/>
      <w:r w:rsidRPr="00D12E9C">
        <w:rPr>
          <w:color w:val="0070C0"/>
          <w:vertAlign w:val="superscript"/>
        </w:rPr>
        <w:t>,</w:t>
      </w:r>
      <w:r w:rsidRPr="00D12E9C">
        <w:rPr>
          <w:rStyle w:val="FootnoteReference"/>
          <w:color w:val="0070C0"/>
        </w:rPr>
        <w:footnoteReference w:id="17"/>
      </w:r>
    </w:p>
    <w:p w14:paraId="37A14A24" w14:textId="77777777" w:rsidR="00DA0B9B" w:rsidRPr="0043772B" w:rsidRDefault="00DA0B9B" w:rsidP="00DA0B9B">
      <w:pPr>
        <w:autoSpaceDE w:val="0"/>
        <w:autoSpaceDN w:val="0"/>
        <w:adjustRightInd w:val="0"/>
        <w:spacing w:after="0" w:line="240" w:lineRule="auto"/>
        <w:rPr>
          <w:rFonts w:cstheme="minorHAnsi"/>
          <w:bCs/>
          <w:color w:val="0070C0"/>
        </w:rPr>
      </w:pPr>
    </w:p>
    <w:p w14:paraId="41A609B1" w14:textId="77777777" w:rsidR="00DA0B9B" w:rsidRDefault="00DA0B9B" w:rsidP="00DA0B9B">
      <w:pPr>
        <w:autoSpaceDE w:val="0"/>
        <w:autoSpaceDN w:val="0"/>
        <w:adjustRightInd w:val="0"/>
        <w:spacing w:after="0" w:line="240" w:lineRule="auto"/>
        <w:rPr>
          <w:rFonts w:cstheme="minorHAnsi"/>
          <w:bCs/>
          <w:color w:val="0070C0"/>
        </w:rPr>
      </w:pPr>
      <w:r w:rsidRPr="0043772B">
        <w:rPr>
          <w:rFonts w:cstheme="minorHAnsi"/>
          <w:bCs/>
          <w:color w:val="0070C0"/>
        </w:rPr>
        <w:t>Appendix Table 2b3.1.1 includes regression coefficients and standard errors for each of the covariates used in the risk adjustment model.</w:t>
      </w:r>
    </w:p>
    <w:p w14:paraId="19CE9123" w14:textId="77777777" w:rsidR="00DA0B9B" w:rsidRDefault="00DA0B9B" w:rsidP="00DA0B9B">
      <w:pPr>
        <w:autoSpaceDE w:val="0"/>
        <w:autoSpaceDN w:val="0"/>
        <w:adjustRightInd w:val="0"/>
        <w:spacing w:after="0" w:line="240" w:lineRule="auto"/>
        <w:rPr>
          <w:rFonts w:cstheme="minorHAnsi"/>
          <w:b/>
          <w:bCs/>
        </w:rPr>
      </w:pPr>
    </w:p>
    <w:p w14:paraId="24A2AA48" w14:textId="77777777" w:rsidR="00DA0B9B" w:rsidRDefault="00DA0B9B" w:rsidP="00DA0B9B">
      <w:pPr>
        <w:autoSpaceDE w:val="0"/>
        <w:autoSpaceDN w:val="0"/>
        <w:adjustRightInd w:val="0"/>
        <w:spacing w:after="0" w:line="240" w:lineRule="auto"/>
        <w:rPr>
          <w:rFonts w:cstheme="minorHAnsi"/>
          <w:b/>
          <w:bCs/>
        </w:rPr>
      </w:pPr>
      <w:r>
        <w:rPr>
          <w:rFonts w:cstheme="minorHAnsi"/>
          <w:b/>
          <w:bCs/>
        </w:rPr>
        <w:t xml:space="preserve">2b3.4b. Describe the analyses and interpretation resulting in the decision to select social risk factors </w:t>
      </w:r>
      <w:r w:rsidRPr="00AF2D68">
        <w:rPr>
          <w:rFonts w:cstheme="minorHAnsi"/>
          <w:bCs/>
          <w:i/>
        </w:rPr>
        <w:t>(e.g. prevalence of the factor across measured entities, empirical association with the outcome, contribution of unique variation in the outcome, assessment of between-unit effects and within-unit effects</w:t>
      </w:r>
      <w:r>
        <w:rPr>
          <w:rFonts w:cstheme="minorHAnsi"/>
          <w:bCs/>
          <w:i/>
        </w:rPr>
        <w:t xml:space="preserve">.)  </w:t>
      </w:r>
      <w:r w:rsidRPr="00CE284E">
        <w:rPr>
          <w:rFonts w:cstheme="minorHAnsi"/>
          <w:b/>
          <w:bCs/>
        </w:rPr>
        <w:t>Also describe the impact of adjusting for social risk (or not) on providers at high or low extremes of risk.</w:t>
      </w:r>
    </w:p>
    <w:p w14:paraId="244EEF2B" w14:textId="68A51213" w:rsidR="00DA0B9B" w:rsidRPr="00912F8B" w:rsidRDefault="00DA0B9B" w:rsidP="00DA0B9B">
      <w:pPr>
        <w:autoSpaceDE w:val="0"/>
        <w:autoSpaceDN w:val="0"/>
        <w:adjustRightInd w:val="0"/>
        <w:spacing w:after="0" w:line="240" w:lineRule="auto"/>
        <w:rPr>
          <w:rFonts w:cstheme="minorHAnsi"/>
          <w:bCs/>
          <w:color w:val="0070C0"/>
        </w:rPr>
      </w:pPr>
      <w:r>
        <w:rPr>
          <w:rFonts w:cstheme="minorHAnsi"/>
          <w:bCs/>
          <w:color w:val="0070C0"/>
        </w:rPr>
        <w:t xml:space="preserve">We </w:t>
      </w:r>
      <w:r w:rsidRPr="00912F8B">
        <w:rPr>
          <w:rFonts w:cstheme="minorHAnsi"/>
          <w:bCs/>
          <w:color w:val="0070C0"/>
        </w:rPr>
        <w:t xml:space="preserve">analyzed race, sex, dual status, income, education, and unemployment as social risk factors (more information on these variables can be found in Section 1.8). </w:t>
      </w:r>
      <w:r>
        <w:rPr>
          <w:rFonts w:cstheme="minorHAnsi"/>
          <w:bCs/>
          <w:color w:val="0070C0"/>
        </w:rPr>
        <w:t>Patient race, sex,</w:t>
      </w:r>
      <w:r w:rsidRPr="00912F8B">
        <w:rPr>
          <w:rFonts w:cstheme="minorHAnsi"/>
          <w:bCs/>
          <w:color w:val="0070C0"/>
        </w:rPr>
        <w:t xml:space="preserve"> and dual status were </w:t>
      </w:r>
      <w:r>
        <w:rPr>
          <w:rFonts w:cstheme="minorHAnsi"/>
          <w:bCs/>
          <w:color w:val="0070C0"/>
        </w:rPr>
        <w:t>obtained from the EDB and CME, while information on income, education, and unemployment</w:t>
      </w:r>
      <w:r w:rsidRPr="00912F8B">
        <w:rPr>
          <w:rFonts w:cstheme="minorHAnsi"/>
          <w:bCs/>
          <w:color w:val="0070C0"/>
        </w:rPr>
        <w:t xml:space="preserve"> w</w:t>
      </w:r>
      <w:r>
        <w:rPr>
          <w:rFonts w:cstheme="minorHAnsi"/>
          <w:bCs/>
          <w:color w:val="0070C0"/>
        </w:rPr>
        <w:t>ere</w:t>
      </w:r>
      <w:r w:rsidRPr="00912F8B">
        <w:rPr>
          <w:rFonts w:cstheme="minorHAnsi"/>
          <w:bCs/>
          <w:color w:val="0070C0"/>
        </w:rPr>
        <w:t xml:space="preserve"> obtained from ACS data. </w:t>
      </w:r>
      <w:r>
        <w:rPr>
          <w:rFonts w:cstheme="minorHAnsi"/>
          <w:bCs/>
          <w:color w:val="0070C0"/>
        </w:rPr>
        <w:t>Patient episodes</w:t>
      </w:r>
      <w:r w:rsidRPr="00912F8B">
        <w:rPr>
          <w:rFonts w:cstheme="minorHAnsi"/>
          <w:bCs/>
          <w:color w:val="0070C0"/>
        </w:rPr>
        <w:t xml:space="preserve"> without geographic information</w:t>
      </w:r>
      <w:r>
        <w:rPr>
          <w:rFonts w:cstheme="minorHAnsi"/>
          <w:bCs/>
          <w:color w:val="0070C0"/>
        </w:rPr>
        <w:t xml:space="preserve"> necessary to obtain ACS data w</w:t>
      </w:r>
      <w:r w:rsidRPr="00912F8B">
        <w:rPr>
          <w:rFonts w:cstheme="minorHAnsi"/>
          <w:bCs/>
          <w:color w:val="0070C0"/>
        </w:rPr>
        <w:t xml:space="preserve">ere excluded, </w:t>
      </w:r>
      <w:r w:rsidRPr="008A4A41">
        <w:rPr>
          <w:rFonts w:cstheme="minorHAnsi"/>
          <w:bCs/>
          <w:color w:val="0070C0"/>
        </w:rPr>
        <w:t>approximately 1.2</w:t>
      </w:r>
      <w:r w:rsidRPr="00912F8B">
        <w:rPr>
          <w:rFonts w:cstheme="minorHAnsi"/>
          <w:bCs/>
          <w:color w:val="0070C0"/>
        </w:rPr>
        <w:t xml:space="preserve"> percent of </w:t>
      </w:r>
      <w:r>
        <w:rPr>
          <w:rFonts w:cstheme="minorHAnsi"/>
          <w:bCs/>
          <w:color w:val="0070C0"/>
        </w:rPr>
        <w:t>all episodes</w:t>
      </w:r>
      <w:r w:rsidRPr="00912F8B">
        <w:rPr>
          <w:rStyle w:val="FootnoteReference"/>
          <w:rFonts w:cstheme="minorHAnsi"/>
          <w:bCs/>
          <w:color w:val="0070C0"/>
        </w:rPr>
        <w:footnoteReference w:id="18"/>
      </w:r>
      <w:r w:rsidRPr="00912F8B">
        <w:rPr>
          <w:rFonts w:cstheme="minorHAnsi"/>
          <w:bCs/>
          <w:color w:val="0070C0"/>
        </w:rPr>
        <w:t xml:space="preserve">. </w:t>
      </w:r>
      <w:r>
        <w:rPr>
          <w:rFonts w:cstheme="minorHAnsi"/>
          <w:bCs/>
          <w:color w:val="0070C0"/>
        </w:rPr>
        <w:t>Of the included patient population for the Non-Emergent CABG Measure, 25 percent are female and 89 percent have non-dual enrollment status. Full measure population demographics</w:t>
      </w:r>
      <w:r w:rsidRPr="00912F8B">
        <w:rPr>
          <w:rFonts w:cstheme="minorHAnsi"/>
          <w:bCs/>
          <w:color w:val="0070C0"/>
        </w:rPr>
        <w:t xml:space="preserve"> can be </w:t>
      </w:r>
      <w:r>
        <w:rPr>
          <w:rFonts w:cstheme="minorHAnsi"/>
          <w:bCs/>
          <w:color w:val="0070C0"/>
        </w:rPr>
        <w:t>found</w:t>
      </w:r>
      <w:r w:rsidRPr="00912F8B">
        <w:rPr>
          <w:rFonts w:cstheme="minorHAnsi"/>
          <w:bCs/>
          <w:color w:val="0070C0"/>
        </w:rPr>
        <w:t xml:space="preserve"> in Appendix Table 2b3.4b</w:t>
      </w:r>
      <w:r>
        <w:rPr>
          <w:rFonts w:cstheme="minorHAnsi"/>
          <w:bCs/>
          <w:color w:val="0070C0"/>
        </w:rPr>
        <w:t>.</w:t>
      </w:r>
      <w:r w:rsidRPr="00912F8B">
        <w:rPr>
          <w:rFonts w:cstheme="minorHAnsi"/>
          <w:bCs/>
          <w:color w:val="0070C0"/>
        </w:rPr>
        <w:t xml:space="preserve"> </w:t>
      </w:r>
    </w:p>
    <w:p w14:paraId="0339FD92" w14:textId="77777777" w:rsidR="00DA0B9B" w:rsidRPr="00912F8B" w:rsidRDefault="00DA0B9B" w:rsidP="00DA0B9B">
      <w:pPr>
        <w:autoSpaceDE w:val="0"/>
        <w:autoSpaceDN w:val="0"/>
        <w:adjustRightInd w:val="0"/>
        <w:spacing w:after="0" w:line="240" w:lineRule="auto"/>
        <w:rPr>
          <w:rFonts w:cstheme="minorHAnsi"/>
          <w:bCs/>
          <w:color w:val="0070C0"/>
        </w:rPr>
      </w:pPr>
    </w:p>
    <w:p w14:paraId="62C17F50" w14:textId="77777777" w:rsidR="00DA0B9B" w:rsidRPr="00912F8B" w:rsidRDefault="00DA0B9B" w:rsidP="00DA0B9B">
      <w:pPr>
        <w:autoSpaceDE w:val="0"/>
        <w:autoSpaceDN w:val="0"/>
        <w:adjustRightInd w:val="0"/>
        <w:spacing w:after="0" w:line="240" w:lineRule="auto"/>
        <w:rPr>
          <w:rFonts w:cstheme="minorHAnsi"/>
          <w:bCs/>
          <w:color w:val="0070C0"/>
        </w:rPr>
      </w:pPr>
      <w:r>
        <w:rPr>
          <w:rFonts w:cstheme="minorHAnsi"/>
          <w:bCs/>
          <w:color w:val="0070C0"/>
        </w:rPr>
        <w:t>We</w:t>
      </w:r>
      <w:r w:rsidRPr="00912F8B">
        <w:rPr>
          <w:rFonts w:cstheme="minorHAnsi"/>
          <w:bCs/>
          <w:color w:val="0070C0"/>
        </w:rPr>
        <w:t xml:space="preserve"> examined the impact of including social risk factors into our risk adjustment model by running goodness of fit tests when different risk factors are added and compared to the base risk adjustment model, where the base risk adjustment model refers to the full set of</w:t>
      </w:r>
      <w:r>
        <w:rPr>
          <w:rFonts w:cstheme="minorHAnsi"/>
          <w:bCs/>
          <w:color w:val="0070C0"/>
        </w:rPr>
        <w:t xml:space="preserve"> measure-specific and standard</w:t>
      </w:r>
      <w:r w:rsidRPr="00912F8B">
        <w:rPr>
          <w:rFonts w:cstheme="minorHAnsi"/>
          <w:bCs/>
          <w:color w:val="0070C0"/>
        </w:rPr>
        <w:t xml:space="preserve"> risk adjustment variables from the CMS-HCC V22 2016 model, disability status, ESRD status, interaction variables, and recent long-term care use. We ran a step-wise regression to include the following additional social risk factors on top of the adapted base CMS-HCC model (Model 1):  </w:t>
      </w:r>
    </w:p>
    <w:p w14:paraId="343DFF86"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 xml:space="preserve">Model 2: sex </w:t>
      </w:r>
    </w:p>
    <w:p w14:paraId="498091E5"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3: dual status</w:t>
      </w:r>
    </w:p>
    <w:p w14:paraId="6469CC57"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4: sex + dual status</w:t>
      </w:r>
    </w:p>
    <w:p w14:paraId="49D110C1"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5: sex + dual status + race</w:t>
      </w:r>
    </w:p>
    <w:p w14:paraId="747C8C35"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6: sex + dual status + income + education + unemployment</w:t>
      </w:r>
    </w:p>
    <w:p w14:paraId="691BD41F"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7: sex + dual status + AHRQ SES Index</w:t>
      </w:r>
    </w:p>
    <w:p w14:paraId="6BA5A7AA"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8: sex + dual status + race + income + education + unemployment</w:t>
      </w:r>
    </w:p>
    <w:p w14:paraId="4D1E0F01" w14:textId="77777777" w:rsidR="00DA0B9B" w:rsidRPr="00912F8B" w:rsidRDefault="00DA0B9B" w:rsidP="00DA0B9B">
      <w:pPr>
        <w:pStyle w:val="ListParagraph"/>
        <w:numPr>
          <w:ilvl w:val="0"/>
          <w:numId w:val="15"/>
        </w:numPr>
        <w:autoSpaceDE w:val="0"/>
        <w:autoSpaceDN w:val="0"/>
        <w:adjustRightInd w:val="0"/>
        <w:spacing w:after="0" w:line="240" w:lineRule="auto"/>
        <w:rPr>
          <w:rFonts w:cstheme="minorHAnsi"/>
          <w:bCs/>
          <w:color w:val="0070C0"/>
        </w:rPr>
      </w:pPr>
      <w:r w:rsidRPr="00912F8B">
        <w:rPr>
          <w:rFonts w:cstheme="minorHAnsi"/>
          <w:bCs/>
          <w:color w:val="0070C0"/>
        </w:rPr>
        <w:t>Model 9: sex + dual status + race + AHRQ SES Index</w:t>
      </w:r>
    </w:p>
    <w:p w14:paraId="15328916" w14:textId="77777777" w:rsidR="00DA0B9B" w:rsidRDefault="00DA0B9B" w:rsidP="00DA0B9B">
      <w:pPr>
        <w:autoSpaceDE w:val="0"/>
        <w:autoSpaceDN w:val="0"/>
        <w:adjustRightInd w:val="0"/>
        <w:spacing w:after="0" w:line="240" w:lineRule="auto"/>
        <w:rPr>
          <w:rFonts w:cstheme="minorHAnsi"/>
          <w:bCs/>
          <w:color w:val="0070C0"/>
        </w:rPr>
      </w:pPr>
    </w:p>
    <w:p w14:paraId="4EC1BDCC" w14:textId="306E4CE3" w:rsidR="00DA0B9B" w:rsidRPr="00DE2466" w:rsidRDefault="00DA0B9B" w:rsidP="00DA0B9B">
      <w:pPr>
        <w:autoSpaceDE w:val="0"/>
        <w:autoSpaceDN w:val="0"/>
        <w:adjustRightInd w:val="0"/>
        <w:spacing w:after="0" w:line="240" w:lineRule="auto"/>
        <w:rPr>
          <w:rFonts w:cstheme="minorHAnsi"/>
          <w:bCs/>
          <w:color w:val="0070C0"/>
        </w:rPr>
      </w:pPr>
      <w:r w:rsidRPr="00DE2466">
        <w:rPr>
          <w:rFonts w:cstheme="minorHAnsi"/>
          <w:bCs/>
          <w:color w:val="0070C0"/>
        </w:rPr>
        <w:t xml:space="preserve">Results from this stepwise analysis do not support the inclusion of social risk factors into the </w:t>
      </w:r>
      <w:r w:rsidR="009E48AC">
        <w:rPr>
          <w:rFonts w:cstheme="minorHAnsi"/>
          <w:bCs/>
          <w:color w:val="0070C0"/>
        </w:rPr>
        <w:t>Non-Emergent CABG</w:t>
      </w:r>
      <w:r w:rsidRPr="00DE2466">
        <w:rPr>
          <w:rFonts w:cstheme="minorHAnsi"/>
          <w:bCs/>
          <w:color w:val="0070C0"/>
        </w:rPr>
        <w:t xml:space="preserve"> Measure risk-adjustment model, based on the NQF evaluation criteria as outlined in Section 2b3.3a</w:t>
      </w:r>
      <w:r>
        <w:rPr>
          <w:rStyle w:val="FootnoteReference"/>
          <w:bCs/>
          <w:color w:val="0070C0"/>
        </w:rPr>
        <w:footnoteReference w:id="19"/>
      </w:r>
      <w:r w:rsidRPr="00DE2466">
        <w:rPr>
          <w:rFonts w:cstheme="minorHAnsi"/>
          <w:bCs/>
          <w:color w:val="0070C0"/>
        </w:rPr>
        <w:t>. Please see below for explanations of analysis results in relation to these criteria:</w:t>
      </w:r>
    </w:p>
    <w:p w14:paraId="799B2CC6" w14:textId="77777777" w:rsidR="00DA0B9B" w:rsidRPr="00DE2466" w:rsidRDefault="00DA0B9B" w:rsidP="00DA0B9B">
      <w:pPr>
        <w:autoSpaceDE w:val="0"/>
        <w:autoSpaceDN w:val="0"/>
        <w:adjustRightInd w:val="0"/>
        <w:spacing w:after="0" w:line="240" w:lineRule="auto"/>
        <w:rPr>
          <w:rFonts w:cstheme="minorHAnsi"/>
          <w:bCs/>
          <w:color w:val="0070C0"/>
        </w:rPr>
      </w:pPr>
    </w:p>
    <w:p w14:paraId="511196D3" w14:textId="2A98B85C" w:rsidR="00DA0B9B" w:rsidRPr="00DE2466" w:rsidRDefault="00DA0B9B" w:rsidP="00DA0B9B">
      <w:pPr>
        <w:autoSpaceDE w:val="0"/>
        <w:autoSpaceDN w:val="0"/>
        <w:adjustRightInd w:val="0"/>
        <w:spacing w:after="0" w:line="240" w:lineRule="auto"/>
        <w:rPr>
          <w:rFonts w:cstheme="minorHAnsi"/>
          <w:bCs/>
          <w:color w:val="0070C0"/>
        </w:rPr>
      </w:pPr>
      <w:r w:rsidRPr="00DE2466">
        <w:rPr>
          <w:rFonts w:cstheme="minorHAnsi"/>
          <w:bCs/>
          <w:i/>
          <w:color w:val="0070C0"/>
        </w:rPr>
        <w:t xml:space="preserve">Empirical association with the outcome of interest: </w:t>
      </w:r>
      <w:r w:rsidRPr="00DE2466">
        <w:rPr>
          <w:rFonts w:cstheme="minorHAnsi"/>
          <w:bCs/>
          <w:color w:val="0070C0"/>
        </w:rPr>
        <w:t>Analysis results indicate that the relationship between social risk factors and measure cost scores is inconsistent across factors and subgroups; and when this relationship is negative, adjusting for SRF may introduce bias into performance measurement. This was determined through analysis of model coefficients and p-values for each of the base and SRF models. Although there were many significant p-values which indicated social risk factors are likely predictive factors of resource use, the directions of the coefficients and relationships with measure scores were inconsistent: while the sign of some social risk factors was positive</w:t>
      </w:r>
      <w:r w:rsidR="00C50653">
        <w:rPr>
          <w:rFonts w:cstheme="minorHAnsi"/>
          <w:bCs/>
          <w:color w:val="0070C0"/>
        </w:rPr>
        <w:t xml:space="preserve"> </w:t>
      </w:r>
      <w:r w:rsidR="002F295A">
        <w:rPr>
          <w:rFonts w:cstheme="minorHAnsi"/>
          <w:bCs/>
          <w:color w:val="0070C0"/>
        </w:rPr>
        <w:t xml:space="preserve">under one subgroup </w:t>
      </w:r>
      <w:r w:rsidR="00C50653" w:rsidRPr="00DE2466">
        <w:rPr>
          <w:rFonts w:cstheme="minorHAnsi"/>
          <w:bCs/>
          <w:color w:val="0070C0"/>
        </w:rPr>
        <w:t xml:space="preserve">(e.g., </w:t>
      </w:r>
      <w:r w:rsidR="00C50653">
        <w:rPr>
          <w:rFonts w:cstheme="minorHAnsi"/>
          <w:bCs/>
          <w:color w:val="0070C0"/>
        </w:rPr>
        <w:t>certain race indicators under the isolated CABG subgroup</w:t>
      </w:r>
      <w:r w:rsidR="00C50653" w:rsidRPr="00DE2466">
        <w:rPr>
          <w:rFonts w:cstheme="minorHAnsi"/>
          <w:bCs/>
          <w:color w:val="0070C0"/>
        </w:rPr>
        <w:t>)</w:t>
      </w:r>
      <w:r w:rsidRPr="00DE2466">
        <w:rPr>
          <w:rFonts w:cstheme="minorHAnsi"/>
          <w:bCs/>
          <w:color w:val="0070C0"/>
        </w:rPr>
        <w:t xml:space="preserve">, the sign of </w:t>
      </w:r>
      <w:r w:rsidR="00C50653">
        <w:rPr>
          <w:rFonts w:cstheme="minorHAnsi"/>
          <w:bCs/>
          <w:color w:val="0070C0"/>
        </w:rPr>
        <w:t>these same indicators</w:t>
      </w:r>
      <w:r w:rsidRPr="00DE2466">
        <w:rPr>
          <w:rFonts w:cstheme="minorHAnsi"/>
          <w:bCs/>
          <w:color w:val="0070C0"/>
        </w:rPr>
        <w:t xml:space="preserve"> </w:t>
      </w:r>
      <w:r w:rsidR="002F295A">
        <w:rPr>
          <w:rFonts w:cstheme="minorHAnsi"/>
          <w:bCs/>
          <w:color w:val="0070C0"/>
        </w:rPr>
        <w:t xml:space="preserve">were negative </w:t>
      </w:r>
      <w:r w:rsidRPr="00DE2466">
        <w:rPr>
          <w:rFonts w:cstheme="minorHAnsi"/>
          <w:bCs/>
          <w:color w:val="0070C0"/>
        </w:rPr>
        <w:t xml:space="preserve">under </w:t>
      </w:r>
      <w:r w:rsidR="002F295A">
        <w:rPr>
          <w:rFonts w:cstheme="minorHAnsi"/>
          <w:bCs/>
          <w:color w:val="0070C0"/>
        </w:rPr>
        <w:t xml:space="preserve">the other </w:t>
      </w:r>
      <w:r w:rsidRPr="00DE2466">
        <w:rPr>
          <w:rFonts w:cstheme="minorHAnsi"/>
          <w:bCs/>
          <w:color w:val="0070C0"/>
        </w:rPr>
        <w:t xml:space="preserve">subgroup, suggesting that expected costs would in fact be lower for a patient with high social risk. Incorporating social risk factors into risk adjustment in these latter cases could in fact penalize providers for taking on patients with high social risk, and in turn bias performance measurement under the </w:t>
      </w:r>
      <w:r>
        <w:rPr>
          <w:rFonts w:cstheme="minorHAnsi"/>
          <w:bCs/>
          <w:color w:val="0070C0"/>
        </w:rPr>
        <w:t>Non-Emergent CABG</w:t>
      </w:r>
      <w:r w:rsidRPr="00DE2466">
        <w:rPr>
          <w:rFonts w:cstheme="minorHAnsi"/>
          <w:bCs/>
          <w:color w:val="0070C0"/>
        </w:rPr>
        <w:t xml:space="preserve"> Measure.</w:t>
      </w:r>
    </w:p>
    <w:p w14:paraId="2AD3EFE6" w14:textId="77777777" w:rsidR="00DA0B9B" w:rsidRPr="00DE2466" w:rsidRDefault="00DA0B9B" w:rsidP="00DA0B9B">
      <w:pPr>
        <w:autoSpaceDE w:val="0"/>
        <w:autoSpaceDN w:val="0"/>
        <w:adjustRightInd w:val="0"/>
        <w:spacing w:after="0" w:line="240" w:lineRule="auto"/>
        <w:rPr>
          <w:rFonts w:cstheme="minorHAnsi"/>
          <w:bCs/>
          <w:color w:val="0070C0"/>
        </w:rPr>
      </w:pPr>
    </w:p>
    <w:p w14:paraId="1FA71CD4" w14:textId="2673AFF8" w:rsidR="00DA0B9B" w:rsidRPr="00DE2466" w:rsidRDefault="00DA0B9B" w:rsidP="00DA0B9B">
      <w:pPr>
        <w:autoSpaceDE w:val="0"/>
        <w:autoSpaceDN w:val="0"/>
        <w:adjustRightInd w:val="0"/>
        <w:spacing w:after="0" w:line="240" w:lineRule="auto"/>
        <w:rPr>
          <w:rFonts w:cstheme="minorHAnsi"/>
          <w:bCs/>
          <w:color w:val="0070C0"/>
        </w:rPr>
      </w:pPr>
      <w:r w:rsidRPr="00DE2466">
        <w:rPr>
          <w:rFonts w:cstheme="minorHAnsi"/>
          <w:bCs/>
          <w:i/>
          <w:color w:val="0070C0"/>
        </w:rPr>
        <w:t xml:space="preserve">Contribution of unique variation in the outcome (i.e., no redundant): </w:t>
      </w:r>
      <w:r w:rsidRPr="00DE2466">
        <w:rPr>
          <w:rFonts w:cstheme="minorHAnsi"/>
          <w:bCs/>
          <w:color w:val="0070C0"/>
        </w:rPr>
        <w:t xml:space="preserve">Analysis results also suggested that adding social risk factors to the measure risk-adjustment model had minimal impact on measure performance and was largely redundant with current model prediction. This was determined using two methods: by (i) analyzing differences in percentiles of observed to expected episode cost (O/E) ratios (i.e., “performance percentiles”) both with and without social risk factors in the model, and (ii) examining correlations between measure scores calculated with and without social factors. Both of these tests demonstrated a minimal impact on performance – even for providers at high and low extremes of risk - from including social risk factors in the model. Under the first test, this was demonstrated by the fact that the overwhelming majority of providers - </w:t>
      </w:r>
      <w:r>
        <w:rPr>
          <w:rFonts w:cstheme="minorHAnsi"/>
          <w:bCs/>
          <w:color w:val="0070C0"/>
        </w:rPr>
        <w:t>91.4</w:t>
      </w:r>
      <w:r w:rsidRPr="00DE2466">
        <w:rPr>
          <w:rFonts w:cstheme="minorHAnsi"/>
          <w:bCs/>
          <w:color w:val="0070C0"/>
        </w:rPr>
        <w:t xml:space="preserve"> percent of TINs and </w:t>
      </w:r>
      <w:r>
        <w:rPr>
          <w:rFonts w:cstheme="minorHAnsi"/>
          <w:bCs/>
          <w:color w:val="0070C0"/>
        </w:rPr>
        <w:t>91.1</w:t>
      </w:r>
      <w:r w:rsidRPr="00DE2466">
        <w:rPr>
          <w:rFonts w:cstheme="minorHAnsi"/>
          <w:bCs/>
          <w:color w:val="0070C0"/>
        </w:rPr>
        <w:t xml:space="preserve"> percent of TIN-NPIs – saw no or minimal change (5 percentiles or less) in performance percentile when social risk factors were added to the model. Furthermore, under the second test, measure scores calculated with and without social factors were highly correlated at both the TIN and TIN-NPI levels, with Spearman correlation coefficients of </w:t>
      </w:r>
      <w:r>
        <w:rPr>
          <w:rFonts w:cstheme="minorHAnsi"/>
          <w:bCs/>
          <w:color w:val="0070C0"/>
        </w:rPr>
        <w:t>0.994</w:t>
      </w:r>
      <w:r w:rsidRPr="00DE2466">
        <w:rPr>
          <w:rFonts w:cstheme="minorHAnsi"/>
          <w:bCs/>
          <w:color w:val="0070C0"/>
        </w:rPr>
        <w:t xml:space="preserve"> and </w:t>
      </w:r>
      <w:r>
        <w:rPr>
          <w:rFonts w:cstheme="minorHAnsi"/>
          <w:bCs/>
          <w:color w:val="0070C0"/>
        </w:rPr>
        <w:t>0.993</w:t>
      </w:r>
      <w:r w:rsidRPr="00DE2466">
        <w:rPr>
          <w:rFonts w:cstheme="minorHAnsi"/>
          <w:bCs/>
          <w:color w:val="0070C0"/>
        </w:rPr>
        <w:t xml:space="preserve">, respectively. </w:t>
      </w:r>
    </w:p>
    <w:p w14:paraId="6909B56C" w14:textId="77777777" w:rsidR="00DA0B9B" w:rsidRPr="00DE2466" w:rsidRDefault="00DA0B9B" w:rsidP="00DA0B9B">
      <w:pPr>
        <w:autoSpaceDE w:val="0"/>
        <w:autoSpaceDN w:val="0"/>
        <w:adjustRightInd w:val="0"/>
        <w:spacing w:after="0" w:line="240" w:lineRule="auto"/>
        <w:rPr>
          <w:rFonts w:cstheme="minorHAnsi"/>
          <w:bCs/>
          <w:color w:val="0070C0"/>
        </w:rPr>
      </w:pPr>
    </w:p>
    <w:p w14:paraId="3481EA38" w14:textId="77777777" w:rsidR="00DA0B9B" w:rsidRPr="00DE2466" w:rsidRDefault="00DA0B9B" w:rsidP="00DA0B9B">
      <w:pPr>
        <w:autoSpaceDE w:val="0"/>
        <w:autoSpaceDN w:val="0"/>
        <w:adjustRightInd w:val="0"/>
        <w:spacing w:after="0" w:line="240" w:lineRule="auto"/>
        <w:rPr>
          <w:rFonts w:cstheme="minorHAnsi"/>
          <w:bCs/>
          <w:color w:val="0070C0"/>
        </w:rPr>
      </w:pPr>
      <w:r w:rsidRPr="00DE2466">
        <w:rPr>
          <w:rFonts w:cstheme="minorHAnsi"/>
          <w:bCs/>
          <w:color w:val="0070C0"/>
        </w:rPr>
        <w:t xml:space="preserve">Based on these results, we believe the </w:t>
      </w:r>
      <w:r>
        <w:rPr>
          <w:rFonts w:cstheme="minorHAnsi"/>
          <w:bCs/>
          <w:color w:val="0070C0"/>
        </w:rPr>
        <w:t>Non-Emergent CABG Measure</w:t>
      </w:r>
      <w:r w:rsidRPr="00DE2466">
        <w:rPr>
          <w:rFonts w:cstheme="minorHAnsi"/>
          <w:bCs/>
          <w:color w:val="0070C0"/>
        </w:rPr>
        <w:t xml:space="preserve"> risk-adjustment model appropriately accounts for the impact of social risk factors on cost, and that the model overall appropriately aligns with the aforementioned NQF risk-adjustment evaluation criteria. </w:t>
      </w:r>
    </w:p>
    <w:p w14:paraId="77033517" w14:textId="77777777" w:rsidR="00DA0B9B" w:rsidRPr="00001D73" w:rsidRDefault="00DA0B9B" w:rsidP="00DA0B9B">
      <w:pPr>
        <w:autoSpaceDE w:val="0"/>
        <w:autoSpaceDN w:val="0"/>
        <w:adjustRightInd w:val="0"/>
        <w:spacing w:after="0" w:line="240" w:lineRule="auto"/>
        <w:rPr>
          <w:rFonts w:cstheme="minorHAnsi"/>
          <w:b/>
          <w:bCs/>
        </w:rPr>
      </w:pPr>
    </w:p>
    <w:p w14:paraId="5118AFE3" w14:textId="77777777" w:rsidR="00DA0B9B" w:rsidRPr="00D83E9F" w:rsidRDefault="00DA0B9B" w:rsidP="00DA0B9B">
      <w:pPr>
        <w:autoSpaceDE w:val="0"/>
        <w:autoSpaceDN w:val="0"/>
        <w:adjustRightInd w:val="0"/>
        <w:spacing w:after="0" w:line="240" w:lineRule="auto"/>
        <w:rPr>
          <w:rFonts w:cstheme="minorHAnsi"/>
          <w:bCs/>
        </w:rPr>
      </w:pPr>
      <w:r>
        <w:rPr>
          <w:rFonts w:cstheme="minorHAnsi"/>
          <w:b/>
          <w:bCs/>
        </w:rPr>
        <w:t>2b3.5.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xml:space="preserve">; what </w:t>
      </w:r>
      <w:r w:rsidRPr="00D83E9F">
        <w:rPr>
          <w:rFonts w:cstheme="minorHAnsi"/>
          <w:bCs/>
          <w:i/>
        </w:rPr>
        <w:t>statistical analysis was used</w:t>
      </w:r>
      <w:r w:rsidRPr="00D83E9F">
        <w:rPr>
          <w:rFonts w:cstheme="minorHAnsi"/>
          <w:bCs/>
        </w:rPr>
        <w:t>)</w:t>
      </w:r>
      <w:r w:rsidRPr="00D83E9F">
        <w:rPr>
          <w:rFonts w:cstheme="minorHAnsi"/>
          <w:bCs/>
        </w:rPr>
        <w:br/>
      </w:r>
    </w:p>
    <w:p w14:paraId="3B206D1C" w14:textId="77777777" w:rsidR="00DA0B9B" w:rsidRDefault="00DA0B9B" w:rsidP="00DA0B9B">
      <w:pPr>
        <w:autoSpaceDE w:val="0"/>
        <w:autoSpaceDN w:val="0"/>
        <w:adjustRightInd w:val="0"/>
        <w:spacing w:after="0" w:line="240" w:lineRule="auto"/>
        <w:rPr>
          <w:rFonts w:cstheme="minorHAnsi"/>
          <w:b/>
          <w:bCs/>
        </w:rPr>
      </w:pPr>
      <w:r w:rsidRPr="00D83E9F">
        <w:rPr>
          <w:rFonts w:cstheme="minorHAnsi"/>
          <w:bCs/>
          <w:i/>
        </w:rPr>
        <w:t>Provide the statistical results from testing the approach to controlling for differences in patient characteristics (case mix) below</w:t>
      </w:r>
      <w:r w:rsidRPr="00D83E9F">
        <w:rPr>
          <w:rFonts w:cstheme="minorHAnsi"/>
          <w:bCs/>
        </w:rPr>
        <w:t>.</w:t>
      </w:r>
      <w:r w:rsidRPr="00D83E9F">
        <w:rPr>
          <w:rFonts w:cstheme="minorHAnsi"/>
          <w:bCs/>
        </w:rPr>
        <w:br/>
      </w:r>
      <w:r w:rsidRPr="00D83E9F">
        <w:rPr>
          <w:rFonts w:cstheme="minorHAnsi"/>
          <w:b/>
          <w:bCs/>
          <w:i/>
        </w:rPr>
        <w:t xml:space="preserve">If stratified, skip to </w:t>
      </w:r>
      <w:hyperlink w:anchor="question2b49" w:history="1">
        <w:r w:rsidRPr="00D83E9F">
          <w:rPr>
            <w:rStyle w:val="Hyperlink"/>
            <w:rFonts w:cstheme="minorHAnsi"/>
            <w:b/>
            <w:bCs/>
            <w:i/>
          </w:rPr>
          <w:t>2b3.9</w:t>
        </w:r>
      </w:hyperlink>
    </w:p>
    <w:p w14:paraId="25BEEF3E" w14:textId="77777777" w:rsidR="00DA0B9B" w:rsidRPr="00B52DE3" w:rsidRDefault="00DA0B9B" w:rsidP="00DA0B9B">
      <w:pPr>
        <w:autoSpaceDE w:val="0"/>
        <w:autoSpaceDN w:val="0"/>
        <w:adjustRightInd w:val="0"/>
        <w:spacing w:after="0" w:line="240" w:lineRule="auto"/>
        <w:rPr>
          <w:rFonts w:cstheme="minorHAnsi"/>
          <w:bCs/>
          <w:color w:val="0070C0"/>
        </w:rPr>
      </w:pPr>
      <w:r>
        <w:rPr>
          <w:rFonts w:cstheme="minorHAnsi"/>
          <w:bCs/>
          <w:color w:val="0070C0"/>
        </w:rPr>
        <w:t>To</w:t>
      </w:r>
      <w:r w:rsidRPr="000C4CAB">
        <w:rPr>
          <w:rFonts w:cstheme="minorHAnsi"/>
          <w:bCs/>
          <w:color w:val="0070C0"/>
        </w:rPr>
        <w:t xml:space="preserve"> analyze the validity of</w:t>
      </w:r>
      <w:r>
        <w:rPr>
          <w:rFonts w:cstheme="minorHAnsi"/>
          <w:bCs/>
          <w:color w:val="0070C0"/>
        </w:rPr>
        <w:t xml:space="preserve"> the current risk adjustment model, </w:t>
      </w:r>
      <w:r w:rsidRPr="000C4CAB">
        <w:rPr>
          <w:rFonts w:cstheme="minorHAnsi"/>
          <w:bCs/>
          <w:color w:val="0070C0"/>
        </w:rPr>
        <w:t>we examined three analyses: (a) R-squared and adjusted R-squared for the regression models</w:t>
      </w:r>
      <w:r>
        <w:rPr>
          <w:rFonts w:cstheme="minorHAnsi"/>
          <w:bCs/>
          <w:color w:val="0070C0"/>
        </w:rPr>
        <w:t>,</w:t>
      </w:r>
      <w:r w:rsidRPr="000C4CAB">
        <w:rPr>
          <w:rFonts w:cstheme="minorHAnsi"/>
          <w:bCs/>
          <w:color w:val="0070C0"/>
        </w:rPr>
        <w:t xml:space="preserve"> </w:t>
      </w:r>
      <w:r>
        <w:rPr>
          <w:rFonts w:cstheme="minorHAnsi"/>
          <w:bCs/>
          <w:color w:val="0070C0"/>
        </w:rPr>
        <w:t xml:space="preserve">(b) </w:t>
      </w:r>
      <w:r w:rsidRPr="000C4CAB">
        <w:rPr>
          <w:rFonts w:cstheme="minorHAnsi"/>
          <w:bCs/>
          <w:color w:val="0070C0"/>
        </w:rPr>
        <w:t>predictive ratios to examine the fit of the models at different l</w:t>
      </w:r>
      <w:r>
        <w:rPr>
          <w:rFonts w:cstheme="minorHAnsi"/>
          <w:bCs/>
          <w:color w:val="0070C0"/>
        </w:rPr>
        <w:t>evels of patient complexity,</w:t>
      </w:r>
      <w:r w:rsidRPr="000C4CAB">
        <w:rPr>
          <w:rFonts w:cstheme="minorHAnsi"/>
          <w:bCs/>
          <w:color w:val="0070C0"/>
        </w:rPr>
        <w:t xml:space="preserve"> and </w:t>
      </w:r>
      <w:r w:rsidRPr="00285698">
        <w:rPr>
          <w:rFonts w:cstheme="minorHAnsi"/>
          <w:bCs/>
          <w:color w:val="0070C0"/>
        </w:rPr>
        <w:t>(c) coefficient estimates, standard errors, and p-values for the risk-adjustment model.</w:t>
      </w:r>
      <w:r w:rsidRPr="00B52DE3">
        <w:rPr>
          <w:rFonts w:cstheme="minorHAnsi"/>
          <w:bCs/>
          <w:color w:val="0070C0"/>
        </w:rPr>
        <w:t xml:space="preserve"> </w:t>
      </w:r>
    </w:p>
    <w:p w14:paraId="28ECD6C5" w14:textId="77777777" w:rsidR="00DA0B9B" w:rsidRPr="00517BA3" w:rsidRDefault="00DA0B9B" w:rsidP="00DA0B9B">
      <w:pPr>
        <w:numPr>
          <w:ilvl w:val="0"/>
          <w:numId w:val="11"/>
        </w:numPr>
        <w:autoSpaceDE w:val="0"/>
        <w:autoSpaceDN w:val="0"/>
        <w:adjustRightInd w:val="0"/>
        <w:spacing w:after="0" w:line="240" w:lineRule="auto"/>
        <w:rPr>
          <w:rFonts w:cstheme="minorHAnsi"/>
          <w:bCs/>
          <w:color w:val="0070C0"/>
        </w:rPr>
      </w:pPr>
      <w:r w:rsidRPr="00517BA3">
        <w:rPr>
          <w:rFonts w:cstheme="minorHAnsi"/>
          <w:bCs/>
          <w:i/>
          <w:color w:val="0070C0"/>
        </w:rPr>
        <w:t>R-squared and adjusted R-squared</w:t>
      </w:r>
      <w:r w:rsidRPr="00517BA3">
        <w:rPr>
          <w:rFonts w:cstheme="minorHAnsi"/>
          <w:bCs/>
          <w:color w:val="0070C0"/>
        </w:rPr>
        <w:t xml:space="preserve"> were calculated to analyze the proportion of observed cost variation explained by the risk-adjustment model. Please note that the results of these tests should be evaluated in the broader context of the </w:t>
      </w:r>
      <w:r>
        <w:rPr>
          <w:rFonts w:cstheme="minorHAnsi"/>
          <w:bCs/>
          <w:color w:val="0070C0"/>
        </w:rPr>
        <w:t>Non-Emergent CABG</w:t>
      </w:r>
      <w:r w:rsidRPr="00517BA3">
        <w:rPr>
          <w:rFonts w:cstheme="minorHAnsi"/>
          <w:bCs/>
          <w:color w:val="0070C0"/>
        </w:rPr>
        <w:t xml:space="preserve"> Measure. First, a valid measure could have a lower R-squared (i.e., the model not explaining much of the observed cost variation) if observed cost </w:t>
      </w:r>
      <w:r w:rsidRPr="002D18D8">
        <w:rPr>
          <w:rFonts w:cstheme="minorHAnsi"/>
          <w:bCs/>
          <w:color w:val="0070C0"/>
        </w:rPr>
        <w:t xml:space="preserve">(appropriately) varies </w:t>
      </w:r>
      <w:r w:rsidRPr="00517BA3">
        <w:rPr>
          <w:rFonts w:cstheme="minorHAnsi"/>
          <w:bCs/>
          <w:color w:val="0070C0"/>
        </w:rPr>
        <w:t xml:space="preserve">more with provider performance than patient </w:t>
      </w:r>
      <w:r w:rsidRPr="00517BA3">
        <w:rPr>
          <w:rFonts w:cstheme="minorHAnsi"/>
          <w:bCs/>
          <w:color w:val="0070C0"/>
        </w:rPr>
        <w:lastRenderedPageBreak/>
        <w:t>characteristics, as the model uses patient-level variables. Secondly, this measure utilizes service assignment rules to ensure that only clinically relevant costs are included in the measure.</w:t>
      </w:r>
      <w:r>
        <w:rPr>
          <w:rFonts w:cstheme="minorHAnsi"/>
          <w:bCs/>
          <w:color w:val="0070C0"/>
        </w:rPr>
        <w:t xml:space="preserve"> The exclusion of clinically unrelated services may however reduce the explained portion of the cost variance and the model’s R-squared, as these services may be well predicted by patient risk factors in the model.</w:t>
      </w:r>
      <w:r w:rsidRPr="00517BA3">
        <w:rPr>
          <w:rFonts w:cstheme="minorHAnsi"/>
          <w:bCs/>
          <w:color w:val="0070C0"/>
        </w:rPr>
        <w:t xml:space="preserve"> In this case too, a low R-squared does not necessarily indicate that a measure is not valid, while a high R-squared does not necessarily indicate the opposite. These results are discussed in Section 2b3.6.</w:t>
      </w:r>
    </w:p>
    <w:p w14:paraId="20F814B7" w14:textId="77777777" w:rsidR="00DA0B9B" w:rsidRPr="00B52DE3" w:rsidRDefault="00DA0B9B" w:rsidP="00DA0B9B">
      <w:pPr>
        <w:pStyle w:val="ListParagraph"/>
        <w:numPr>
          <w:ilvl w:val="0"/>
          <w:numId w:val="11"/>
        </w:numPr>
        <w:autoSpaceDE w:val="0"/>
        <w:autoSpaceDN w:val="0"/>
        <w:adjustRightInd w:val="0"/>
        <w:spacing w:after="0" w:line="240" w:lineRule="auto"/>
        <w:rPr>
          <w:rFonts w:cstheme="minorHAnsi"/>
          <w:bCs/>
          <w:color w:val="0070C0"/>
        </w:rPr>
      </w:pPr>
      <w:r w:rsidRPr="00B52DE3">
        <w:rPr>
          <w:rFonts w:cstheme="minorHAnsi"/>
          <w:bCs/>
          <w:color w:val="0070C0"/>
        </w:rPr>
        <w:t xml:space="preserve">The </w:t>
      </w:r>
      <w:r w:rsidRPr="00B52DE3">
        <w:rPr>
          <w:rFonts w:cstheme="minorHAnsi"/>
          <w:bCs/>
          <w:i/>
          <w:color w:val="0070C0"/>
        </w:rPr>
        <w:t>predictive ratios</w:t>
      </w:r>
      <w:r w:rsidRPr="00B52DE3">
        <w:rPr>
          <w:rFonts w:cstheme="minorHAnsi"/>
          <w:bCs/>
          <w:color w:val="0070C0"/>
        </w:rPr>
        <w:t xml:space="preserve"> aim to examine the fit of the model at different levels of patient complexity to examine the model’s ability to predict both very low and high cost episodes. Specifically, we created a “risk decile” for each episode calculated as the expected cost values from each episode divided by the national average expected cost value</w:t>
      </w:r>
      <w:r>
        <w:rPr>
          <w:rFonts w:cstheme="minorHAnsi"/>
          <w:bCs/>
          <w:color w:val="0070C0"/>
        </w:rPr>
        <w:t xml:space="preserve">. </w:t>
      </w:r>
      <w:r w:rsidRPr="00CF4EBE">
        <w:rPr>
          <w:rFonts w:cstheme="minorHAnsi"/>
          <w:bCs/>
          <w:color w:val="0070C0"/>
        </w:rPr>
        <w:t xml:space="preserve">After arranging episodes into deciles based on the risk, we calculated the average predictive ratio for each decile by using the formula of average(expected cost)/average(observed cost) for all episodes in each decile. </w:t>
      </w:r>
      <w:r>
        <w:rPr>
          <w:rFonts w:cstheme="minorHAnsi"/>
          <w:bCs/>
          <w:color w:val="0070C0"/>
        </w:rPr>
        <w:t>These are discussed in Section 2b3.8.</w:t>
      </w:r>
    </w:p>
    <w:p w14:paraId="683F7F74" w14:textId="77777777" w:rsidR="00DA0B9B" w:rsidRPr="00291C60" w:rsidRDefault="00DA0B9B" w:rsidP="00DA0B9B">
      <w:pPr>
        <w:pStyle w:val="ListParagraph"/>
        <w:numPr>
          <w:ilvl w:val="0"/>
          <w:numId w:val="11"/>
        </w:numPr>
        <w:autoSpaceDE w:val="0"/>
        <w:autoSpaceDN w:val="0"/>
        <w:adjustRightInd w:val="0"/>
        <w:spacing w:after="0" w:line="240" w:lineRule="auto"/>
        <w:rPr>
          <w:rFonts w:cstheme="minorHAnsi"/>
          <w:bCs/>
          <w:color w:val="0070C0"/>
        </w:rPr>
      </w:pPr>
      <w:r w:rsidRPr="00B52DE3">
        <w:rPr>
          <w:rFonts w:cstheme="minorHAnsi"/>
          <w:bCs/>
          <w:i/>
          <w:color w:val="0070C0"/>
        </w:rPr>
        <w:t>Coefficient estimates, standard errors, and p-values</w:t>
      </w:r>
      <w:r w:rsidRPr="00B52DE3">
        <w:rPr>
          <w:rFonts w:cstheme="minorHAnsi"/>
          <w:bCs/>
          <w:color w:val="0070C0"/>
        </w:rPr>
        <w:t xml:space="preserve"> were </w:t>
      </w:r>
      <w:r>
        <w:rPr>
          <w:rFonts w:cstheme="minorHAnsi"/>
          <w:bCs/>
          <w:color w:val="0070C0"/>
        </w:rPr>
        <w:t>produced</w:t>
      </w:r>
      <w:r w:rsidRPr="00B52DE3">
        <w:rPr>
          <w:rFonts w:cstheme="minorHAnsi"/>
          <w:bCs/>
          <w:color w:val="0070C0"/>
        </w:rPr>
        <w:t xml:space="preserve"> to consider the extent to which the coefficients for the risk factor covariates are predictive of episode</w:t>
      </w:r>
      <w:r w:rsidRPr="000C4CAB">
        <w:rPr>
          <w:rFonts w:cstheme="minorHAnsi"/>
          <w:bCs/>
          <w:color w:val="0070C0"/>
        </w:rPr>
        <w:t xml:space="preserve"> cost. </w:t>
      </w:r>
      <w:r w:rsidRPr="00067CA3">
        <w:rPr>
          <w:rFonts w:cstheme="minorHAnsi"/>
          <w:bCs/>
          <w:color w:val="0070C0"/>
        </w:rPr>
        <w:t xml:space="preserve">Results for individual risk adjustment variables should be viewed in </w:t>
      </w:r>
      <w:r>
        <w:rPr>
          <w:rFonts w:cstheme="minorHAnsi"/>
          <w:bCs/>
          <w:color w:val="0070C0"/>
        </w:rPr>
        <w:t xml:space="preserve">the context of the entire model, </w:t>
      </w:r>
      <w:r w:rsidRPr="00067CA3">
        <w:rPr>
          <w:rFonts w:cstheme="minorHAnsi"/>
          <w:bCs/>
          <w:color w:val="0070C0"/>
        </w:rPr>
        <w:t>rather than being analyzed individually. For instance, coefficients indicate the incremental effect of a model variable, holding all other variables fixed. As another example, interactions between model variables must be interpreted in concert with the effects of those variables in isolation. Predictive ratios are provided to aid in the overall assessment of the predictive abili</w:t>
      </w:r>
      <w:r>
        <w:rPr>
          <w:rFonts w:cstheme="minorHAnsi"/>
          <w:bCs/>
          <w:color w:val="0070C0"/>
        </w:rPr>
        <w:t>ty of the risk adjustment model</w:t>
      </w:r>
      <w:r w:rsidRPr="00067CA3">
        <w:rPr>
          <w:rFonts w:cstheme="minorHAnsi"/>
          <w:bCs/>
          <w:color w:val="0070C0"/>
        </w:rPr>
        <w:t>.</w:t>
      </w:r>
      <w:r>
        <w:rPr>
          <w:rFonts w:cstheme="minorHAnsi"/>
          <w:bCs/>
          <w:color w:val="0070C0"/>
        </w:rPr>
        <w:t xml:space="preserve"> These results are provided in Appendix Tables 2b3.1.1 and 2b3.7.</w:t>
      </w:r>
    </w:p>
    <w:p w14:paraId="67097036" w14:textId="77777777" w:rsidR="00DA0B9B" w:rsidRDefault="00DA0B9B" w:rsidP="00DA0B9B">
      <w:pPr>
        <w:autoSpaceDE w:val="0"/>
        <w:autoSpaceDN w:val="0"/>
        <w:adjustRightInd w:val="0"/>
        <w:spacing w:after="0" w:line="240" w:lineRule="auto"/>
        <w:rPr>
          <w:rFonts w:cstheme="minorHAnsi"/>
          <w:b/>
          <w:bCs/>
        </w:rPr>
      </w:pPr>
    </w:p>
    <w:p w14:paraId="7022B71C" w14:textId="77777777" w:rsidR="00DA0B9B" w:rsidRDefault="00DA0B9B" w:rsidP="00DA0B9B">
      <w:pPr>
        <w:autoSpaceDE w:val="0"/>
        <w:autoSpaceDN w:val="0"/>
        <w:adjustRightInd w:val="0"/>
        <w:spacing w:after="0" w:line="240" w:lineRule="auto"/>
        <w:rPr>
          <w:rFonts w:cstheme="minorHAnsi"/>
          <w:b/>
          <w:bCs/>
        </w:rPr>
      </w:pPr>
      <w:r>
        <w:rPr>
          <w:rFonts w:cstheme="minorHAnsi"/>
          <w:b/>
          <w:bCs/>
        </w:rPr>
        <w:t xml:space="preserve">2b3.6. </w:t>
      </w:r>
      <w:r w:rsidRPr="00001D73">
        <w:rPr>
          <w:rFonts w:cstheme="minorHAnsi"/>
          <w:b/>
          <w:bCs/>
        </w:rPr>
        <w:t>Statistical Risk Model Discrimination Statistics</w:t>
      </w:r>
      <w:r>
        <w:rPr>
          <w:rFonts w:cstheme="minorHAnsi"/>
          <w:bCs/>
        </w:rPr>
        <w:t xml:space="preserve"> (</w:t>
      </w:r>
      <w:r w:rsidRPr="003605B4">
        <w:rPr>
          <w:rFonts w:cstheme="minorHAnsi"/>
          <w:bCs/>
          <w:i/>
        </w:rPr>
        <w:t>e.g., c-statistic, R-squared</w:t>
      </w:r>
      <w:r>
        <w:rPr>
          <w:rFonts w:cstheme="minorHAnsi"/>
          <w:bCs/>
        </w:rPr>
        <w:t>)</w:t>
      </w:r>
      <w:r>
        <w:rPr>
          <w:rFonts w:cstheme="minorHAnsi"/>
          <w:b/>
          <w:bCs/>
        </w:rPr>
        <w:t>:</w:t>
      </w:r>
      <w:r w:rsidRPr="00001D73">
        <w:rPr>
          <w:rFonts w:cstheme="minorHAnsi"/>
          <w:b/>
          <w:bCs/>
        </w:rPr>
        <w:t xml:space="preserve">  </w:t>
      </w:r>
    </w:p>
    <w:p w14:paraId="2F013D37" w14:textId="77777777" w:rsidR="00DA0B9B" w:rsidRPr="00CF4EBE" w:rsidRDefault="00DA0B9B" w:rsidP="00DA0B9B">
      <w:pPr>
        <w:autoSpaceDE w:val="0"/>
        <w:autoSpaceDN w:val="0"/>
        <w:adjustRightInd w:val="0"/>
        <w:spacing w:after="0" w:line="240" w:lineRule="auto"/>
        <w:rPr>
          <w:rFonts w:cstheme="minorHAnsi"/>
          <w:bCs/>
          <w:color w:val="0070C0"/>
        </w:rPr>
      </w:pPr>
      <w:r w:rsidRPr="00CF4EBE">
        <w:rPr>
          <w:rFonts w:cstheme="minorHAnsi"/>
          <w:bCs/>
          <w:color w:val="0070C0"/>
        </w:rPr>
        <w:t xml:space="preserve">The overall R-squared for the </w:t>
      </w:r>
      <w:r>
        <w:rPr>
          <w:rFonts w:cstheme="minorHAnsi"/>
          <w:bCs/>
          <w:color w:val="0070C0"/>
        </w:rPr>
        <w:t>Non-Emergent CABG Measure</w:t>
      </w:r>
      <w:r w:rsidRPr="00CF4EBE">
        <w:rPr>
          <w:rFonts w:cstheme="minorHAnsi"/>
          <w:bCs/>
          <w:color w:val="0070C0"/>
        </w:rPr>
        <w:t>, calculated by dividing explained sum of squares by total sum of squares</w:t>
      </w:r>
      <w:r>
        <w:rPr>
          <w:rFonts w:cstheme="minorHAnsi"/>
          <w:bCs/>
          <w:color w:val="0070C0"/>
        </w:rPr>
        <w:t>,</w:t>
      </w:r>
      <w:r w:rsidRPr="00CF4EBE">
        <w:rPr>
          <w:rFonts w:cstheme="minorHAnsi"/>
          <w:bCs/>
          <w:color w:val="0070C0"/>
        </w:rPr>
        <w:t xml:space="preserve"> </w:t>
      </w:r>
      <w:r w:rsidRPr="00186AD4">
        <w:rPr>
          <w:rFonts w:cstheme="minorHAnsi"/>
          <w:bCs/>
          <w:color w:val="0070C0"/>
        </w:rPr>
        <w:t>is 0.442. The adjusted R-squared is 0.440.</w:t>
      </w:r>
    </w:p>
    <w:p w14:paraId="5D96356E" w14:textId="77777777" w:rsidR="00DA0B9B" w:rsidRPr="00CF4EBE" w:rsidRDefault="00DA0B9B" w:rsidP="00DA0B9B">
      <w:pPr>
        <w:autoSpaceDE w:val="0"/>
        <w:autoSpaceDN w:val="0"/>
        <w:adjustRightInd w:val="0"/>
        <w:spacing w:after="0" w:line="240" w:lineRule="auto"/>
        <w:rPr>
          <w:rFonts w:cstheme="minorHAnsi"/>
          <w:bCs/>
          <w:color w:val="0070C0"/>
        </w:rPr>
      </w:pPr>
    </w:p>
    <w:p w14:paraId="668C9D9E" w14:textId="77777777" w:rsidR="00DA0B9B" w:rsidRPr="002C278F" w:rsidRDefault="00DA0B9B" w:rsidP="00DA0B9B">
      <w:pPr>
        <w:autoSpaceDE w:val="0"/>
        <w:autoSpaceDN w:val="0"/>
        <w:adjustRightInd w:val="0"/>
        <w:spacing w:after="0" w:line="240" w:lineRule="auto"/>
        <w:rPr>
          <w:rFonts w:cstheme="minorHAnsi"/>
          <w:b/>
          <w:bCs/>
          <w:color w:val="0070C0"/>
        </w:rPr>
      </w:pPr>
      <w:r w:rsidRPr="00CF4EBE">
        <w:rPr>
          <w:rFonts w:cstheme="minorHAnsi"/>
          <w:bCs/>
          <w:color w:val="0070C0"/>
        </w:rPr>
        <w:t>Appendix Table 2b3.1.1 also includes regression coefficients and standard errors for each of the covariates us</w:t>
      </w:r>
      <w:r>
        <w:rPr>
          <w:rFonts w:cstheme="minorHAnsi"/>
          <w:bCs/>
          <w:color w:val="0070C0"/>
        </w:rPr>
        <w:t xml:space="preserve">ed in the risk adjustment model. </w:t>
      </w:r>
      <w:r w:rsidRPr="00CF4EBE">
        <w:rPr>
          <w:rFonts w:cstheme="minorHAnsi"/>
          <w:bCs/>
          <w:color w:val="0070C0"/>
        </w:rPr>
        <w:t>More information on discrimination testing for the CMS-HCC model can be found at Pope et al. 2011.</w:t>
      </w:r>
      <w:r w:rsidRPr="00CF4EBE">
        <w:rPr>
          <w:rFonts w:cstheme="minorHAnsi"/>
          <w:bCs/>
          <w:color w:val="0070C0"/>
          <w:vertAlign w:val="superscript"/>
        </w:rPr>
        <w:footnoteReference w:id="20"/>
      </w:r>
    </w:p>
    <w:p w14:paraId="3B879C60" w14:textId="77777777" w:rsidR="00DA0B9B" w:rsidRPr="00001D73" w:rsidRDefault="00DA0B9B" w:rsidP="00DA0B9B">
      <w:pPr>
        <w:autoSpaceDE w:val="0"/>
        <w:autoSpaceDN w:val="0"/>
        <w:adjustRightInd w:val="0"/>
        <w:spacing w:after="0" w:line="240" w:lineRule="auto"/>
        <w:rPr>
          <w:rFonts w:cstheme="minorHAnsi"/>
          <w:b/>
          <w:bCs/>
        </w:rPr>
      </w:pPr>
    </w:p>
    <w:p w14:paraId="5C86F0E1" w14:textId="77777777" w:rsidR="00DA0B9B" w:rsidRDefault="00DA0B9B" w:rsidP="00DA0B9B">
      <w:pPr>
        <w:autoSpaceDE w:val="0"/>
        <w:autoSpaceDN w:val="0"/>
        <w:adjustRightInd w:val="0"/>
        <w:spacing w:after="0" w:line="240" w:lineRule="auto"/>
        <w:rPr>
          <w:rFonts w:cstheme="minorHAnsi"/>
          <w:bCs/>
        </w:rPr>
      </w:pPr>
      <w:r>
        <w:rPr>
          <w:rFonts w:cstheme="minorHAnsi"/>
          <w:b/>
          <w:bCs/>
        </w:rPr>
        <w:t xml:space="preserve">2b3.7. Statistical </w:t>
      </w:r>
      <w:r w:rsidRPr="00A25024">
        <w:rPr>
          <w:rFonts w:cstheme="minorHAnsi"/>
          <w:b/>
          <w:bCs/>
        </w:rPr>
        <w:t>Risk Model Calibration Statistics</w:t>
      </w:r>
      <w:r>
        <w:rPr>
          <w:rFonts w:cstheme="minorHAnsi"/>
          <w:b/>
          <w:bCs/>
        </w:rPr>
        <w:t xml:space="preserve"> </w:t>
      </w:r>
      <w:r w:rsidRPr="003605B4">
        <w:rPr>
          <w:rFonts w:cstheme="minorHAnsi"/>
          <w:bCs/>
        </w:rPr>
        <w:t>(</w:t>
      </w:r>
      <w:r w:rsidRPr="003605B4">
        <w:rPr>
          <w:rFonts w:cstheme="minorHAnsi"/>
          <w:bCs/>
          <w:i/>
        </w:rPr>
        <w:t>e.g., Hosmer-Lemeshow statistic</w:t>
      </w:r>
      <w:r w:rsidRPr="003605B4">
        <w:rPr>
          <w:rFonts w:cstheme="minorHAnsi"/>
          <w:bCs/>
        </w:rPr>
        <w:t>)</w:t>
      </w:r>
      <w:r w:rsidRPr="00A25024">
        <w:rPr>
          <w:rFonts w:cstheme="minorHAnsi"/>
          <w:bCs/>
        </w:rPr>
        <w:t xml:space="preserve">:  </w:t>
      </w:r>
    </w:p>
    <w:p w14:paraId="3D1475A4" w14:textId="72EB2D3D" w:rsidR="00DA0B9B" w:rsidRPr="00D525F3" w:rsidRDefault="00DA0B9B" w:rsidP="00DA0B9B">
      <w:pPr>
        <w:autoSpaceDE w:val="0"/>
        <w:autoSpaceDN w:val="0"/>
        <w:adjustRightInd w:val="0"/>
        <w:spacing w:after="0" w:line="240" w:lineRule="auto"/>
        <w:rPr>
          <w:rFonts w:cstheme="minorHAnsi"/>
          <w:b/>
          <w:bCs/>
          <w:color w:val="0070C0"/>
        </w:rPr>
      </w:pPr>
      <w:r w:rsidRPr="00D525F3">
        <w:rPr>
          <w:rFonts w:cstheme="minorHAnsi"/>
          <w:bCs/>
          <w:color w:val="0070C0"/>
        </w:rPr>
        <w:t>We interpret calibration as how accurately the risk model’s predictions match the actual episode cost. We calculate the average</w:t>
      </w:r>
      <w:r>
        <w:rPr>
          <w:rFonts w:cstheme="minorHAnsi"/>
          <w:bCs/>
          <w:color w:val="0070C0"/>
        </w:rPr>
        <w:t xml:space="preserve"> O/E cost</w:t>
      </w:r>
      <w:r w:rsidRPr="00D525F3">
        <w:rPr>
          <w:rFonts w:cstheme="minorHAnsi"/>
          <w:bCs/>
          <w:color w:val="0070C0"/>
        </w:rPr>
        <w:t xml:space="preserve"> ratio for each risk decile to demonstrate the model’s prediction accuracy for both high and low cost episodes. The average observed to expected cost is gene</w:t>
      </w:r>
      <w:r w:rsidR="00AC650A">
        <w:rPr>
          <w:rFonts w:cstheme="minorHAnsi"/>
          <w:bCs/>
          <w:color w:val="0070C0"/>
        </w:rPr>
        <w:t>rally close to one, 0.99 to 1.03, across</w:t>
      </w:r>
      <w:r>
        <w:rPr>
          <w:rFonts w:cstheme="minorHAnsi"/>
          <w:bCs/>
          <w:color w:val="0070C0"/>
        </w:rPr>
        <w:t xml:space="preserve"> </w:t>
      </w:r>
      <w:r w:rsidRPr="00D525F3">
        <w:rPr>
          <w:rFonts w:cstheme="minorHAnsi"/>
          <w:bCs/>
          <w:color w:val="0070C0"/>
        </w:rPr>
        <w:t>risk deciles, indicating that the model is accurately predicting actual episode cost across risk deciles. Full results can be seen in A</w:t>
      </w:r>
      <w:r>
        <w:rPr>
          <w:rFonts w:cstheme="minorHAnsi"/>
          <w:bCs/>
          <w:color w:val="0070C0"/>
        </w:rPr>
        <w:t>ppendix Table 2b3.7.</w:t>
      </w:r>
      <w:r w:rsidRPr="00D525F3">
        <w:rPr>
          <w:rFonts w:cstheme="minorHAnsi"/>
          <w:bCs/>
          <w:color w:val="0070C0"/>
        </w:rPr>
        <w:t xml:space="preserve"> </w:t>
      </w:r>
    </w:p>
    <w:p w14:paraId="54F1E546" w14:textId="77777777" w:rsidR="00DA0B9B" w:rsidRDefault="00DA0B9B" w:rsidP="00DA0B9B">
      <w:pPr>
        <w:autoSpaceDE w:val="0"/>
        <w:autoSpaceDN w:val="0"/>
        <w:adjustRightInd w:val="0"/>
        <w:spacing w:after="0" w:line="240" w:lineRule="auto"/>
        <w:rPr>
          <w:rFonts w:cstheme="minorHAnsi"/>
          <w:b/>
          <w:bCs/>
        </w:rPr>
      </w:pPr>
    </w:p>
    <w:p w14:paraId="5EF5A052" w14:textId="77777777" w:rsidR="00DA0B9B" w:rsidRDefault="00DA0B9B" w:rsidP="00DA0B9B">
      <w:pPr>
        <w:autoSpaceDE w:val="0"/>
        <w:autoSpaceDN w:val="0"/>
        <w:adjustRightInd w:val="0"/>
        <w:spacing w:after="0" w:line="240" w:lineRule="auto"/>
        <w:rPr>
          <w:rFonts w:cstheme="minorHAnsi"/>
          <w:bCs/>
        </w:rPr>
      </w:pPr>
      <w:r>
        <w:rPr>
          <w:rFonts w:cstheme="minorHAnsi"/>
          <w:b/>
          <w:bCs/>
        </w:rPr>
        <w:t xml:space="preserve">2b3.8. Statistical </w:t>
      </w:r>
      <w:r w:rsidRPr="00A25024">
        <w:rPr>
          <w:rFonts w:cstheme="minorHAnsi"/>
          <w:b/>
          <w:bCs/>
        </w:rPr>
        <w:t>Risk Model Calibration – Risk decile plots or calibration curves</w:t>
      </w:r>
      <w:r w:rsidRPr="00A25024">
        <w:rPr>
          <w:rFonts w:cstheme="minorHAnsi"/>
          <w:bCs/>
        </w:rPr>
        <w:t>:</w:t>
      </w:r>
    </w:p>
    <w:p w14:paraId="74FD42F3" w14:textId="0DF5A44A" w:rsidR="00DA0B9B" w:rsidRPr="00053B2C" w:rsidRDefault="00DA0B9B" w:rsidP="00DA0B9B">
      <w:pPr>
        <w:autoSpaceDE w:val="0"/>
        <w:autoSpaceDN w:val="0"/>
        <w:adjustRightInd w:val="0"/>
        <w:spacing w:after="0" w:line="240" w:lineRule="auto"/>
        <w:rPr>
          <w:rFonts w:cstheme="minorHAnsi"/>
          <w:bCs/>
          <w:color w:val="0070C0"/>
        </w:rPr>
      </w:pPr>
      <w:r w:rsidRPr="00053B2C">
        <w:rPr>
          <w:rFonts w:cstheme="minorHAnsi"/>
          <w:bCs/>
          <w:color w:val="0070C0"/>
        </w:rPr>
        <w:t>Analysis of predictive ratios by risk decile for the measure shows that the model has consistent ratios across risk score dec</w:t>
      </w:r>
      <w:r>
        <w:rPr>
          <w:rFonts w:cstheme="minorHAnsi"/>
          <w:bCs/>
          <w:color w:val="0070C0"/>
        </w:rPr>
        <w:t>iles, with each decile havi</w:t>
      </w:r>
      <w:r w:rsidR="00AC650A">
        <w:rPr>
          <w:rFonts w:cstheme="minorHAnsi"/>
          <w:bCs/>
          <w:color w:val="0070C0"/>
        </w:rPr>
        <w:t>ng an average ratio between 0.97 and 1.01</w:t>
      </w:r>
      <w:r w:rsidRPr="00053B2C">
        <w:rPr>
          <w:rFonts w:cstheme="minorHAnsi"/>
          <w:bCs/>
          <w:color w:val="0070C0"/>
        </w:rPr>
        <w:t>. Full results can be seen in Appendix Table 2b3.7.</w:t>
      </w:r>
    </w:p>
    <w:p w14:paraId="32FE5E09" w14:textId="77777777" w:rsidR="00DA0B9B" w:rsidRDefault="00DA0B9B" w:rsidP="00DA0B9B">
      <w:pPr>
        <w:autoSpaceDE w:val="0"/>
        <w:autoSpaceDN w:val="0"/>
        <w:adjustRightInd w:val="0"/>
        <w:spacing w:after="0" w:line="240" w:lineRule="auto"/>
        <w:rPr>
          <w:rFonts w:cstheme="minorHAnsi"/>
          <w:b/>
        </w:rPr>
      </w:pPr>
    </w:p>
    <w:p w14:paraId="636A5F8D" w14:textId="77777777" w:rsidR="00DA0B9B" w:rsidRDefault="00DA0B9B" w:rsidP="00DA0B9B">
      <w:pPr>
        <w:autoSpaceDE w:val="0"/>
        <w:autoSpaceDN w:val="0"/>
        <w:adjustRightInd w:val="0"/>
        <w:spacing w:after="0" w:line="240" w:lineRule="auto"/>
        <w:rPr>
          <w:rFonts w:cstheme="minorHAnsi"/>
          <w:bCs/>
        </w:rPr>
      </w:pPr>
      <w:bookmarkStart w:id="14" w:name="question2b49"/>
      <w:bookmarkEnd w:id="14"/>
      <w:r>
        <w:rPr>
          <w:rFonts w:cstheme="minorHAnsi"/>
          <w:b/>
        </w:rPr>
        <w:t xml:space="preserve">2b3.9. Results of </w:t>
      </w:r>
      <w:r w:rsidRPr="00A25024">
        <w:rPr>
          <w:rFonts w:cstheme="minorHAnsi"/>
          <w:b/>
        </w:rPr>
        <w:t>Risk Stratification Analysis</w:t>
      </w:r>
      <w:r w:rsidRPr="00A25024">
        <w:rPr>
          <w:rFonts w:cstheme="minorHAnsi"/>
        </w:rPr>
        <w:t xml:space="preserve">: </w:t>
      </w:r>
      <w:r>
        <w:rPr>
          <w:rFonts w:cstheme="minorHAnsi"/>
          <w:bCs/>
        </w:rPr>
        <w:t xml:space="preserve"> </w:t>
      </w:r>
    </w:p>
    <w:p w14:paraId="6777D034" w14:textId="59E415F2" w:rsidR="00BB1AD5" w:rsidRPr="00A25024" w:rsidRDefault="00BB1AD5" w:rsidP="00DA0B9B">
      <w:pPr>
        <w:autoSpaceDE w:val="0"/>
        <w:autoSpaceDN w:val="0"/>
        <w:adjustRightInd w:val="0"/>
        <w:spacing w:after="0" w:line="240" w:lineRule="auto"/>
        <w:rPr>
          <w:rFonts w:cstheme="minorHAnsi"/>
          <w:bCs/>
        </w:rPr>
      </w:pPr>
      <w:r>
        <w:rPr>
          <w:rFonts w:cstheme="minorHAnsi"/>
          <w:bCs/>
          <w:color w:val="0070C0"/>
        </w:rPr>
        <w:t xml:space="preserve">As mentioned in Sections 2b3.1.1 and 2b3.3a, we stratify Non-Emergent CABG episodes into subgroups to ensure that the measure appropriately accounts for differences in patient risk across these </w:t>
      </w:r>
      <w:r>
        <w:rPr>
          <w:rFonts w:cstheme="minorHAnsi"/>
          <w:bCs/>
          <w:color w:val="0070C0"/>
        </w:rPr>
        <w:lastRenderedPageBreak/>
        <w:t>populations during clinician performance measurement. Based on this, we would not expect differences in patient complexity (e.g., from different scopes of CABG procedures) to be reflected in average subgroup measure scores (i.e., O/E cost ratios). In line with this expectation, average O/E cost scores are similar across subgroups (e.g., 1.02 for CABG with concurrent aortic valve replacement, and 1.01 for isolated CABG, at the TIN level), showing the efficacy of these stratifications.</w:t>
      </w:r>
    </w:p>
    <w:p w14:paraId="3A95CA97" w14:textId="77777777" w:rsidR="00DA0B9B" w:rsidRDefault="00DA0B9B" w:rsidP="00DA0B9B">
      <w:pPr>
        <w:autoSpaceDE w:val="0"/>
        <w:autoSpaceDN w:val="0"/>
        <w:adjustRightInd w:val="0"/>
        <w:spacing w:after="0" w:line="240" w:lineRule="auto"/>
        <w:rPr>
          <w:rFonts w:cstheme="minorHAnsi"/>
          <w:b/>
          <w:bCs/>
        </w:rPr>
      </w:pPr>
    </w:p>
    <w:p w14:paraId="0318D60D" w14:textId="48EB9A4A" w:rsidR="00DA0B9B" w:rsidRPr="0062035D" w:rsidRDefault="00DA0B9B" w:rsidP="00DA0B9B">
      <w:pPr>
        <w:autoSpaceDE w:val="0"/>
        <w:autoSpaceDN w:val="0"/>
        <w:adjustRightInd w:val="0"/>
        <w:spacing w:after="0" w:line="240" w:lineRule="auto"/>
        <w:rPr>
          <w:rFonts w:cstheme="minorHAnsi"/>
          <w:bCs/>
          <w:color w:val="0070C0"/>
        </w:rPr>
      </w:pPr>
      <w:r>
        <w:rPr>
          <w:rFonts w:cstheme="minorHAnsi"/>
          <w:b/>
          <w:bCs/>
        </w:rPr>
        <w:t xml:space="preserve">2b3.10. </w:t>
      </w:r>
      <w:r w:rsidRPr="00A25024">
        <w:rPr>
          <w:rFonts w:cstheme="minorHAnsi"/>
          <w:b/>
          <w:bCs/>
        </w:rPr>
        <w:t>What is your interpretation of the results in terms of demonstrating adequacy of controlling for differences in patient characteristics (case mix)?</w:t>
      </w:r>
      <w:r w:rsidRPr="00A25024">
        <w:rPr>
          <w:rFonts w:cstheme="minorHAnsi"/>
          <w:bCs/>
        </w:rPr>
        <w:t xml:space="preserve">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r w:rsidRPr="0062035D">
        <w:rPr>
          <w:rFonts w:cstheme="minorHAnsi"/>
          <w:color w:val="0070C0"/>
        </w:rPr>
        <w:t>As demonstrated in Section 2b3.7 and 2b3.8, the average O/E cost ratios for all risk deciles are close to one. These results indicate that the model is accurately predicting spending, regardless of overall risk level. There was no evidence of excessive under- or over-estimation</w:t>
      </w:r>
      <w:r>
        <w:rPr>
          <w:rFonts w:cstheme="minorHAnsi"/>
          <w:color w:val="0070C0"/>
        </w:rPr>
        <w:t xml:space="preserve"> (i.e., expected cost too low or too high relative to observed cost)</w:t>
      </w:r>
      <w:r w:rsidRPr="0062035D">
        <w:rPr>
          <w:rFonts w:cstheme="minorHAnsi"/>
          <w:color w:val="0070C0"/>
        </w:rPr>
        <w:t xml:space="preserve"> at the extremes of episode risk.</w:t>
      </w:r>
    </w:p>
    <w:p w14:paraId="6AD86F96" w14:textId="77777777" w:rsidR="00DA0B9B" w:rsidRDefault="00DA0B9B" w:rsidP="00DA0B9B">
      <w:pPr>
        <w:autoSpaceDE w:val="0"/>
        <w:autoSpaceDN w:val="0"/>
        <w:adjustRightInd w:val="0"/>
        <w:spacing w:after="0" w:line="240" w:lineRule="auto"/>
        <w:rPr>
          <w:rFonts w:cstheme="minorHAnsi"/>
          <w:bCs/>
          <w:color w:val="0070C0"/>
        </w:rPr>
      </w:pPr>
    </w:p>
    <w:p w14:paraId="0C3DB68C" w14:textId="0F4413B9" w:rsidR="00DA0B9B" w:rsidRPr="00D83E9F" w:rsidRDefault="00DA0B9B" w:rsidP="00DA0B9B">
      <w:pPr>
        <w:autoSpaceDE w:val="0"/>
        <w:autoSpaceDN w:val="0"/>
        <w:adjustRightInd w:val="0"/>
        <w:spacing w:after="0" w:line="240" w:lineRule="auto"/>
        <w:rPr>
          <w:rFonts w:cstheme="minorHAnsi"/>
          <w:bCs/>
          <w:color w:val="0070C0"/>
        </w:rPr>
      </w:pPr>
      <w:r w:rsidRPr="000C3F7E">
        <w:rPr>
          <w:rFonts w:cstheme="minorHAnsi"/>
          <w:bCs/>
          <w:color w:val="0070C0"/>
        </w:rPr>
        <w:t xml:space="preserve">The R-squared values for the model, which measure the </w:t>
      </w:r>
      <w:r w:rsidR="00AC0835">
        <w:rPr>
          <w:rFonts w:cstheme="minorHAnsi"/>
          <w:bCs/>
          <w:color w:val="0070C0"/>
        </w:rPr>
        <w:t>share</w:t>
      </w:r>
      <w:r w:rsidRPr="000C3F7E">
        <w:rPr>
          <w:rFonts w:cstheme="minorHAnsi"/>
          <w:bCs/>
          <w:color w:val="0070C0"/>
        </w:rPr>
        <w:t xml:space="preserve"> of variation in results predicted by the model</w:t>
      </w:r>
      <w:r w:rsidRPr="00D83E9F">
        <w:rPr>
          <w:rFonts w:cstheme="minorHAnsi"/>
          <w:bCs/>
          <w:color w:val="0070C0"/>
        </w:rPr>
        <w:t>, are in line with values presented in similar analyses of risk adjustment models.</w:t>
      </w:r>
      <w:r w:rsidRPr="00D83E9F">
        <w:rPr>
          <w:rFonts w:cstheme="minorHAnsi"/>
          <w:bCs/>
          <w:color w:val="0070C0"/>
          <w:vertAlign w:val="superscript"/>
        </w:rPr>
        <w:footnoteReference w:id="21"/>
      </w:r>
      <w:r w:rsidRPr="00D83E9F">
        <w:rPr>
          <w:rFonts w:cstheme="minorHAnsi"/>
          <w:bCs/>
          <w:color w:val="0070C0"/>
        </w:rPr>
        <w:t xml:space="preserve"> As noted in Section 2b3.5, result</w:t>
      </w:r>
      <w:r w:rsidR="00AC0835">
        <w:rPr>
          <w:rFonts w:cstheme="minorHAnsi"/>
          <w:bCs/>
          <w:color w:val="0070C0"/>
        </w:rPr>
        <w:t>s</w:t>
      </w:r>
      <w:r w:rsidRPr="00D83E9F">
        <w:rPr>
          <w:rFonts w:cstheme="minorHAnsi"/>
          <w:bCs/>
          <w:color w:val="0070C0"/>
        </w:rPr>
        <w:t xml:space="preserve"> should be interpreted alongside service assignment rules which remove clinically unrelated services</w:t>
      </w:r>
      <w:r>
        <w:rPr>
          <w:rFonts w:cstheme="minorHAnsi"/>
          <w:bCs/>
          <w:color w:val="0070C0"/>
        </w:rPr>
        <w:t>,</w:t>
      </w:r>
      <w:r w:rsidRPr="00D83E9F">
        <w:rPr>
          <w:rFonts w:cstheme="minorHAnsi"/>
          <w:bCs/>
          <w:color w:val="0070C0"/>
        </w:rPr>
        <w:t xml:space="preserve"> so the resulting variation is </w:t>
      </w:r>
      <w:r>
        <w:rPr>
          <w:rFonts w:cstheme="minorHAnsi"/>
          <w:bCs/>
          <w:color w:val="0070C0"/>
        </w:rPr>
        <w:t xml:space="preserve">only </w:t>
      </w:r>
      <w:r w:rsidRPr="00D83E9F">
        <w:rPr>
          <w:rFonts w:cstheme="minorHAnsi"/>
          <w:bCs/>
          <w:color w:val="0070C0"/>
        </w:rPr>
        <w:t xml:space="preserve">reflective of variation related to factors within a clinician’s </w:t>
      </w:r>
      <w:r>
        <w:rPr>
          <w:rFonts w:cstheme="minorHAnsi"/>
          <w:bCs/>
          <w:color w:val="0070C0"/>
        </w:rPr>
        <w:t>sphere of</w:t>
      </w:r>
      <w:r w:rsidRPr="00D83E9F">
        <w:rPr>
          <w:rFonts w:cstheme="minorHAnsi"/>
          <w:bCs/>
          <w:color w:val="0070C0"/>
        </w:rPr>
        <w:t xml:space="preserve"> influence. </w:t>
      </w:r>
      <w:r w:rsidRPr="0062035D">
        <w:rPr>
          <w:rFonts w:cstheme="minorHAnsi"/>
          <w:color w:val="0070C0"/>
        </w:rPr>
        <w:t>The</w:t>
      </w:r>
      <w:r>
        <w:rPr>
          <w:rFonts w:cstheme="minorHAnsi"/>
          <w:color w:val="0070C0"/>
        </w:rPr>
        <w:t>se</w:t>
      </w:r>
      <w:r w:rsidRPr="0062035D">
        <w:rPr>
          <w:rFonts w:cstheme="minorHAnsi"/>
          <w:color w:val="0070C0"/>
        </w:rPr>
        <w:t xml:space="preserve"> service exclusions </w:t>
      </w:r>
      <w:r w:rsidRPr="0062035D">
        <w:rPr>
          <w:rFonts w:cstheme="minorHAnsi"/>
          <w:iCs/>
          <w:color w:val="0070C0"/>
          <w:szCs w:val="18"/>
          <w:lang w:val="en"/>
        </w:rPr>
        <w:t>improve the</w:t>
      </w:r>
      <w:r>
        <w:rPr>
          <w:rFonts w:cstheme="minorHAnsi"/>
          <w:iCs/>
          <w:color w:val="0070C0"/>
          <w:szCs w:val="18"/>
          <w:lang w:val="en"/>
        </w:rPr>
        <w:t xml:space="preserve"> validity and</w:t>
      </w:r>
      <w:r w:rsidRPr="0062035D">
        <w:rPr>
          <w:rFonts w:cstheme="minorHAnsi"/>
          <w:iCs/>
          <w:color w:val="0070C0"/>
          <w:szCs w:val="18"/>
          <w:lang w:val="en"/>
        </w:rPr>
        <w:t xml:space="preserve"> actionability of the measure</w:t>
      </w:r>
      <w:r>
        <w:rPr>
          <w:rFonts w:cstheme="minorHAnsi"/>
          <w:iCs/>
          <w:color w:val="0070C0"/>
          <w:szCs w:val="18"/>
          <w:lang w:val="en"/>
        </w:rPr>
        <w:t xml:space="preserve">, but tend to reduce </w:t>
      </w:r>
      <w:r w:rsidRPr="0062035D">
        <w:rPr>
          <w:rFonts w:cstheme="minorHAnsi"/>
          <w:iCs/>
          <w:color w:val="0070C0"/>
          <w:szCs w:val="18"/>
          <w:lang w:val="en"/>
        </w:rPr>
        <w:t>fit statistics (</w:t>
      </w:r>
      <w:r>
        <w:rPr>
          <w:rFonts w:cstheme="minorHAnsi"/>
          <w:iCs/>
          <w:color w:val="0070C0"/>
          <w:szCs w:val="18"/>
          <w:lang w:val="en"/>
        </w:rPr>
        <w:t xml:space="preserve">e.g., </w:t>
      </w:r>
      <w:r w:rsidRPr="0062035D">
        <w:rPr>
          <w:rFonts w:cstheme="minorHAnsi"/>
          <w:iCs/>
          <w:color w:val="0070C0"/>
          <w:szCs w:val="18"/>
          <w:lang w:val="en"/>
        </w:rPr>
        <w:t>adjusted R-squared)</w:t>
      </w:r>
      <w:r>
        <w:rPr>
          <w:rFonts w:cstheme="minorHAnsi"/>
          <w:iCs/>
          <w:color w:val="0070C0"/>
          <w:szCs w:val="18"/>
          <w:lang w:val="en"/>
        </w:rPr>
        <w:t>, s</w:t>
      </w:r>
      <w:r>
        <w:rPr>
          <w:rFonts w:cstheme="minorHAnsi"/>
          <w:color w:val="0070C0"/>
          <w:lang w:val="en"/>
        </w:rPr>
        <w:t>ince</w:t>
      </w:r>
      <w:r w:rsidRPr="0062035D">
        <w:rPr>
          <w:rFonts w:cstheme="minorHAnsi"/>
          <w:color w:val="0070C0"/>
          <w:lang w:val="en"/>
        </w:rPr>
        <w:t xml:space="preserve"> excluded services outside the influence of the attributed clinician may be well pr</w:t>
      </w:r>
      <w:r>
        <w:rPr>
          <w:rFonts w:cstheme="minorHAnsi"/>
          <w:color w:val="0070C0"/>
          <w:lang w:val="en"/>
        </w:rPr>
        <w:t>edicted by patient risk factors. Thus, excluding these services</w:t>
      </w:r>
      <w:r w:rsidRPr="0062035D">
        <w:rPr>
          <w:rFonts w:cstheme="minorHAnsi"/>
          <w:color w:val="0070C0"/>
          <w:lang w:val="en"/>
        </w:rPr>
        <w:t xml:space="preserve"> can reduce the explained portion of the cost variance and the model's adjusted R-squared.</w:t>
      </w:r>
    </w:p>
    <w:p w14:paraId="3690D660" w14:textId="77777777" w:rsidR="00DA0B9B" w:rsidRPr="00D83E9F" w:rsidRDefault="00DA0B9B" w:rsidP="00DA0B9B">
      <w:pPr>
        <w:spacing w:after="0" w:line="240" w:lineRule="auto"/>
        <w:rPr>
          <w:rFonts w:cstheme="minorHAnsi"/>
        </w:rPr>
      </w:pPr>
    </w:p>
    <w:p w14:paraId="6F65E7BE" w14:textId="03C2909E" w:rsidR="00DA0B9B" w:rsidRPr="006D13A7" w:rsidRDefault="00DA0B9B" w:rsidP="00AC0835">
      <w:pPr>
        <w:spacing w:after="0" w:line="240" w:lineRule="auto"/>
        <w:rPr>
          <w:rFonts w:cstheme="minorHAnsi"/>
          <w:bCs/>
          <w:color w:val="0070C0"/>
        </w:rPr>
      </w:pPr>
      <w:r w:rsidRPr="00D83E9F">
        <w:rPr>
          <w:rFonts w:cstheme="minorHAnsi"/>
          <w:b/>
        </w:rPr>
        <w:t>2b3.11.</w:t>
      </w:r>
      <w:r w:rsidRPr="00D83E9F">
        <w:rPr>
          <w:rFonts w:cstheme="minorHAnsi"/>
        </w:rPr>
        <w:t xml:space="preserve"> </w:t>
      </w:r>
      <w:r w:rsidRPr="00D83E9F">
        <w:rPr>
          <w:rFonts w:cstheme="minorHAnsi"/>
          <w:b/>
        </w:rPr>
        <w:t xml:space="preserve">Optional Additional Testing for Risk Adjustment </w:t>
      </w:r>
      <w:r w:rsidRPr="00D83E9F">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 e.g., testing of risk model in another data set; sensitivity analysis for missing data; other methods that were assessed</w:t>
      </w:r>
      <w:r>
        <w:rPr>
          <w:rFonts w:cstheme="minorHAnsi"/>
        </w:rPr>
        <w:t>)</w:t>
      </w:r>
      <w:r w:rsidR="00AC0835">
        <w:rPr>
          <w:rFonts w:cstheme="minorHAnsi"/>
        </w:rPr>
        <w:t xml:space="preserve"> </w:t>
      </w:r>
      <w:r>
        <w:rPr>
          <w:rFonts w:cstheme="minorHAnsi"/>
          <w:bCs/>
          <w:color w:val="0070C0"/>
        </w:rPr>
        <w:t>N/A</w:t>
      </w:r>
    </w:p>
    <w:p w14:paraId="0CABD006" w14:textId="7E993EBF" w:rsidR="00D61410" w:rsidRPr="00A25024" w:rsidRDefault="00DA0B9B" w:rsidP="00D61410">
      <w:pPr>
        <w:autoSpaceDE w:val="0"/>
        <w:autoSpaceDN w:val="0"/>
        <w:adjustRightInd w:val="0"/>
        <w:spacing w:after="0" w:line="240" w:lineRule="auto"/>
        <w:rPr>
          <w:rFonts w:cstheme="minorHAnsi"/>
          <w:bCs/>
        </w:rPr>
      </w:pPr>
      <w:r>
        <w:rPr>
          <w:rFonts w:cstheme="minorHAnsi"/>
          <w:bCs/>
        </w:rPr>
        <w:t>_______________________</w:t>
      </w:r>
      <w:r w:rsidR="00D61410">
        <w:rPr>
          <w:rFonts w:cstheme="minorHAnsi"/>
          <w:bCs/>
        </w:rPr>
        <w:t>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09286405" w14:textId="4F4E51DF" w:rsidR="005D2DC3" w:rsidRDefault="009C7513" w:rsidP="001A2993">
      <w:pPr>
        <w:autoSpaceDE w:val="0"/>
        <w:autoSpaceDN w:val="0"/>
        <w:adjustRightInd w:val="0"/>
        <w:spacing w:after="0" w:line="240" w:lineRule="auto"/>
        <w:rPr>
          <w:rFonts w:cstheme="minorHAnsi"/>
          <w:bCs/>
          <w:color w:val="0070C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5D2DC3">
        <w:rPr>
          <w:rFonts w:cstheme="minorHAnsi"/>
          <w:bCs/>
          <w:color w:val="0070C0"/>
        </w:rPr>
        <w:t xml:space="preserve">We use two methods to identify statistically significant and meaningful differences in the </w:t>
      </w:r>
      <w:r w:rsidR="00EB158D">
        <w:rPr>
          <w:rFonts w:cstheme="minorHAnsi"/>
          <w:bCs/>
          <w:color w:val="0070C0"/>
        </w:rPr>
        <w:t>Non-Emergent CABG M</w:t>
      </w:r>
      <w:r w:rsidR="005D2DC3">
        <w:rPr>
          <w:rFonts w:cstheme="minorHAnsi"/>
          <w:bCs/>
          <w:color w:val="0070C0"/>
        </w:rPr>
        <w:t>easure:</w:t>
      </w:r>
    </w:p>
    <w:p w14:paraId="3D63922A" w14:textId="63404FDC" w:rsidR="00665685" w:rsidRDefault="005D2DC3" w:rsidP="00211B1B">
      <w:pPr>
        <w:pStyle w:val="ListParagraph"/>
        <w:numPr>
          <w:ilvl w:val="0"/>
          <w:numId w:val="14"/>
        </w:numPr>
        <w:autoSpaceDE w:val="0"/>
        <w:autoSpaceDN w:val="0"/>
        <w:adjustRightInd w:val="0"/>
        <w:spacing w:after="0" w:line="240" w:lineRule="auto"/>
        <w:rPr>
          <w:rFonts w:cstheme="minorHAnsi"/>
          <w:bCs/>
          <w:color w:val="0070C0"/>
        </w:rPr>
      </w:pPr>
      <w:r w:rsidRPr="005D2DC3">
        <w:rPr>
          <w:rFonts w:cstheme="minorHAnsi"/>
          <w:bCs/>
          <w:color w:val="0070C0"/>
        </w:rPr>
        <w:t xml:space="preserve">First, we analyzed the distribution of performance scores for the overall measure, as well as for clinicians stratified </w:t>
      </w:r>
      <w:r w:rsidR="001A2993" w:rsidRPr="005D2DC3">
        <w:rPr>
          <w:rFonts w:cstheme="minorHAnsi"/>
          <w:bCs/>
          <w:color w:val="0070C0"/>
        </w:rPr>
        <w:t xml:space="preserve">by meaningful </w:t>
      </w:r>
      <w:r w:rsidRPr="005D2DC3">
        <w:rPr>
          <w:rFonts w:cstheme="minorHAnsi"/>
          <w:bCs/>
          <w:color w:val="0070C0"/>
        </w:rPr>
        <w:t xml:space="preserve">provider </w:t>
      </w:r>
      <w:r w:rsidR="001A2993" w:rsidRPr="005D2DC3">
        <w:rPr>
          <w:rFonts w:cstheme="minorHAnsi"/>
          <w:bCs/>
          <w:color w:val="0070C0"/>
        </w:rPr>
        <w:t>characteristics</w:t>
      </w:r>
      <w:r w:rsidRPr="005D2DC3">
        <w:rPr>
          <w:rFonts w:cstheme="minorHAnsi"/>
          <w:bCs/>
          <w:color w:val="0070C0"/>
        </w:rPr>
        <w:t xml:space="preserve"> (</w:t>
      </w:r>
      <w:r w:rsidR="001A2993" w:rsidRPr="005D2DC3">
        <w:rPr>
          <w:rFonts w:cstheme="minorHAnsi"/>
          <w:bCs/>
          <w:color w:val="0070C0"/>
        </w:rPr>
        <w:t>urban/rural, census division, census region</w:t>
      </w:r>
      <w:r w:rsidR="00BB3879">
        <w:rPr>
          <w:rFonts w:cstheme="minorHAnsi"/>
          <w:bCs/>
          <w:color w:val="0070C0"/>
        </w:rPr>
        <w:t>,</w:t>
      </w:r>
      <w:r w:rsidR="001A2993" w:rsidRPr="005D2DC3">
        <w:rPr>
          <w:rFonts w:cstheme="minorHAnsi"/>
          <w:bCs/>
          <w:color w:val="0070C0"/>
        </w:rPr>
        <w:t xml:space="preserve"> and the number of episodes attributed to the clinician</w:t>
      </w:r>
      <w:r w:rsidRPr="005D2DC3">
        <w:rPr>
          <w:rFonts w:cstheme="minorHAnsi"/>
          <w:bCs/>
          <w:color w:val="0070C0"/>
        </w:rPr>
        <w:t>)</w:t>
      </w:r>
      <w:r w:rsidR="00D83E9F" w:rsidRPr="005D2DC3">
        <w:rPr>
          <w:rFonts w:cstheme="minorHAnsi"/>
          <w:bCs/>
          <w:color w:val="0070C0"/>
        </w:rPr>
        <w:t xml:space="preserve">. </w:t>
      </w:r>
      <w:r w:rsidR="001A2993" w:rsidRPr="005D2DC3">
        <w:rPr>
          <w:rFonts w:cstheme="minorHAnsi"/>
          <w:bCs/>
          <w:color w:val="0070C0"/>
        </w:rPr>
        <w:t xml:space="preserve">The purpose of this analysis is to ensure that there is a sufficiently large difference in measure scores among clinicians to meaningfully determine a difference in performance. In addition, this analysis looks to confirm that the measure behaves as expected with respect to meaningful clinician characteristics. </w:t>
      </w:r>
    </w:p>
    <w:p w14:paraId="39DEE744" w14:textId="77777777" w:rsidR="00557463" w:rsidRPr="00F334A5" w:rsidRDefault="00557463" w:rsidP="00211B1B">
      <w:pPr>
        <w:pStyle w:val="ListParagraph"/>
        <w:numPr>
          <w:ilvl w:val="0"/>
          <w:numId w:val="14"/>
        </w:numPr>
        <w:autoSpaceDE w:val="0"/>
        <w:autoSpaceDN w:val="0"/>
        <w:adjustRightInd w:val="0"/>
        <w:spacing w:after="0" w:line="240" w:lineRule="auto"/>
        <w:rPr>
          <w:rFonts w:cstheme="minorHAnsi"/>
          <w:bCs/>
          <w:color w:val="0070C0"/>
        </w:rPr>
      </w:pPr>
      <w:r w:rsidRPr="00F334A5">
        <w:rPr>
          <w:rFonts w:cstheme="minorHAnsi"/>
          <w:bCs/>
          <w:color w:val="0070C0"/>
        </w:rPr>
        <w:t xml:space="preserve">In our second test, 95% confidence intervals (CI) were calculated using the variance of the provider mean. We then compared each clinician’s 95% CI to the national average measure score to determine if the clinician’s performance was significantly different from the national mean. </w:t>
      </w:r>
      <w:r>
        <w:rPr>
          <w:rFonts w:cstheme="minorHAnsi"/>
          <w:bCs/>
          <w:color w:val="0070C0"/>
        </w:rPr>
        <w:t>Specifically, c</w:t>
      </w:r>
      <w:r w:rsidRPr="00F334A5">
        <w:rPr>
          <w:rFonts w:cstheme="minorHAnsi"/>
          <w:bCs/>
          <w:color w:val="0070C0"/>
        </w:rPr>
        <w:t xml:space="preserve">linician performance was deemed to be statistically significantly </w:t>
      </w:r>
      <w:r>
        <w:rPr>
          <w:rFonts w:cstheme="minorHAnsi"/>
          <w:bCs/>
          <w:color w:val="0070C0"/>
        </w:rPr>
        <w:t>higher than</w:t>
      </w:r>
      <w:r w:rsidRPr="00F334A5">
        <w:rPr>
          <w:rFonts w:cstheme="minorHAnsi"/>
          <w:bCs/>
          <w:color w:val="0070C0"/>
        </w:rPr>
        <w:t xml:space="preserve"> the national mean if the 95% CI was above the national mean. Conversely, clinician performanc</w:t>
      </w:r>
      <w:r>
        <w:rPr>
          <w:rFonts w:cstheme="minorHAnsi"/>
          <w:bCs/>
          <w:color w:val="0070C0"/>
        </w:rPr>
        <w:t>e was deemed to be</w:t>
      </w:r>
      <w:r w:rsidRPr="00F334A5">
        <w:rPr>
          <w:rFonts w:cstheme="minorHAnsi"/>
          <w:bCs/>
          <w:color w:val="0070C0"/>
        </w:rPr>
        <w:t xml:space="preserve"> significantly </w:t>
      </w:r>
      <w:r>
        <w:rPr>
          <w:rFonts w:cstheme="minorHAnsi"/>
          <w:bCs/>
          <w:color w:val="0070C0"/>
        </w:rPr>
        <w:t>lower than</w:t>
      </w:r>
      <w:r w:rsidRPr="00F334A5">
        <w:rPr>
          <w:rFonts w:cstheme="minorHAnsi"/>
          <w:bCs/>
          <w:color w:val="0070C0"/>
        </w:rPr>
        <w:t xml:space="preserve"> the national mean if the 95% CI fell below the </w:t>
      </w:r>
      <w:r w:rsidRPr="00F334A5">
        <w:rPr>
          <w:rFonts w:cstheme="minorHAnsi"/>
          <w:bCs/>
          <w:color w:val="0070C0"/>
        </w:rPr>
        <w:lastRenderedPageBreak/>
        <w:t>national mean.  The analysis further confirms that there is a sufficiently large difference in measure scores among clinicians to meaningfully determine differences in performance.</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1FD34072" w14:textId="0651381D" w:rsidR="00665685" w:rsidRDefault="009C7513" w:rsidP="001A2993">
      <w:pPr>
        <w:autoSpaceDE w:val="0"/>
        <w:autoSpaceDN w:val="0"/>
        <w:adjustRightInd w:val="0"/>
        <w:spacing w:after="0" w:line="240" w:lineRule="auto"/>
        <w:rPr>
          <w:rFonts w:cstheme="minorHAnsi"/>
          <w:bCs/>
          <w:color w:val="0070C0"/>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r w:rsidR="00665685">
        <w:rPr>
          <w:rFonts w:cstheme="minorHAnsi"/>
          <w:bCs/>
          <w:color w:val="0070C0"/>
        </w:rPr>
        <w:t xml:space="preserve">The </w:t>
      </w:r>
      <w:r w:rsidR="00C5547F">
        <w:rPr>
          <w:rFonts w:cstheme="minorHAnsi"/>
          <w:bCs/>
          <w:color w:val="0070C0"/>
        </w:rPr>
        <w:t xml:space="preserve">Non-Emergent CABG Measure </w:t>
      </w:r>
      <w:r w:rsidR="00665685">
        <w:rPr>
          <w:rFonts w:cstheme="minorHAnsi"/>
          <w:bCs/>
          <w:color w:val="0070C0"/>
        </w:rPr>
        <w:t xml:space="preserve">scores have </w:t>
      </w:r>
      <w:r w:rsidR="00665685" w:rsidRPr="001B2FA6">
        <w:rPr>
          <w:rFonts w:cstheme="minorHAnsi"/>
          <w:bCs/>
          <w:color w:val="0070C0"/>
        </w:rPr>
        <w:t xml:space="preserve">a good deal of variability. </w:t>
      </w:r>
      <w:r w:rsidR="000A3E1B" w:rsidRPr="000A3E1B">
        <w:rPr>
          <w:rFonts w:cstheme="minorHAnsi"/>
          <w:bCs/>
          <w:color w:val="0070C0"/>
        </w:rPr>
        <w:t>For TINs, the standard deviation is 0.09, and 99/1, 90/10, and 75/25 percentile ratios are 1.48, 1.20, and 1.09, respectively. For TIN-NPIs, the standard deviation is 0.08, and 99/1, 90/10, and 75/25 percentile ratios are 1.48, 1.21, and 1.10, respectively.</w:t>
      </w:r>
      <w:r w:rsidR="000A3E1B">
        <w:rPr>
          <w:rFonts w:cstheme="minorHAnsi"/>
          <w:bCs/>
          <w:color w:val="0070C0"/>
        </w:rPr>
        <w:t xml:space="preserve"> </w:t>
      </w:r>
      <w:r w:rsidR="008C05E5" w:rsidRPr="001B2FA6">
        <w:rPr>
          <w:rFonts w:cstheme="minorHAnsi"/>
          <w:bCs/>
          <w:color w:val="0070C0"/>
        </w:rPr>
        <w:t>Figure</w:t>
      </w:r>
      <w:r w:rsidR="0000159A">
        <w:rPr>
          <w:rFonts w:cstheme="minorHAnsi"/>
          <w:bCs/>
          <w:color w:val="0070C0"/>
        </w:rPr>
        <w:t xml:space="preserve"> 1</w:t>
      </w:r>
      <w:r w:rsidR="00665685" w:rsidRPr="001B2FA6">
        <w:rPr>
          <w:rFonts w:cstheme="minorHAnsi"/>
          <w:bCs/>
          <w:color w:val="0070C0"/>
        </w:rPr>
        <w:t xml:space="preserve"> display</w:t>
      </w:r>
      <w:r w:rsidR="008C05E5" w:rsidRPr="001B2FA6">
        <w:rPr>
          <w:rFonts w:cstheme="minorHAnsi"/>
          <w:bCs/>
          <w:color w:val="0070C0"/>
        </w:rPr>
        <w:t>s</w:t>
      </w:r>
      <w:r w:rsidR="00665685" w:rsidRPr="001B2FA6">
        <w:rPr>
          <w:rFonts w:cstheme="minorHAnsi"/>
          <w:bCs/>
          <w:color w:val="0070C0"/>
        </w:rPr>
        <w:t xml:space="preserve"> the distribution of </w:t>
      </w:r>
      <w:r w:rsidR="008C05E5" w:rsidRPr="001B2FA6">
        <w:rPr>
          <w:rFonts w:cstheme="minorHAnsi"/>
          <w:bCs/>
          <w:color w:val="0070C0"/>
        </w:rPr>
        <w:t xml:space="preserve">TINs’ </w:t>
      </w:r>
      <w:r w:rsidR="00665685" w:rsidRPr="001B2FA6">
        <w:rPr>
          <w:rFonts w:cstheme="minorHAnsi"/>
          <w:bCs/>
          <w:color w:val="0070C0"/>
        </w:rPr>
        <w:t>mean observed to expected cost</w:t>
      </w:r>
      <w:r w:rsidR="008C05E5" w:rsidRPr="001B2FA6">
        <w:rPr>
          <w:rFonts w:cstheme="minorHAnsi"/>
          <w:bCs/>
          <w:color w:val="0070C0"/>
        </w:rPr>
        <w:t xml:space="preserve"> ratios</w:t>
      </w:r>
      <w:r w:rsidR="00665685" w:rsidRPr="001B2FA6">
        <w:rPr>
          <w:rFonts w:cstheme="minorHAnsi"/>
          <w:bCs/>
          <w:color w:val="0070C0"/>
        </w:rPr>
        <w:t xml:space="preserve"> </w:t>
      </w:r>
      <w:r w:rsidR="008C05E5" w:rsidRPr="001B2FA6">
        <w:rPr>
          <w:rFonts w:cstheme="minorHAnsi"/>
          <w:bCs/>
          <w:color w:val="0070C0"/>
        </w:rPr>
        <w:t>across attributed episodes</w:t>
      </w:r>
      <w:r w:rsidR="00665685" w:rsidRPr="001B2FA6">
        <w:rPr>
          <w:rFonts w:cstheme="minorHAnsi"/>
          <w:bCs/>
          <w:color w:val="0070C0"/>
        </w:rPr>
        <w:t>, a direct scalar of provider measure score.</w:t>
      </w:r>
      <w:r w:rsidR="0000159A">
        <w:rPr>
          <w:rFonts w:cstheme="minorHAnsi"/>
          <w:bCs/>
          <w:color w:val="0070C0"/>
        </w:rPr>
        <w:t xml:space="preserve"> Figure 2</w:t>
      </w:r>
      <w:r w:rsidR="008C05E5" w:rsidRPr="001B2FA6">
        <w:rPr>
          <w:rFonts w:cstheme="minorHAnsi"/>
          <w:bCs/>
          <w:color w:val="0070C0"/>
        </w:rPr>
        <w:t xml:space="preserve"> displays the same distribution but at a TIN-NPI level.</w:t>
      </w:r>
      <w:r w:rsidR="008C05E5">
        <w:rPr>
          <w:rFonts w:cstheme="minorHAnsi"/>
          <w:bCs/>
          <w:color w:val="0070C0"/>
        </w:rPr>
        <w:t xml:space="preserve"> </w:t>
      </w:r>
    </w:p>
    <w:p w14:paraId="2D7B47E4" w14:textId="701ECB11" w:rsidR="001A2993" w:rsidRDefault="00665685" w:rsidP="001A2993">
      <w:pPr>
        <w:autoSpaceDE w:val="0"/>
        <w:autoSpaceDN w:val="0"/>
        <w:adjustRightInd w:val="0"/>
        <w:spacing w:after="0" w:line="240" w:lineRule="auto"/>
        <w:rPr>
          <w:rFonts w:cstheme="minorHAnsi"/>
          <w:bCs/>
          <w:color w:val="0070C0"/>
        </w:rPr>
      </w:pPr>
      <w:r>
        <w:rPr>
          <w:rFonts w:cstheme="minorHAnsi"/>
          <w:bCs/>
          <w:color w:val="0070C0"/>
        </w:rPr>
        <w:t xml:space="preserve"> </w:t>
      </w:r>
    </w:p>
    <w:p w14:paraId="3A767ED4" w14:textId="1218076F" w:rsidR="00726942" w:rsidRDefault="0000159A" w:rsidP="00726942">
      <w:pPr>
        <w:keepNext/>
        <w:autoSpaceDE w:val="0"/>
        <w:autoSpaceDN w:val="0"/>
        <w:adjustRightInd w:val="0"/>
        <w:spacing w:after="0" w:line="240" w:lineRule="auto"/>
        <w:jc w:val="center"/>
        <w:rPr>
          <w:rFonts w:ascii="Times New Roman" w:hAnsi="Times New Roman" w:cs="Times New Roman"/>
          <w:b/>
          <w:color w:val="000000" w:themeColor="text1"/>
        </w:rPr>
      </w:pPr>
      <w:r>
        <w:rPr>
          <w:rFonts w:ascii="Times New Roman" w:hAnsi="Times New Roman" w:cs="Times New Roman"/>
          <w:b/>
          <w:bCs/>
          <w:color w:val="000000" w:themeColor="text1"/>
        </w:rPr>
        <w:t>Figure 1</w:t>
      </w:r>
      <w:r w:rsidR="00726942" w:rsidRPr="00CE1567">
        <w:rPr>
          <w:rFonts w:ascii="Times New Roman" w:hAnsi="Times New Roman" w:cs="Times New Roman"/>
          <w:b/>
          <w:bCs/>
          <w:color w:val="000000" w:themeColor="text1"/>
        </w:rPr>
        <w:t xml:space="preserve">. </w:t>
      </w:r>
      <w:r w:rsidR="00726942" w:rsidRPr="00CE1567">
        <w:rPr>
          <w:rFonts w:ascii="Times New Roman" w:hAnsi="Times New Roman" w:cs="Times New Roman"/>
          <w:b/>
          <w:color w:val="000000" w:themeColor="text1"/>
        </w:rPr>
        <w:t xml:space="preserve">Distribution of </w:t>
      </w:r>
      <w:r w:rsidR="00726942">
        <w:rPr>
          <w:rFonts w:ascii="Times New Roman" w:hAnsi="Times New Roman" w:cs="Times New Roman"/>
          <w:b/>
          <w:color w:val="000000" w:themeColor="text1"/>
        </w:rPr>
        <w:t xml:space="preserve">Average Observed to Expected Cost </w:t>
      </w:r>
      <w:r w:rsidR="00726942" w:rsidRPr="00CE1567">
        <w:rPr>
          <w:rFonts w:ascii="Times New Roman" w:hAnsi="Times New Roman" w:cs="Times New Roman"/>
          <w:b/>
          <w:color w:val="000000" w:themeColor="text1"/>
        </w:rPr>
        <w:t>Ratio</w:t>
      </w:r>
      <w:r w:rsidR="00726942">
        <w:rPr>
          <w:rFonts w:ascii="Times New Roman" w:hAnsi="Times New Roman" w:cs="Times New Roman"/>
          <w:b/>
          <w:color w:val="000000" w:themeColor="text1"/>
        </w:rPr>
        <w:t>s</w:t>
      </w:r>
      <w:r w:rsidR="00726942" w:rsidRPr="00CE1567">
        <w:rPr>
          <w:rFonts w:ascii="Times New Roman" w:hAnsi="Times New Roman" w:cs="Times New Roman"/>
          <w:b/>
          <w:color w:val="000000" w:themeColor="text1"/>
        </w:rPr>
        <w:t xml:space="preserve"> for TINs</w:t>
      </w:r>
    </w:p>
    <w:p w14:paraId="47101CDB" w14:textId="06AA735C" w:rsidR="002E7B96" w:rsidRPr="00CE1567" w:rsidRDefault="002A3AA5" w:rsidP="00726942">
      <w:pPr>
        <w:keepNext/>
        <w:autoSpaceDE w:val="0"/>
        <w:autoSpaceDN w:val="0"/>
        <w:adjustRightInd w:val="0"/>
        <w:spacing w:after="0" w:line="240" w:lineRule="auto"/>
        <w:jc w:val="center"/>
        <w:rPr>
          <w:rFonts w:ascii="Times New Roman" w:hAnsi="Times New Roman" w:cs="Times New Roman"/>
          <w:b/>
          <w:color w:val="000000" w:themeColor="text1"/>
        </w:rPr>
      </w:pPr>
      <w:r w:rsidRPr="002A3AA5">
        <w:drawing>
          <wp:inline distT="0" distB="0" distL="0" distR="0" wp14:anchorId="6DF5F056" wp14:editId="4D3960C3">
            <wp:extent cx="4933950" cy="3295650"/>
            <wp:effectExtent l="0" t="0" r="0" b="0"/>
            <wp:docPr id="3" name="Picture 3" descr="Figure 1 is a histogram of the distribution of TINs' mean observed to expected cost ratios across attributed Non-Emergent CABG Measure episodes. The x-axis represents these cost ratios broken down into intervals of 0.05. The y-axis displays the percentage of TINs ranging from 0% to 35% at 5% increments. The plot area displays blue rectangles, and their heights reflect the percentages of TINs whose cost ratios fall within each interval along the x-axis. 0.00% of TINs have a cost ratio in the '(0.55,0.6]' range. 0.00% of TINs have a cost ratio in the '(0.6,0.65]' range. 0.00% of TINs have a cost ratio in the '(0.65,0.7]' range. 0.00% of TINs have a cost ratio in the '(0.7,0.75]' range. 0.12% of TINs have a cost ratio in the '(0.75,0.8]' range. 0.25% of TINs have a cost ratio in the '(0.8,0.85]' range. 3.36% of TINs have a cost ratio in the '(0.85,0.9]' range. 16.67% of TINs have a cost ratio in the '(0.9,0.95]' range. 30.60% of TINs have a cost ratio in the '(0.95,1.00]' range. 25.50% of TINs have a cost ratio in the '(1.00,1.05]' range. 11.69% of TINs have a cost ratio in the '(1.05,1.10]' range. 5.22% of TINs have a cost ratio in the '(1.10,1.15]' range. 2.86% of TINs have a cost ratio in the '(1.15,1.20]' range. 1.74% of TINs have a cost ratio in the '(1.20,1.25]' range. 1.00% of TINs have a cost ratio in the '(1.25,1.30]' range. 0.25% of TINs have a cost ratio in the '(1.30,1.35]' range. 0.12% of TINs have a cost ratio in the '(1.35,1.40]' range. 0.00% of TINs have a cost ratio in the '(1.40,1.45]' range. 0.12% of TINs have a cost ratio in the '(1.45,1.50]' range. 0.25% of TINs have a cost ratio in the '(1.50,1.55]' range. 0.12% of TINs have a cost ratio in the '(1.55,1.60]' range. 0.12% of TINs have a cost ratio in the '(1.60,1.65]' range. 0.00% of TINs have a cost ratio in the '(1.65,1.70]' range. 0.00% of TINs have a cost ratio in the '(1.70,1.75]' range. 0.00% of TINs have a cost ratio in the '(1.75,1.80]' range. 0.00% of TINs have a cost ratio in the '(1.80,1.85]' range. The distribution is skewed to the right. " title="Figure 1: Distribution of Average Observed to Expected Cost Ratios for T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3950" cy="3295650"/>
                    </a:xfrm>
                    <a:prstGeom prst="rect">
                      <a:avLst/>
                    </a:prstGeom>
                    <a:noFill/>
                    <a:ln>
                      <a:noFill/>
                    </a:ln>
                  </pic:spPr>
                </pic:pic>
              </a:graphicData>
            </a:graphic>
          </wp:inline>
        </w:drawing>
      </w:r>
    </w:p>
    <w:p w14:paraId="6EEC6B25" w14:textId="77777777" w:rsidR="00726942" w:rsidRPr="005A15FD" w:rsidRDefault="00726942" w:rsidP="008C066E">
      <w:pPr>
        <w:autoSpaceDE w:val="0"/>
        <w:autoSpaceDN w:val="0"/>
        <w:adjustRightInd w:val="0"/>
        <w:spacing w:after="0" w:line="240" w:lineRule="auto"/>
        <w:rPr>
          <w:rFonts w:cstheme="minorHAnsi"/>
          <w:b/>
          <w:bCs/>
          <w:color w:val="FF0000"/>
        </w:rPr>
      </w:pPr>
    </w:p>
    <w:p w14:paraId="7ED76C5D" w14:textId="0E736957" w:rsidR="00726942" w:rsidRPr="00CE1567" w:rsidRDefault="0000159A" w:rsidP="002E7B96">
      <w:pPr>
        <w:keepNext/>
        <w:autoSpaceDE w:val="0"/>
        <w:autoSpaceDN w:val="0"/>
        <w:adjustRightInd w:val="0"/>
        <w:spacing w:after="0" w:line="240" w:lineRule="auto"/>
        <w:jc w:val="center"/>
        <w:rPr>
          <w:rFonts w:ascii="Times New Roman" w:hAnsi="Times New Roman" w:cs="Times New Roman"/>
          <w:b/>
          <w:bCs/>
          <w:color w:val="FF0000"/>
        </w:rPr>
      </w:pPr>
      <w:r>
        <w:rPr>
          <w:rFonts w:ascii="Times New Roman" w:hAnsi="Times New Roman" w:cs="Times New Roman"/>
          <w:b/>
          <w:bCs/>
          <w:color w:val="000000" w:themeColor="text1"/>
        </w:rPr>
        <w:lastRenderedPageBreak/>
        <w:t>Figure 2</w:t>
      </w:r>
      <w:r w:rsidR="00726942" w:rsidRPr="00CE1567">
        <w:rPr>
          <w:rFonts w:ascii="Times New Roman" w:hAnsi="Times New Roman" w:cs="Times New Roman"/>
          <w:b/>
          <w:bCs/>
          <w:color w:val="000000" w:themeColor="text1"/>
        </w:rPr>
        <w:t xml:space="preserve">. </w:t>
      </w:r>
      <w:r w:rsidR="00726942" w:rsidRPr="00CE1567">
        <w:rPr>
          <w:rFonts w:ascii="Times New Roman" w:hAnsi="Times New Roman" w:cs="Times New Roman"/>
          <w:b/>
          <w:color w:val="000000" w:themeColor="text1"/>
        </w:rPr>
        <w:t xml:space="preserve">Distribution of </w:t>
      </w:r>
      <w:r w:rsidR="00726942">
        <w:rPr>
          <w:rFonts w:ascii="Times New Roman" w:hAnsi="Times New Roman" w:cs="Times New Roman"/>
          <w:b/>
          <w:color w:val="000000" w:themeColor="text1"/>
        </w:rPr>
        <w:t xml:space="preserve">Average Observed to Expected Cost </w:t>
      </w:r>
      <w:r w:rsidR="00726942" w:rsidRPr="00CE1567">
        <w:rPr>
          <w:rFonts w:ascii="Times New Roman" w:hAnsi="Times New Roman" w:cs="Times New Roman"/>
          <w:b/>
          <w:color w:val="000000" w:themeColor="text1"/>
        </w:rPr>
        <w:t>Ratio</w:t>
      </w:r>
      <w:r w:rsidR="00726942">
        <w:rPr>
          <w:rFonts w:ascii="Times New Roman" w:hAnsi="Times New Roman" w:cs="Times New Roman"/>
          <w:b/>
          <w:color w:val="000000" w:themeColor="text1"/>
        </w:rPr>
        <w:t>s for TIN-NPIs</w:t>
      </w:r>
    </w:p>
    <w:p w14:paraId="6D81AF39" w14:textId="5C2A538F" w:rsidR="001A2993" w:rsidRDefault="002A3AA5" w:rsidP="002E7B96">
      <w:pPr>
        <w:autoSpaceDE w:val="0"/>
        <w:autoSpaceDN w:val="0"/>
        <w:adjustRightInd w:val="0"/>
        <w:spacing w:after="0" w:line="240" w:lineRule="auto"/>
        <w:jc w:val="center"/>
        <w:rPr>
          <w:rFonts w:cstheme="minorHAnsi"/>
          <w:bCs/>
          <w:color w:val="0070C0"/>
        </w:rPr>
      </w:pPr>
      <w:bookmarkStart w:id="16" w:name="_GoBack"/>
      <w:r w:rsidRPr="002A3AA5">
        <w:drawing>
          <wp:inline distT="0" distB="0" distL="0" distR="0" wp14:anchorId="1F7530C6" wp14:editId="53CBF781">
            <wp:extent cx="4933950" cy="3295650"/>
            <wp:effectExtent l="0" t="0" r="0" b="0"/>
            <wp:docPr id="4" name="Picture 4" descr="Figure 2 is a histogram of the distribution of TIN-NPIs' mean observed to expected cost ratios across attributed Non-Emergent CABG Measure episodes. The x-axis represents these cost ratios broken down into intervals of 0.05. The y-axis displays the percentage of TIN-NPIs ranging from 0% to 35% at 5% increments. The plot area displays blue rectangles, and their heights reflect the percentages of TIN-NPIs whose cost ratios fall within each interval along the x-axis. 0.00% of TIN-NPIs have a cost ratio in the '(0.55,0.6]' range. 0.00% of TIN-NPIs have a cost ratio in the '(0.6,0.65]' range. 0.00% of TIN-NPIs have a cost ratio in the '(0.65,0.7]' range. 0.00% of TIN-NPIs have a cost ratio in the '(0.7,0.75]' range. 0.08% of TINs have a cost ratio in the '(0.75,0.8]' range. 0.27% of TIN-NPIs have a cost ratio in the '(0.8,0.85]' range. 4.78% of TIN-NPIs have a cost ratio in the '(0.85,0.9]' range. 20.71% of TIN-NPIs have a cost ratio in the '(0.9,0.95]' range. 28.98% of TIN-NPIs have a cost ratio in the '(0.95,1.00]' range. 22.12% of TIN-NPIs have a cost ratio in the '(1.00,1.05]' range. 11.96% of TIN-NPIs have a cost ratio in the '(1.05,1.10]' range. 5.49% of TIN-NPIs have a cost ratio in the '(1.10,1.15]' range. 2.67% of TIN-NPIs have a cost ratio in the '(1.15,1.20]' range. 1.37% of TIN-NPIs have a cost ratio in the '(1.20,1.25]' range. 0.75% of TIN-NPIs have a cost ratio in the '(1.25,1.30]' range. 0.47% of TIN-NPIs have a cost ratio in the '(1.30,1.35]' range. 0.12% of TIN-NPIs have a cost ratio in the '(1.35,1.40]' range. 0.04% of TIN-NPIs have a cost ratio in the '(1.40,1.45]' range. 0.08% of TIN-NPIs have a cost ratio in the '(1.45,1.50]' range. 0.08% of TIN-NPIs have a cost ratio in the '(1.50,1.55]' range. 0.00% of TIN-NPIs have a cost ratio in the '(1.55,1.60]' range. 0.04% of TIN-NPIs have a cost ratio in the '(1.60,1.65]' range. 0.00% of TIN-NPIs have a cost ratio in the '(1.65,1.70]' range. 0.00% of TIN-NPIs have a cost ratio in the '(1.70,1.75]' range. 0.00% of TIN-NPIs have a cost ratio in the '(1.75,1.80]' range. 0.00% of TIN-NPIs have a cost ratio in the '(1.80,1.85]' range. The distribution is skewed to the right. " title="Figure 2: Distribution of Average Observed to Expected Cost Ratios for TIN-N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950" cy="3295650"/>
                    </a:xfrm>
                    <a:prstGeom prst="rect">
                      <a:avLst/>
                    </a:prstGeom>
                    <a:noFill/>
                    <a:ln>
                      <a:noFill/>
                    </a:ln>
                  </pic:spPr>
                </pic:pic>
              </a:graphicData>
            </a:graphic>
          </wp:inline>
        </w:drawing>
      </w:r>
      <w:bookmarkEnd w:id="16"/>
    </w:p>
    <w:p w14:paraId="232BFCCB" w14:textId="6FFAE78C" w:rsidR="001A2993" w:rsidRPr="00FE2A26" w:rsidRDefault="008C05E5" w:rsidP="001A2993">
      <w:pPr>
        <w:autoSpaceDE w:val="0"/>
        <w:autoSpaceDN w:val="0"/>
        <w:adjustRightInd w:val="0"/>
        <w:spacing w:after="0" w:line="240" w:lineRule="auto"/>
        <w:rPr>
          <w:rFonts w:cstheme="minorHAnsi"/>
          <w:bCs/>
          <w:color w:val="0070C0"/>
          <w:highlight w:val="yellow"/>
        </w:rPr>
      </w:pPr>
      <w:r w:rsidRPr="00187C14">
        <w:rPr>
          <w:rFonts w:cstheme="minorHAnsi"/>
          <w:bCs/>
          <w:color w:val="0070C0"/>
        </w:rPr>
        <w:t xml:space="preserve">This analysis </w:t>
      </w:r>
      <w:r w:rsidR="001A2993" w:rsidRPr="00187C14">
        <w:rPr>
          <w:rFonts w:cstheme="minorHAnsi"/>
          <w:bCs/>
          <w:color w:val="0070C0"/>
        </w:rPr>
        <w:t>also show</w:t>
      </w:r>
      <w:r w:rsidRPr="00187C14">
        <w:rPr>
          <w:rFonts w:cstheme="minorHAnsi"/>
          <w:bCs/>
          <w:color w:val="0070C0"/>
        </w:rPr>
        <w:t>s</w:t>
      </w:r>
      <w:r w:rsidR="001A2993" w:rsidRPr="00187C14">
        <w:rPr>
          <w:rFonts w:cstheme="minorHAnsi"/>
          <w:bCs/>
          <w:color w:val="0070C0"/>
        </w:rPr>
        <w:t xml:space="preserve"> that there is not system</w:t>
      </w:r>
      <w:r w:rsidR="00726942" w:rsidRPr="00187C14">
        <w:rPr>
          <w:rFonts w:cstheme="minorHAnsi"/>
          <w:bCs/>
          <w:color w:val="0070C0"/>
        </w:rPr>
        <w:t>at</w:t>
      </w:r>
      <w:r w:rsidR="001A2993" w:rsidRPr="00187C14">
        <w:rPr>
          <w:rFonts w:cstheme="minorHAnsi"/>
          <w:bCs/>
          <w:color w:val="0070C0"/>
        </w:rPr>
        <w:t xml:space="preserve">ic regional difference in clinician score. </w:t>
      </w:r>
      <w:r w:rsidR="00187C14">
        <w:rPr>
          <w:rFonts w:cstheme="minorHAnsi"/>
          <w:bCs/>
          <w:color w:val="0070C0"/>
        </w:rPr>
        <w:t>For instance, at TIN-NPI level of analysis, clinicians in urban areas have a mean performance score of 1.01, which is comparable to the mean score of clinicians operating in rural areas at 0.99. Differences in mean score across nine census divisions (excluding “Unknown”) is also limited, ranging from 0.98 in the Middle Atlantic and East South Central divisions, to 1.02 in the South Atlantic and Pacific divisions.</w:t>
      </w:r>
    </w:p>
    <w:p w14:paraId="698DBE8D" w14:textId="77777777" w:rsidR="001A2993" w:rsidRPr="00FE2A26" w:rsidRDefault="001A2993" w:rsidP="001A2993">
      <w:pPr>
        <w:autoSpaceDE w:val="0"/>
        <w:autoSpaceDN w:val="0"/>
        <w:adjustRightInd w:val="0"/>
        <w:spacing w:after="0" w:line="240" w:lineRule="auto"/>
        <w:rPr>
          <w:rFonts w:cstheme="minorHAnsi"/>
          <w:bCs/>
          <w:color w:val="0070C0"/>
          <w:highlight w:val="yellow"/>
        </w:rPr>
      </w:pPr>
    </w:p>
    <w:p w14:paraId="13D55906" w14:textId="65633419" w:rsidR="00A51A4D" w:rsidRDefault="00187C14" w:rsidP="00A51A4D">
      <w:pPr>
        <w:autoSpaceDE w:val="0"/>
        <w:autoSpaceDN w:val="0"/>
        <w:adjustRightInd w:val="0"/>
        <w:spacing w:after="0" w:line="240" w:lineRule="auto"/>
        <w:rPr>
          <w:rFonts w:cstheme="minorHAnsi"/>
          <w:bCs/>
          <w:color w:val="0070C0"/>
        </w:rPr>
      </w:pPr>
      <w:r w:rsidRPr="00F55E09">
        <w:rPr>
          <w:rFonts w:cstheme="minorHAnsi"/>
          <w:bCs/>
          <w:color w:val="0070C0"/>
        </w:rPr>
        <w:t xml:space="preserve">Analysis of clinicians by number of episodes indicates that clinicians with more episodes perform similarly to those who perform fewer procedures. Specifically, </w:t>
      </w:r>
      <w:r>
        <w:rPr>
          <w:rFonts w:cstheme="minorHAnsi"/>
          <w:bCs/>
          <w:color w:val="0070C0"/>
        </w:rPr>
        <w:t xml:space="preserve">at TIN-NPI level of analysis, </w:t>
      </w:r>
      <w:r w:rsidRPr="00F55E09">
        <w:rPr>
          <w:rFonts w:cstheme="minorHAnsi"/>
          <w:bCs/>
          <w:color w:val="0070C0"/>
        </w:rPr>
        <w:t>clinicians with fewest episodes (10-19) had an average score of 1.0</w:t>
      </w:r>
      <w:r>
        <w:rPr>
          <w:rFonts w:cstheme="minorHAnsi"/>
          <w:bCs/>
          <w:color w:val="0070C0"/>
        </w:rPr>
        <w:t>1</w:t>
      </w:r>
      <w:r w:rsidRPr="00F55E09">
        <w:rPr>
          <w:rFonts w:cstheme="minorHAnsi"/>
          <w:bCs/>
          <w:color w:val="0070C0"/>
        </w:rPr>
        <w:t>, while clinicians with higher case volumes (</w:t>
      </w:r>
      <w:r w:rsidR="0031093A">
        <w:rPr>
          <w:rFonts w:cstheme="minorHAnsi"/>
          <w:bCs/>
          <w:color w:val="0070C0"/>
        </w:rPr>
        <w:t>30-5</w:t>
      </w:r>
      <w:r>
        <w:rPr>
          <w:rFonts w:cstheme="minorHAnsi"/>
          <w:bCs/>
          <w:color w:val="0070C0"/>
        </w:rPr>
        <w:t>9) had an average score of 0.99</w:t>
      </w:r>
      <w:r w:rsidRPr="00F55E09">
        <w:rPr>
          <w:rFonts w:cstheme="minorHAnsi"/>
          <w:bCs/>
          <w:color w:val="0070C0"/>
        </w:rPr>
        <w:t xml:space="preserve">. </w:t>
      </w:r>
      <w:r w:rsidR="00A51A4D">
        <w:rPr>
          <w:rFonts w:cstheme="minorHAnsi"/>
          <w:bCs/>
          <w:color w:val="0070C0"/>
        </w:rPr>
        <w:t xml:space="preserve">Full results can be seen in Appendix </w:t>
      </w:r>
      <w:r w:rsidR="009E48AC">
        <w:rPr>
          <w:rFonts w:cstheme="minorHAnsi"/>
          <w:bCs/>
          <w:color w:val="0070C0"/>
        </w:rPr>
        <w:t xml:space="preserve">Table </w:t>
      </w:r>
      <w:r w:rsidR="00A51A4D">
        <w:rPr>
          <w:rFonts w:cstheme="minorHAnsi"/>
          <w:bCs/>
          <w:color w:val="0070C0"/>
        </w:rPr>
        <w:t>2b4.2.</w:t>
      </w:r>
    </w:p>
    <w:p w14:paraId="10BBEADC" w14:textId="7A563280" w:rsidR="004E2FCA" w:rsidRDefault="004E2FCA" w:rsidP="001A2993">
      <w:pPr>
        <w:autoSpaceDE w:val="0"/>
        <w:autoSpaceDN w:val="0"/>
        <w:adjustRightInd w:val="0"/>
        <w:spacing w:after="0" w:line="240" w:lineRule="auto"/>
        <w:rPr>
          <w:rFonts w:cstheme="minorHAnsi"/>
          <w:bCs/>
          <w:color w:val="0070C0"/>
        </w:rPr>
      </w:pPr>
    </w:p>
    <w:p w14:paraId="0D037EA7" w14:textId="4CB2EA1B" w:rsidR="004E2FCA" w:rsidRPr="004E2FCA" w:rsidRDefault="004E2FCA" w:rsidP="004E2FCA">
      <w:pPr>
        <w:autoSpaceDE w:val="0"/>
        <w:autoSpaceDN w:val="0"/>
        <w:adjustRightInd w:val="0"/>
        <w:spacing w:after="0" w:line="240" w:lineRule="auto"/>
        <w:rPr>
          <w:rFonts w:cs="Times New Roman"/>
          <w:bCs/>
          <w:color w:val="0070C0"/>
        </w:rPr>
      </w:pPr>
      <w:r w:rsidRPr="00424724">
        <w:rPr>
          <w:rFonts w:cs="Times New Roman"/>
          <w:bCs/>
          <w:color w:val="0070C0"/>
        </w:rPr>
        <w:t xml:space="preserve">Due to the high level of reliability of the </w:t>
      </w:r>
      <w:r w:rsidR="00187C14" w:rsidRPr="00424724">
        <w:rPr>
          <w:rFonts w:cs="Times New Roman"/>
          <w:bCs/>
          <w:color w:val="0070C0"/>
        </w:rPr>
        <w:t>Non-Emergent CABG Measure</w:t>
      </w:r>
      <w:r w:rsidRPr="00424724">
        <w:rPr>
          <w:rFonts w:cs="Times New Roman"/>
          <w:bCs/>
          <w:color w:val="0070C0"/>
        </w:rPr>
        <w:t>, demonstrated in Section 2a2, small differences in scores can be interpreted as meaningful. This is confirmed by our analysis o</w:t>
      </w:r>
      <w:r w:rsidR="00424724" w:rsidRPr="00424724">
        <w:rPr>
          <w:rFonts w:cs="Times New Roman"/>
          <w:bCs/>
          <w:color w:val="0070C0"/>
        </w:rPr>
        <w:t>f statistical significance: 14</w:t>
      </w:r>
      <w:r w:rsidR="00831BC9">
        <w:rPr>
          <w:rFonts w:cs="Times New Roman"/>
          <w:bCs/>
          <w:color w:val="0070C0"/>
        </w:rPr>
        <w:t>.55</w:t>
      </w:r>
      <w:r w:rsidR="00424724" w:rsidRPr="00424724">
        <w:rPr>
          <w:rFonts w:cs="Times New Roman"/>
          <w:bCs/>
          <w:color w:val="0070C0"/>
        </w:rPr>
        <w:t xml:space="preserve"> percent of TINs and 10.9</w:t>
      </w:r>
      <w:r w:rsidR="00831BC9">
        <w:rPr>
          <w:rFonts w:cs="Times New Roman"/>
          <w:bCs/>
          <w:color w:val="0070C0"/>
        </w:rPr>
        <w:t>0</w:t>
      </w:r>
      <w:r w:rsidRPr="00424724">
        <w:rPr>
          <w:rFonts w:cs="Times New Roman"/>
          <w:bCs/>
          <w:color w:val="0070C0"/>
        </w:rPr>
        <w:t xml:space="preserve"> percent of TIN-NPIs had scores that were statistically significantly higher than the national mean, while 20.</w:t>
      </w:r>
      <w:r w:rsidR="00424724" w:rsidRPr="00424724">
        <w:rPr>
          <w:rFonts w:cs="Times New Roman"/>
          <w:bCs/>
          <w:color w:val="0070C0"/>
        </w:rPr>
        <w:t>4</w:t>
      </w:r>
      <w:r w:rsidR="00831BC9">
        <w:rPr>
          <w:rFonts w:cs="Times New Roman"/>
          <w:bCs/>
          <w:color w:val="0070C0"/>
        </w:rPr>
        <w:t>0</w:t>
      </w:r>
      <w:r w:rsidRPr="00424724">
        <w:rPr>
          <w:rFonts w:cs="Times New Roman"/>
          <w:bCs/>
          <w:color w:val="0070C0"/>
        </w:rPr>
        <w:t xml:space="preserve"> percent of TIN</w:t>
      </w:r>
      <w:r w:rsidR="00424724" w:rsidRPr="00424724">
        <w:rPr>
          <w:rFonts w:cs="Times New Roman"/>
          <w:bCs/>
          <w:color w:val="0070C0"/>
        </w:rPr>
        <w:t>s and 9</w:t>
      </w:r>
      <w:r w:rsidR="00831BC9">
        <w:rPr>
          <w:rFonts w:cs="Times New Roman"/>
          <w:bCs/>
          <w:color w:val="0070C0"/>
        </w:rPr>
        <w:t>.65</w:t>
      </w:r>
      <w:r w:rsidRPr="00424724">
        <w:rPr>
          <w:rFonts w:cs="Times New Roman"/>
          <w:bCs/>
          <w:color w:val="0070C0"/>
        </w:rPr>
        <w:t xml:space="preserve"> percent of TIN-NPIs had scores that were statistically significantly lower (</w:t>
      </w:r>
      <w:r w:rsidRPr="00F22C36">
        <w:rPr>
          <w:rFonts w:cs="Times New Roman"/>
          <w:bCs/>
          <w:color w:val="0070C0"/>
        </w:rPr>
        <w:t>Table 7).</w:t>
      </w:r>
    </w:p>
    <w:p w14:paraId="5A1E8A68" w14:textId="77777777" w:rsidR="004E2FCA" w:rsidRDefault="004E2FCA" w:rsidP="004E2FCA">
      <w:pPr>
        <w:autoSpaceDE w:val="0"/>
        <w:autoSpaceDN w:val="0"/>
        <w:adjustRightInd w:val="0"/>
        <w:spacing w:after="0" w:line="240" w:lineRule="auto"/>
        <w:jc w:val="center"/>
        <w:rPr>
          <w:rFonts w:cstheme="minorHAnsi"/>
          <w:b/>
          <w:bCs/>
          <w:iCs/>
          <w:color w:val="000000" w:themeColor="text1"/>
        </w:rPr>
      </w:pPr>
    </w:p>
    <w:p w14:paraId="60B0AB65" w14:textId="07C51912" w:rsidR="004E2FCA" w:rsidRPr="00CE1567" w:rsidRDefault="004E2FCA" w:rsidP="002E7B96">
      <w:pPr>
        <w:keepNext/>
        <w:autoSpaceDE w:val="0"/>
        <w:autoSpaceDN w:val="0"/>
        <w:adjustRightInd w:val="0"/>
        <w:spacing w:after="0" w:line="240" w:lineRule="auto"/>
        <w:jc w:val="center"/>
        <w:rPr>
          <w:rFonts w:ascii="Times New Roman" w:hAnsi="Times New Roman" w:cs="Times New Roman"/>
          <w:b/>
          <w:bCs/>
          <w:color w:val="0070C0"/>
        </w:rPr>
      </w:pPr>
      <w:r w:rsidRPr="00CE1567">
        <w:rPr>
          <w:rFonts w:ascii="Times New Roman" w:hAnsi="Times New Roman" w:cs="Times New Roman"/>
          <w:b/>
          <w:bCs/>
          <w:iCs/>
          <w:color w:val="000000" w:themeColor="text1"/>
        </w:rPr>
        <w:t xml:space="preserve">Table </w:t>
      </w:r>
      <w:r w:rsidR="00A65337">
        <w:rPr>
          <w:rFonts w:ascii="Times New Roman" w:hAnsi="Times New Roman" w:cs="Times New Roman"/>
          <w:b/>
          <w:bCs/>
          <w:iCs/>
          <w:color w:val="000000" w:themeColor="text1"/>
        </w:rPr>
        <w:t>7</w:t>
      </w:r>
      <w:r w:rsidRPr="00CE1567">
        <w:rPr>
          <w:rFonts w:ascii="Times New Roman" w:hAnsi="Times New Roman" w:cs="Times New Roman"/>
          <w:b/>
          <w:bCs/>
          <w:iCs/>
          <w:color w:val="000000" w:themeColor="text1"/>
        </w:rPr>
        <w:t xml:space="preserve">. </w:t>
      </w:r>
      <w:r w:rsidRPr="00CE1567">
        <w:rPr>
          <w:rFonts w:ascii="Times New Roman" w:hAnsi="Times New Roman" w:cs="Times New Roman"/>
          <w:b/>
        </w:rPr>
        <w:t>Proportion of Measure Scores Statistically Significantly Different From the National Average</w:t>
      </w:r>
    </w:p>
    <w:tbl>
      <w:tblPr>
        <w:tblStyle w:val="TableGrid"/>
        <w:tblW w:w="0" w:type="auto"/>
        <w:jc w:val="center"/>
        <w:tblLook w:val="04A0" w:firstRow="1" w:lastRow="0" w:firstColumn="1" w:lastColumn="0" w:noHBand="0" w:noVBand="1"/>
      </w:tblPr>
      <w:tblGrid>
        <w:gridCol w:w="2083"/>
        <w:gridCol w:w="1201"/>
        <w:gridCol w:w="1011"/>
        <w:gridCol w:w="1011"/>
        <w:gridCol w:w="1011"/>
        <w:gridCol w:w="1011"/>
        <w:gridCol w:w="1011"/>
        <w:gridCol w:w="1011"/>
      </w:tblGrid>
      <w:tr w:rsidR="004E2FCA" w:rsidRPr="00664A85" w14:paraId="562BF62F" w14:textId="77777777" w:rsidTr="00C44266">
        <w:trPr>
          <w:trHeight w:val="600"/>
          <w:jc w:val="center"/>
        </w:trPr>
        <w:tc>
          <w:tcPr>
            <w:tcW w:w="2083" w:type="dxa"/>
            <w:vMerge w:val="restart"/>
            <w:shd w:val="clear" w:color="auto" w:fill="002060"/>
            <w:vAlign w:val="center"/>
            <w:hideMark/>
          </w:tcPr>
          <w:p w14:paraId="74AC25F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Provider Level</w:t>
            </w:r>
          </w:p>
        </w:tc>
        <w:tc>
          <w:tcPr>
            <w:tcW w:w="1201" w:type="dxa"/>
            <w:vMerge w:val="restart"/>
            <w:shd w:val="clear" w:color="auto" w:fill="002060"/>
            <w:vAlign w:val="center"/>
            <w:hideMark/>
          </w:tcPr>
          <w:p w14:paraId="0B38901B"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 of Providers</w:t>
            </w:r>
          </w:p>
        </w:tc>
        <w:tc>
          <w:tcPr>
            <w:tcW w:w="2022" w:type="dxa"/>
            <w:gridSpan w:val="2"/>
            <w:shd w:val="clear" w:color="auto" w:fill="002060"/>
            <w:vAlign w:val="center"/>
            <w:hideMark/>
          </w:tcPr>
          <w:p w14:paraId="13FD1189"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lower than national mean</w:t>
            </w:r>
          </w:p>
        </w:tc>
        <w:tc>
          <w:tcPr>
            <w:tcW w:w="2022" w:type="dxa"/>
            <w:gridSpan w:val="2"/>
            <w:shd w:val="clear" w:color="auto" w:fill="002060"/>
            <w:vAlign w:val="center"/>
            <w:hideMark/>
          </w:tcPr>
          <w:p w14:paraId="6E96714F"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Not statistically significantly different from national mean</w:t>
            </w:r>
          </w:p>
        </w:tc>
        <w:tc>
          <w:tcPr>
            <w:tcW w:w="2022" w:type="dxa"/>
            <w:gridSpan w:val="2"/>
            <w:shd w:val="clear" w:color="auto" w:fill="002060"/>
            <w:vAlign w:val="center"/>
            <w:hideMark/>
          </w:tcPr>
          <w:p w14:paraId="1C85DAEA"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Statistically significantly higher than national mean</w:t>
            </w:r>
          </w:p>
        </w:tc>
      </w:tr>
      <w:tr w:rsidR="004E2FCA" w:rsidRPr="00664A85" w14:paraId="57E8DD79" w14:textId="77777777" w:rsidTr="00C44266">
        <w:trPr>
          <w:trHeight w:val="188"/>
          <w:jc w:val="center"/>
        </w:trPr>
        <w:tc>
          <w:tcPr>
            <w:tcW w:w="2083" w:type="dxa"/>
            <w:vMerge/>
            <w:shd w:val="clear" w:color="auto" w:fill="002060"/>
            <w:vAlign w:val="center"/>
            <w:hideMark/>
          </w:tcPr>
          <w:p w14:paraId="6F90453C"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p>
        </w:tc>
        <w:tc>
          <w:tcPr>
            <w:tcW w:w="1201" w:type="dxa"/>
            <w:vMerge/>
            <w:shd w:val="clear" w:color="auto" w:fill="002060"/>
            <w:vAlign w:val="center"/>
            <w:hideMark/>
          </w:tcPr>
          <w:p w14:paraId="0CBCF8AD"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p>
        </w:tc>
        <w:tc>
          <w:tcPr>
            <w:tcW w:w="1011" w:type="dxa"/>
            <w:shd w:val="clear" w:color="auto" w:fill="0070C0"/>
            <w:vAlign w:val="center"/>
            <w:hideMark/>
          </w:tcPr>
          <w:p w14:paraId="489CAB49"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D63F054"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3E07941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43C829F1"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hideMark/>
          </w:tcPr>
          <w:p w14:paraId="70FDCD40"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c>
          <w:tcPr>
            <w:tcW w:w="1011" w:type="dxa"/>
            <w:shd w:val="clear" w:color="auto" w:fill="0070C0"/>
            <w:vAlign w:val="center"/>
          </w:tcPr>
          <w:p w14:paraId="53B8141F" w14:textId="77777777" w:rsidR="004E2FCA" w:rsidRPr="00664A85" w:rsidRDefault="004E2FCA" w:rsidP="00C44266">
            <w:pPr>
              <w:autoSpaceDE w:val="0"/>
              <w:autoSpaceDN w:val="0"/>
              <w:adjustRightInd w:val="0"/>
              <w:jc w:val="center"/>
              <w:rPr>
                <w:rFonts w:ascii="Arial" w:hAnsi="Arial" w:cs="Arial"/>
                <w:b/>
                <w:bCs/>
                <w:color w:val="FFFFFF" w:themeColor="background1"/>
                <w:sz w:val="20"/>
                <w:szCs w:val="20"/>
              </w:rPr>
            </w:pPr>
            <w:r w:rsidRPr="00664A85">
              <w:rPr>
                <w:rFonts w:ascii="Arial" w:hAnsi="Arial" w:cs="Arial"/>
                <w:b/>
                <w:bCs/>
                <w:color w:val="FFFFFF" w:themeColor="background1"/>
                <w:sz w:val="20"/>
                <w:szCs w:val="20"/>
              </w:rPr>
              <w:t>%</w:t>
            </w:r>
          </w:p>
        </w:tc>
      </w:tr>
      <w:tr w:rsidR="004E2FCA" w:rsidRPr="00664A85" w14:paraId="7FA1DADD" w14:textId="77777777" w:rsidTr="00424724">
        <w:trPr>
          <w:trHeight w:val="255"/>
          <w:jc w:val="center"/>
        </w:trPr>
        <w:tc>
          <w:tcPr>
            <w:tcW w:w="2083" w:type="dxa"/>
            <w:noWrap/>
            <w:hideMark/>
          </w:tcPr>
          <w:p w14:paraId="1B856099" w14:textId="77777777" w:rsidR="004E2FCA" w:rsidRPr="00664A85" w:rsidRDefault="004E2FCA" w:rsidP="00C44266">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w:t>
            </w:r>
          </w:p>
        </w:tc>
        <w:tc>
          <w:tcPr>
            <w:tcW w:w="1201" w:type="dxa"/>
            <w:noWrap/>
            <w:vAlign w:val="center"/>
          </w:tcPr>
          <w:p w14:paraId="66D787CD" w14:textId="698D7FA3"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804</w:t>
            </w:r>
          </w:p>
        </w:tc>
        <w:tc>
          <w:tcPr>
            <w:tcW w:w="1011" w:type="dxa"/>
            <w:noWrap/>
            <w:vAlign w:val="center"/>
          </w:tcPr>
          <w:p w14:paraId="7581A27B" w14:textId="59D6E3CD"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164</w:t>
            </w:r>
          </w:p>
        </w:tc>
        <w:tc>
          <w:tcPr>
            <w:tcW w:w="1011" w:type="dxa"/>
            <w:noWrap/>
            <w:vAlign w:val="center"/>
          </w:tcPr>
          <w:p w14:paraId="09432ED1" w14:textId="6AFE4FEC"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20.40%</w:t>
            </w:r>
          </w:p>
        </w:tc>
        <w:tc>
          <w:tcPr>
            <w:tcW w:w="1011" w:type="dxa"/>
            <w:noWrap/>
            <w:vAlign w:val="center"/>
          </w:tcPr>
          <w:p w14:paraId="7167AB37" w14:textId="46401229"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523</w:t>
            </w:r>
          </w:p>
        </w:tc>
        <w:tc>
          <w:tcPr>
            <w:tcW w:w="1011" w:type="dxa"/>
            <w:noWrap/>
            <w:vAlign w:val="center"/>
          </w:tcPr>
          <w:p w14:paraId="31204C07" w14:textId="0400346C"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65.05%</w:t>
            </w:r>
          </w:p>
        </w:tc>
        <w:tc>
          <w:tcPr>
            <w:tcW w:w="1011" w:type="dxa"/>
            <w:noWrap/>
            <w:vAlign w:val="center"/>
          </w:tcPr>
          <w:p w14:paraId="3F116383" w14:textId="63E0FC1B"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117</w:t>
            </w:r>
          </w:p>
        </w:tc>
        <w:tc>
          <w:tcPr>
            <w:tcW w:w="1011" w:type="dxa"/>
            <w:noWrap/>
            <w:vAlign w:val="center"/>
          </w:tcPr>
          <w:p w14:paraId="1923708F" w14:textId="7C627B87"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14.55%</w:t>
            </w:r>
          </w:p>
        </w:tc>
      </w:tr>
      <w:tr w:rsidR="004E2FCA" w:rsidRPr="00664A85" w14:paraId="0C2CB2F5" w14:textId="77777777" w:rsidTr="00424724">
        <w:trPr>
          <w:trHeight w:val="270"/>
          <w:jc w:val="center"/>
        </w:trPr>
        <w:tc>
          <w:tcPr>
            <w:tcW w:w="2083" w:type="dxa"/>
            <w:noWrap/>
            <w:hideMark/>
          </w:tcPr>
          <w:p w14:paraId="7F5643F9" w14:textId="77777777" w:rsidR="004E2FCA" w:rsidRPr="00664A85" w:rsidRDefault="004E2FCA" w:rsidP="00C44266">
            <w:pPr>
              <w:autoSpaceDE w:val="0"/>
              <w:autoSpaceDN w:val="0"/>
              <w:adjustRightInd w:val="0"/>
              <w:rPr>
                <w:rFonts w:ascii="Arial" w:hAnsi="Arial" w:cs="Arial"/>
                <w:bCs/>
                <w:color w:val="000000" w:themeColor="text1"/>
                <w:sz w:val="20"/>
                <w:szCs w:val="20"/>
              </w:rPr>
            </w:pPr>
            <w:r w:rsidRPr="00664A85">
              <w:rPr>
                <w:rFonts w:ascii="Arial" w:hAnsi="Arial" w:cs="Arial"/>
                <w:bCs/>
                <w:color w:val="000000" w:themeColor="text1"/>
                <w:sz w:val="20"/>
                <w:szCs w:val="20"/>
              </w:rPr>
              <w:t>TIN-NPI</w:t>
            </w:r>
          </w:p>
        </w:tc>
        <w:tc>
          <w:tcPr>
            <w:tcW w:w="1201" w:type="dxa"/>
            <w:noWrap/>
            <w:vAlign w:val="center"/>
          </w:tcPr>
          <w:p w14:paraId="2B7A92AE" w14:textId="7637E8F0"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2,550</w:t>
            </w:r>
          </w:p>
        </w:tc>
        <w:tc>
          <w:tcPr>
            <w:tcW w:w="1011" w:type="dxa"/>
            <w:noWrap/>
            <w:vAlign w:val="center"/>
          </w:tcPr>
          <w:p w14:paraId="1859F45B" w14:textId="05A7CBDA"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246</w:t>
            </w:r>
          </w:p>
        </w:tc>
        <w:tc>
          <w:tcPr>
            <w:tcW w:w="1011" w:type="dxa"/>
            <w:noWrap/>
            <w:vAlign w:val="center"/>
          </w:tcPr>
          <w:p w14:paraId="4E00040D" w14:textId="4DC306D6"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9.65%</w:t>
            </w:r>
          </w:p>
        </w:tc>
        <w:tc>
          <w:tcPr>
            <w:tcW w:w="1011" w:type="dxa"/>
            <w:noWrap/>
            <w:vAlign w:val="center"/>
          </w:tcPr>
          <w:p w14:paraId="71A83B04" w14:textId="05629500"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2,026</w:t>
            </w:r>
          </w:p>
        </w:tc>
        <w:tc>
          <w:tcPr>
            <w:tcW w:w="1011" w:type="dxa"/>
            <w:noWrap/>
            <w:vAlign w:val="center"/>
          </w:tcPr>
          <w:p w14:paraId="5DECEF8E" w14:textId="097047CE"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79.45%</w:t>
            </w:r>
          </w:p>
        </w:tc>
        <w:tc>
          <w:tcPr>
            <w:tcW w:w="1011" w:type="dxa"/>
            <w:noWrap/>
            <w:vAlign w:val="center"/>
          </w:tcPr>
          <w:p w14:paraId="65AEF206" w14:textId="186E2332"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278</w:t>
            </w:r>
          </w:p>
        </w:tc>
        <w:tc>
          <w:tcPr>
            <w:tcW w:w="1011" w:type="dxa"/>
            <w:noWrap/>
            <w:vAlign w:val="center"/>
          </w:tcPr>
          <w:p w14:paraId="0387CF69" w14:textId="61E673B8" w:rsidR="004E2FCA" w:rsidRPr="00664A85" w:rsidRDefault="00424724" w:rsidP="00424724">
            <w:pPr>
              <w:autoSpaceDE w:val="0"/>
              <w:autoSpaceDN w:val="0"/>
              <w:adjustRightInd w:val="0"/>
              <w:jc w:val="center"/>
              <w:rPr>
                <w:rFonts w:ascii="Arial" w:hAnsi="Arial" w:cs="Arial"/>
                <w:bCs/>
                <w:color w:val="000000" w:themeColor="text1"/>
                <w:sz w:val="20"/>
                <w:szCs w:val="20"/>
              </w:rPr>
            </w:pPr>
            <w:r>
              <w:rPr>
                <w:rFonts w:ascii="Arial" w:hAnsi="Arial" w:cs="Arial"/>
                <w:bCs/>
                <w:color w:val="000000" w:themeColor="text1"/>
                <w:sz w:val="20"/>
                <w:szCs w:val="20"/>
              </w:rPr>
              <w:t>10.90%</w:t>
            </w:r>
          </w:p>
        </w:tc>
      </w:tr>
    </w:tbl>
    <w:p w14:paraId="0CABD00B" w14:textId="77777777" w:rsidR="00D61410" w:rsidRPr="00927027" w:rsidRDefault="00D61410" w:rsidP="00D61410">
      <w:pPr>
        <w:autoSpaceDE w:val="0"/>
        <w:autoSpaceDN w:val="0"/>
        <w:adjustRightInd w:val="0"/>
        <w:spacing w:after="0" w:line="240" w:lineRule="auto"/>
        <w:rPr>
          <w:rFonts w:cstheme="minorHAnsi"/>
          <w:bCs/>
        </w:rPr>
      </w:pPr>
    </w:p>
    <w:p w14:paraId="251025F0" w14:textId="26F62D8B" w:rsidR="005F1200" w:rsidRDefault="009C7513" w:rsidP="00E82292">
      <w:pPr>
        <w:autoSpaceDE w:val="0"/>
        <w:autoSpaceDN w:val="0"/>
        <w:adjustRightInd w:val="0"/>
        <w:spacing w:after="0" w:line="240" w:lineRule="auto"/>
        <w:rPr>
          <w:rFonts w:cstheme="minorHAnsi"/>
          <w:bCs/>
          <w:color w:val="0070C0"/>
        </w:rPr>
      </w:pPr>
      <w:r>
        <w:rPr>
          <w:rFonts w:cstheme="minorHAnsi"/>
          <w:b/>
          <w:bCs/>
        </w:rPr>
        <w:lastRenderedPageBreak/>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610AE9" w:rsidRPr="00D83E9F">
        <w:rPr>
          <w:rFonts w:cstheme="minorHAnsi"/>
          <w:bCs/>
          <w:color w:val="0070C0"/>
        </w:rPr>
        <w:t xml:space="preserve">There are clinically and practically significant variation in </w:t>
      </w:r>
      <w:r w:rsidR="00424724">
        <w:rPr>
          <w:rFonts w:cstheme="minorHAnsi"/>
          <w:bCs/>
          <w:color w:val="0070C0"/>
        </w:rPr>
        <w:t>Non-Emergent CABG</w:t>
      </w:r>
      <w:r w:rsidR="00FE2A26" w:rsidRPr="00D83E9F">
        <w:rPr>
          <w:rFonts w:cstheme="minorHAnsi"/>
          <w:bCs/>
          <w:color w:val="0070C0"/>
        </w:rPr>
        <w:t xml:space="preserve"> </w:t>
      </w:r>
      <w:r w:rsidR="00424724">
        <w:rPr>
          <w:rFonts w:cstheme="minorHAnsi"/>
          <w:bCs/>
          <w:color w:val="0070C0"/>
        </w:rPr>
        <w:t>M</w:t>
      </w:r>
      <w:r w:rsidR="00610AE9" w:rsidRPr="00D83E9F">
        <w:rPr>
          <w:rFonts w:cstheme="minorHAnsi"/>
          <w:bCs/>
          <w:color w:val="0070C0"/>
        </w:rPr>
        <w:t xml:space="preserve">easure scores, indicating the measure’s ability to capture </w:t>
      </w:r>
      <w:r w:rsidR="00610AE9" w:rsidRPr="00A65337">
        <w:rPr>
          <w:rFonts w:cstheme="minorHAnsi"/>
          <w:bCs/>
          <w:color w:val="0070C0"/>
        </w:rPr>
        <w:t>differences in performance. Our findings regarding variation in measure scores are consistent with expert clinician input</w:t>
      </w:r>
      <w:r w:rsidR="00E82292" w:rsidRPr="00A65337">
        <w:rPr>
          <w:rFonts w:cstheme="minorHAnsi"/>
          <w:bCs/>
          <w:color w:val="0070C0"/>
        </w:rPr>
        <w:t xml:space="preserve"> and a high face validity rating from expert clinicians that scores obtained from the measure specifications will provide an accurate reflection of the cost of episodes of care, and can be used to distinguish good and poor performance on cost effectiveness (see Section 2b1.2)</w:t>
      </w:r>
      <w:r w:rsidR="00610AE9" w:rsidRPr="00A65337">
        <w:rPr>
          <w:rFonts w:cstheme="minorHAnsi"/>
          <w:bCs/>
          <w:color w:val="0070C0"/>
        </w:rPr>
        <w:t xml:space="preserve">. </w:t>
      </w:r>
      <w:r w:rsidR="00E82292" w:rsidRPr="00A65337">
        <w:rPr>
          <w:rFonts w:cstheme="minorHAnsi"/>
          <w:bCs/>
          <w:color w:val="0070C0"/>
        </w:rPr>
        <w:t>For example, empirical results indicate that clinicians are not being penalized or rewarded due to risk score decile or type of clinician (e.g., clinicians practicing</w:t>
      </w:r>
      <w:r w:rsidR="00E82292">
        <w:rPr>
          <w:rFonts w:cstheme="minorHAnsi"/>
          <w:bCs/>
          <w:color w:val="0070C0"/>
        </w:rPr>
        <w:t xml:space="preserve"> in rural vs urban settings, or small vs large providers). </w:t>
      </w:r>
      <w:r w:rsidR="005F1200" w:rsidRPr="005F1200">
        <w:rPr>
          <w:rFonts w:cstheme="minorHAnsi"/>
          <w:bCs/>
          <w:color w:val="0070C0"/>
        </w:rPr>
        <w:t>These suggest that differences in scores are due to meaningful differences in performance, rather than patient or clinician effects. In this way, the measure can capture meaningful differences in resource use and, thus, provide actionable feedback to clinicians on how to improve their performance through care practice changes.</w:t>
      </w:r>
    </w:p>
    <w:p w14:paraId="0CABD00D" w14:textId="77777777" w:rsidR="0086464B" w:rsidRPr="00D83E9F" w:rsidRDefault="0086464B" w:rsidP="0086464B">
      <w:pPr>
        <w:spacing w:after="0" w:line="240" w:lineRule="auto"/>
        <w:rPr>
          <w:rFonts w:cstheme="minorHAnsi"/>
          <w:b/>
          <w:bCs/>
        </w:rPr>
      </w:pPr>
      <w:r w:rsidRPr="00D83E9F">
        <w:rPr>
          <w:rFonts w:cstheme="minorHAnsi"/>
          <w:b/>
          <w:bCs/>
        </w:rPr>
        <w:t>_______________________________________</w:t>
      </w:r>
    </w:p>
    <w:p w14:paraId="0CABD00E" w14:textId="1C19894E" w:rsidR="004B1BA0" w:rsidRPr="00D83E9F" w:rsidRDefault="00021170" w:rsidP="00DB3627">
      <w:pPr>
        <w:autoSpaceDE w:val="0"/>
        <w:autoSpaceDN w:val="0"/>
        <w:adjustRightInd w:val="0"/>
        <w:spacing w:after="0" w:line="240" w:lineRule="auto"/>
        <w:rPr>
          <w:rFonts w:cstheme="minorHAnsi"/>
          <w:b/>
          <w:bCs/>
        </w:rPr>
      </w:pPr>
      <w:r w:rsidRPr="00D83E9F">
        <w:rPr>
          <w:rFonts w:cstheme="minorHAnsi"/>
          <w:b/>
          <w:bCs/>
        </w:rPr>
        <w:t>2</w:t>
      </w:r>
      <w:r w:rsidR="00EA5F47" w:rsidRPr="00D83E9F">
        <w:rPr>
          <w:rFonts w:cstheme="minorHAnsi"/>
          <w:b/>
          <w:bCs/>
        </w:rPr>
        <w:t>b</w:t>
      </w:r>
      <w:r w:rsidR="009C7513" w:rsidRPr="00D83E9F">
        <w:rPr>
          <w:rFonts w:cstheme="minorHAnsi"/>
          <w:b/>
          <w:bCs/>
        </w:rPr>
        <w:t>5</w:t>
      </w:r>
      <w:r w:rsidRPr="00D83E9F">
        <w:rPr>
          <w:rFonts w:cstheme="minorHAnsi"/>
          <w:b/>
          <w:bCs/>
        </w:rPr>
        <w:t xml:space="preserve">. COMPARABILITY OF PERFORMANCE SCORES </w:t>
      </w:r>
      <w:r w:rsidR="004C498F" w:rsidRPr="00D83E9F">
        <w:rPr>
          <w:rFonts w:cstheme="minorHAnsi"/>
          <w:b/>
          <w:bCs/>
        </w:rPr>
        <w:t>WHEN</w:t>
      </w:r>
      <w:r w:rsidR="002B2116" w:rsidRPr="00D83E9F">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D83E9F">
        <w:rPr>
          <w:rFonts w:cstheme="minorHAnsi"/>
          <w:b/>
          <w:bCs/>
          <w:i/>
        </w:rPr>
        <w:t xml:space="preserve">If only one set of specifications, this section can be </w:t>
      </w:r>
      <w:r w:rsidR="00BE592D" w:rsidRPr="00D83E9F">
        <w:rPr>
          <w:rFonts w:cstheme="minorHAnsi"/>
          <w:b/>
          <w:bCs/>
          <w:i/>
        </w:rPr>
        <w:t>skipped.</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6A54699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D83E9F">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6D1E68E1"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8" w14:textId="7935852F" w:rsidR="008F7E67" w:rsidRDefault="009C7513" w:rsidP="00A10EA6">
      <w:pPr>
        <w:autoSpaceDE w:val="0"/>
        <w:autoSpaceDN w:val="0"/>
        <w:adjustRightInd w:val="0"/>
        <w:spacing w:after="0" w:line="240" w:lineRule="auto"/>
        <w:rPr>
          <w:rFonts w:cstheme="minorHAnsi"/>
          <w:b/>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8F7E67">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17BD2380"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BD3167">
        <w:rPr>
          <w:rFonts w:cstheme="minorHAnsi"/>
          <w:bCs/>
        </w:rPr>
        <w:t>)</w:t>
      </w:r>
    </w:p>
    <w:p w14:paraId="07A34DFB" w14:textId="4724E293" w:rsidR="00ED722D" w:rsidRPr="002E2713" w:rsidRDefault="00ED722D" w:rsidP="00ED722D">
      <w:pPr>
        <w:autoSpaceDE w:val="0"/>
        <w:autoSpaceDN w:val="0"/>
        <w:adjustRightInd w:val="0"/>
        <w:spacing w:after="0" w:line="240" w:lineRule="auto"/>
        <w:rPr>
          <w:rFonts w:cstheme="minorHAnsi"/>
          <w:bCs/>
          <w:color w:val="0070C0"/>
        </w:rPr>
      </w:pPr>
      <w:r w:rsidRPr="00ED722D">
        <w:rPr>
          <w:color w:val="0070C0"/>
        </w:rPr>
        <w:lastRenderedPageBreak/>
        <w:t xml:space="preserve">Since CMS uses Medicare claims data to calculate the </w:t>
      </w:r>
      <w:r w:rsidRPr="00ED722D">
        <w:rPr>
          <w:rFonts w:cstheme="minorHAnsi"/>
          <w:bCs/>
          <w:color w:val="0070C0"/>
        </w:rPr>
        <w:t>Non-Emergent CABG Measure</w:t>
      </w:r>
      <w:r w:rsidRPr="00ED722D">
        <w:rPr>
          <w:color w:val="0070C0"/>
        </w:rPr>
        <w:t xml:space="preserve">, Acumen expects a high degree of data completeness. To further ensure that we have complete and accurate data for each patient who opens an episode, we exclude </w:t>
      </w:r>
      <w:r w:rsidRPr="00ED722D">
        <w:rPr>
          <w:rFonts w:cstheme="minorHAnsi"/>
          <w:bCs/>
          <w:color w:val="0070C0"/>
        </w:rPr>
        <w:t xml:space="preserve">episodes where patient date of birth information (an input to the risk adjustment model) cannot be found in the Enrollment Database (EDB), the patient does not appear in the EDB at all, or the patient death date occurs before the episode trigger date. </w:t>
      </w:r>
      <w:r w:rsidRPr="00ED722D">
        <w:rPr>
          <w:color w:val="0070C0"/>
        </w:rPr>
        <w:t xml:space="preserve">We </w:t>
      </w:r>
      <w:r w:rsidRPr="00ED722D">
        <w:rPr>
          <w:rFonts w:cstheme="minorHAnsi"/>
          <w:bCs/>
          <w:color w:val="0070C0"/>
        </w:rPr>
        <w:t>also exclude episodes where the patient is enrolled in Medicare Part C or has a primary payer other than Medicare in the 120-day lookback period and episode window. In such situations, Medicare Parts A and B claims data may not capture the complete clinical profile for the patient needed in risk adjustment. Furthermore, Parts A and B claims data may not capture all Medicare resource use if some portion of the patient’s care is covered under Medicare Part C. These measure exclusions are meant to prevent potential threats to measure validity from missing or incorrect data.</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72C1D4BC" w14:textId="06EE9F38" w:rsidR="00E82292" w:rsidRDefault="009C7513" w:rsidP="00A04E2A">
      <w:pPr>
        <w:autoSpaceDE w:val="0"/>
        <w:autoSpaceDN w:val="0"/>
        <w:adjustRightInd w:val="0"/>
        <w:spacing w:after="0" w:line="240" w:lineRule="auto"/>
        <w:rPr>
          <w:rFonts w:cstheme="minorHAnsi"/>
          <w:bCs/>
          <w:color w:val="0070C0"/>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r w:rsidR="00A04E2A">
        <w:rPr>
          <w:rFonts w:cstheme="minorHAnsi"/>
          <w:bCs/>
          <w:color w:val="0070C0"/>
        </w:rPr>
        <w:t xml:space="preserve">The table below presents the </w:t>
      </w:r>
      <w:r w:rsidR="00A04E2A" w:rsidRPr="002A6CE9">
        <w:rPr>
          <w:rFonts w:cstheme="minorHAnsi"/>
          <w:bCs/>
          <w:color w:val="0070C0"/>
        </w:rPr>
        <w:t xml:space="preserve">frequency of missing data across </w:t>
      </w:r>
      <w:r w:rsidR="008F0B76">
        <w:rPr>
          <w:rFonts w:cstheme="minorHAnsi"/>
          <w:bCs/>
          <w:color w:val="0070C0"/>
        </w:rPr>
        <w:t>five</w:t>
      </w:r>
      <w:r w:rsidR="00A04E2A" w:rsidRPr="002A6CE9">
        <w:rPr>
          <w:rFonts w:cstheme="minorHAnsi"/>
          <w:bCs/>
          <w:color w:val="0070C0"/>
        </w:rPr>
        <w:t xml:space="preserve"> </w:t>
      </w:r>
      <w:r w:rsidR="00E82292">
        <w:rPr>
          <w:rFonts w:cstheme="minorHAnsi"/>
          <w:bCs/>
          <w:color w:val="0070C0"/>
        </w:rPr>
        <w:t>relevant measure exclusion criteria:</w:t>
      </w:r>
    </w:p>
    <w:p w14:paraId="0C18EBDC" w14:textId="0AC45108" w:rsidR="00E82292" w:rsidRPr="002A6CE9" w:rsidRDefault="00A10EA6" w:rsidP="00211B1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Pr>
          <w:rFonts w:cstheme="minorHAnsi"/>
          <w:bCs/>
          <w:color w:val="0070C0"/>
        </w:rPr>
        <w:t xml:space="preserve"> date of birth is missing</w:t>
      </w:r>
    </w:p>
    <w:p w14:paraId="331D0FF2" w14:textId="5E246C7F" w:rsidR="00E82292" w:rsidRDefault="00A10EA6" w:rsidP="00211B1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sidRPr="00B86485">
        <w:rPr>
          <w:rFonts w:cstheme="minorHAnsi"/>
          <w:bCs/>
          <w:color w:val="0070C0"/>
        </w:rPr>
        <w:t xml:space="preserve"> death date o</w:t>
      </w:r>
      <w:r w:rsidR="00E82292">
        <w:rPr>
          <w:rFonts w:cstheme="minorHAnsi"/>
          <w:bCs/>
          <w:color w:val="0070C0"/>
        </w:rPr>
        <w:t>ccurred before the trigger date</w:t>
      </w:r>
    </w:p>
    <w:p w14:paraId="36632312" w14:textId="70FA982D" w:rsidR="008F0B76" w:rsidRDefault="008F0B76" w:rsidP="00211B1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Episode had no main surgeon</w:t>
      </w:r>
    </w:p>
    <w:p w14:paraId="7CF97327" w14:textId="76800461" w:rsidR="00E82292" w:rsidRDefault="00A10EA6" w:rsidP="00211B1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sidRPr="008F3580">
        <w:rPr>
          <w:rFonts w:cstheme="minorHAnsi"/>
          <w:bCs/>
          <w:color w:val="0070C0"/>
        </w:rPr>
        <w:t xml:space="preserve"> has a primary payer other than Medicare </w:t>
      </w:r>
      <w:r w:rsidR="00E82292">
        <w:rPr>
          <w:rFonts w:cstheme="minorHAnsi"/>
          <w:bCs/>
          <w:color w:val="0070C0"/>
        </w:rPr>
        <w:t xml:space="preserve">during the episode window or in the 120-day lookback period </w:t>
      </w:r>
    </w:p>
    <w:p w14:paraId="08C3A0DF" w14:textId="2CB1FBCA" w:rsidR="00E82292" w:rsidRDefault="00A10EA6" w:rsidP="00211B1B">
      <w:pPr>
        <w:pStyle w:val="ListParagraph"/>
        <w:numPr>
          <w:ilvl w:val="0"/>
          <w:numId w:val="10"/>
        </w:numPr>
        <w:autoSpaceDE w:val="0"/>
        <w:autoSpaceDN w:val="0"/>
        <w:adjustRightInd w:val="0"/>
        <w:spacing w:after="0" w:line="240" w:lineRule="auto"/>
        <w:rPr>
          <w:rFonts w:cstheme="minorHAnsi"/>
          <w:bCs/>
          <w:color w:val="0070C0"/>
        </w:rPr>
      </w:pPr>
      <w:r>
        <w:rPr>
          <w:rFonts w:cstheme="minorHAnsi"/>
          <w:bCs/>
          <w:color w:val="0070C0"/>
        </w:rPr>
        <w:t>Patient</w:t>
      </w:r>
      <w:r w:rsidR="00E82292" w:rsidRPr="008F3580">
        <w:rPr>
          <w:rFonts w:cstheme="minorHAnsi"/>
          <w:bCs/>
          <w:color w:val="0070C0"/>
        </w:rPr>
        <w:t xml:space="preserve"> was not</w:t>
      </w:r>
      <w:r w:rsidR="00E82292">
        <w:rPr>
          <w:rFonts w:cstheme="minorHAnsi"/>
          <w:bCs/>
          <w:color w:val="0070C0"/>
        </w:rPr>
        <w:t xml:space="preserve"> continuously</w:t>
      </w:r>
      <w:r w:rsidR="00E82292" w:rsidRPr="008F3580">
        <w:rPr>
          <w:rFonts w:cstheme="minorHAnsi"/>
          <w:bCs/>
          <w:color w:val="0070C0"/>
        </w:rPr>
        <w:t xml:space="preserve"> enrolled in Medicare Part</w:t>
      </w:r>
      <w:r w:rsidR="00E82292">
        <w:rPr>
          <w:rFonts w:cstheme="minorHAnsi"/>
          <w:bCs/>
          <w:color w:val="0070C0"/>
        </w:rPr>
        <w:t>s</w:t>
      </w:r>
      <w:r w:rsidR="00E82292" w:rsidRPr="008F3580">
        <w:rPr>
          <w:rFonts w:cstheme="minorHAnsi"/>
          <w:bCs/>
          <w:color w:val="0070C0"/>
        </w:rPr>
        <w:t xml:space="preserve"> A and B</w:t>
      </w:r>
      <w:r w:rsidR="00E82292">
        <w:rPr>
          <w:rFonts w:cstheme="minorHAnsi"/>
          <w:bCs/>
          <w:color w:val="0070C0"/>
        </w:rPr>
        <w:t>, or was enrolled in Part C, during the</w:t>
      </w:r>
      <w:r w:rsidR="00E82292" w:rsidRPr="008F3580">
        <w:rPr>
          <w:rFonts w:cstheme="minorHAnsi"/>
          <w:bCs/>
          <w:color w:val="0070C0"/>
        </w:rPr>
        <w:t xml:space="preserve"> 120-day lookback period </w:t>
      </w:r>
      <w:r w:rsidR="00E82292">
        <w:rPr>
          <w:rFonts w:cstheme="minorHAnsi"/>
          <w:bCs/>
          <w:color w:val="0070C0"/>
        </w:rPr>
        <w:t>and episode window</w:t>
      </w:r>
    </w:p>
    <w:p w14:paraId="1E6BAC22" w14:textId="77777777" w:rsidR="00E82292" w:rsidRDefault="00E82292" w:rsidP="00A04E2A">
      <w:pPr>
        <w:autoSpaceDE w:val="0"/>
        <w:autoSpaceDN w:val="0"/>
        <w:adjustRightInd w:val="0"/>
        <w:spacing w:after="0" w:line="240" w:lineRule="auto"/>
        <w:rPr>
          <w:rFonts w:cstheme="minorHAnsi"/>
          <w:bCs/>
          <w:color w:val="0070C0"/>
        </w:rPr>
      </w:pPr>
    </w:p>
    <w:p w14:paraId="02B43672" w14:textId="6139AAC2" w:rsidR="00A04E2A" w:rsidRDefault="00A04E2A" w:rsidP="00A04E2A">
      <w:pPr>
        <w:autoSpaceDE w:val="0"/>
        <w:autoSpaceDN w:val="0"/>
        <w:adjustRightInd w:val="0"/>
        <w:spacing w:after="0" w:line="240" w:lineRule="auto"/>
        <w:rPr>
          <w:rFonts w:cstheme="minorHAnsi"/>
          <w:bCs/>
          <w:color w:val="0070C0"/>
        </w:rPr>
      </w:pPr>
      <w:r>
        <w:rPr>
          <w:rFonts w:cstheme="minorHAnsi"/>
          <w:bCs/>
          <w:color w:val="0070C0"/>
        </w:rPr>
        <w:t xml:space="preserve">Frequency is presented </w:t>
      </w:r>
      <w:r w:rsidR="00E82292">
        <w:rPr>
          <w:rFonts w:cstheme="minorHAnsi"/>
          <w:bCs/>
          <w:color w:val="0070C0"/>
        </w:rPr>
        <w:t xml:space="preserve">as </w:t>
      </w:r>
      <w:r>
        <w:rPr>
          <w:rFonts w:cstheme="minorHAnsi"/>
          <w:bCs/>
          <w:color w:val="0070C0"/>
        </w:rPr>
        <w:t xml:space="preserve">the number of episodes excluded due to </w:t>
      </w:r>
      <w:r w:rsidR="00E82292">
        <w:rPr>
          <w:rFonts w:cstheme="minorHAnsi"/>
          <w:bCs/>
          <w:color w:val="0070C0"/>
        </w:rPr>
        <w:t xml:space="preserve">each </w:t>
      </w:r>
      <w:r>
        <w:rPr>
          <w:rFonts w:cstheme="minorHAnsi"/>
          <w:bCs/>
          <w:color w:val="0070C0"/>
        </w:rPr>
        <w:t>missing data</w:t>
      </w:r>
      <w:r w:rsidR="00E82292">
        <w:rPr>
          <w:rFonts w:cstheme="minorHAnsi"/>
          <w:bCs/>
          <w:color w:val="0070C0"/>
        </w:rPr>
        <w:t xml:space="preserve"> criteria</w:t>
      </w:r>
      <w:r>
        <w:rPr>
          <w:rFonts w:cstheme="minorHAnsi"/>
          <w:bCs/>
          <w:color w:val="0070C0"/>
        </w:rPr>
        <w:t xml:space="preserve">, as well as the number of TINs and TIN-NPIs who had at least one episode excluded due to </w:t>
      </w:r>
      <w:r w:rsidR="00E82292">
        <w:rPr>
          <w:rFonts w:cstheme="minorHAnsi"/>
          <w:bCs/>
          <w:color w:val="0070C0"/>
        </w:rPr>
        <w:t xml:space="preserve">the </w:t>
      </w:r>
      <w:r>
        <w:rPr>
          <w:rFonts w:cstheme="minorHAnsi"/>
          <w:bCs/>
          <w:color w:val="0070C0"/>
        </w:rPr>
        <w:t>missing data</w:t>
      </w:r>
      <w:r w:rsidR="00E82292">
        <w:rPr>
          <w:rFonts w:cstheme="minorHAnsi"/>
          <w:bCs/>
          <w:color w:val="0070C0"/>
        </w:rPr>
        <w:t xml:space="preserve"> criteria</w:t>
      </w:r>
      <w:r>
        <w:rPr>
          <w:rFonts w:cstheme="minorHAnsi"/>
          <w:bCs/>
          <w:color w:val="0070C0"/>
        </w:rPr>
        <w:t xml:space="preserve">. </w:t>
      </w:r>
    </w:p>
    <w:p w14:paraId="46D2E71D" w14:textId="77777777" w:rsidR="00A04E2A" w:rsidRPr="00263ABB" w:rsidRDefault="00A04E2A" w:rsidP="00A04E2A">
      <w:pPr>
        <w:autoSpaceDE w:val="0"/>
        <w:autoSpaceDN w:val="0"/>
        <w:adjustRightInd w:val="0"/>
        <w:spacing w:after="0" w:line="240" w:lineRule="auto"/>
        <w:rPr>
          <w:rFonts w:cstheme="minorHAnsi"/>
          <w:bCs/>
          <w:color w:val="0070C0"/>
        </w:rPr>
      </w:pPr>
    </w:p>
    <w:p w14:paraId="23F91702" w14:textId="6A0D6CC7" w:rsidR="00A04E2A" w:rsidRDefault="00A04E2A" w:rsidP="00A04E2A">
      <w:pPr>
        <w:keepNext/>
        <w:keepLines/>
        <w:autoSpaceDE w:val="0"/>
        <w:autoSpaceDN w:val="0"/>
        <w:adjustRightInd w:val="0"/>
        <w:spacing w:after="0" w:line="240" w:lineRule="auto"/>
        <w:jc w:val="center"/>
        <w:rPr>
          <w:rFonts w:cstheme="minorHAnsi"/>
          <w:b/>
          <w:bCs/>
        </w:rPr>
      </w:pPr>
      <w:r w:rsidRPr="00A10EA6">
        <w:rPr>
          <w:rFonts w:cstheme="minorHAnsi"/>
          <w:b/>
          <w:bCs/>
        </w:rPr>
        <w:t xml:space="preserve">Table </w:t>
      </w:r>
      <w:r w:rsidR="00F22C36">
        <w:rPr>
          <w:rFonts w:cstheme="minorHAnsi"/>
          <w:b/>
          <w:bCs/>
        </w:rPr>
        <w:t>8.</w:t>
      </w:r>
      <w:r>
        <w:rPr>
          <w:rFonts w:cstheme="minorHAnsi"/>
          <w:b/>
          <w:bCs/>
        </w:rPr>
        <w:t xml:space="preserve"> Missing Data Categories for </w:t>
      </w:r>
      <w:r w:rsidR="004D5219">
        <w:rPr>
          <w:rFonts w:cstheme="minorHAnsi"/>
          <w:b/>
          <w:bCs/>
        </w:rPr>
        <w:t>the Non-Emergent CABG</w:t>
      </w:r>
      <w:r>
        <w:rPr>
          <w:rFonts w:cstheme="minorHAnsi"/>
          <w:b/>
          <w:bCs/>
        </w:rPr>
        <w:t xml:space="preserve"> Measure</w:t>
      </w:r>
    </w:p>
    <w:tbl>
      <w:tblPr>
        <w:tblStyle w:val="TableGrid"/>
        <w:tblW w:w="0" w:type="auto"/>
        <w:jc w:val="center"/>
        <w:tblLook w:val="04A0" w:firstRow="1" w:lastRow="0" w:firstColumn="1" w:lastColumn="0" w:noHBand="0" w:noVBand="1"/>
      </w:tblPr>
      <w:tblGrid>
        <w:gridCol w:w="3425"/>
        <w:gridCol w:w="1685"/>
        <w:gridCol w:w="1685"/>
        <w:gridCol w:w="1685"/>
      </w:tblGrid>
      <w:tr w:rsidR="00BA68C2" w:rsidRPr="00BA68C2" w14:paraId="067905A8" w14:textId="77777777" w:rsidTr="00BD3167">
        <w:trPr>
          <w:jc w:val="center"/>
        </w:trPr>
        <w:tc>
          <w:tcPr>
            <w:tcW w:w="3425" w:type="dxa"/>
            <w:shd w:val="clear" w:color="auto" w:fill="17365D" w:themeFill="text2" w:themeFillShade="BF"/>
          </w:tcPr>
          <w:p w14:paraId="58BD9455" w14:textId="0D7F5B09"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Exclusion</w:t>
            </w:r>
          </w:p>
        </w:tc>
        <w:tc>
          <w:tcPr>
            <w:tcW w:w="1685" w:type="dxa"/>
            <w:shd w:val="clear" w:color="auto" w:fill="17365D" w:themeFill="text2" w:themeFillShade="BF"/>
          </w:tcPr>
          <w:p w14:paraId="7BF05B17" w14:textId="69D41C58"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Episodes</w:t>
            </w:r>
          </w:p>
        </w:tc>
        <w:tc>
          <w:tcPr>
            <w:tcW w:w="1685" w:type="dxa"/>
            <w:shd w:val="clear" w:color="auto" w:fill="17365D" w:themeFill="text2" w:themeFillShade="BF"/>
          </w:tcPr>
          <w:p w14:paraId="4EE375DE" w14:textId="09503F07"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TINs</w:t>
            </w:r>
          </w:p>
        </w:tc>
        <w:tc>
          <w:tcPr>
            <w:tcW w:w="1685" w:type="dxa"/>
            <w:shd w:val="clear" w:color="auto" w:fill="17365D" w:themeFill="text2" w:themeFillShade="BF"/>
          </w:tcPr>
          <w:p w14:paraId="072DB0E0" w14:textId="09CE7FF5" w:rsidR="00BA68C2" w:rsidRPr="00BA68C2" w:rsidRDefault="00BA68C2" w:rsidP="00BA68C2">
            <w:pPr>
              <w:autoSpaceDE w:val="0"/>
              <w:autoSpaceDN w:val="0"/>
              <w:adjustRightInd w:val="0"/>
              <w:jc w:val="center"/>
              <w:rPr>
                <w:rFonts w:ascii="Arial" w:hAnsi="Arial" w:cs="Arial"/>
                <w:bCs/>
                <w:color w:val="FFFFFF" w:themeColor="background1"/>
                <w:sz w:val="20"/>
                <w:szCs w:val="20"/>
              </w:rPr>
            </w:pPr>
            <w:r w:rsidRPr="00BA68C2">
              <w:rPr>
                <w:rFonts w:ascii="Arial" w:hAnsi="Arial" w:cs="Arial"/>
                <w:bCs/>
                <w:color w:val="FFFFFF" w:themeColor="background1"/>
                <w:sz w:val="20"/>
                <w:szCs w:val="20"/>
              </w:rPr>
              <w:t># TIN-NPIs</w:t>
            </w:r>
          </w:p>
        </w:tc>
      </w:tr>
      <w:tr w:rsidR="00BA68C2" w:rsidRPr="00BA68C2" w14:paraId="62590E1D" w14:textId="77777777" w:rsidTr="00BD3167">
        <w:trPr>
          <w:jc w:val="center"/>
        </w:trPr>
        <w:tc>
          <w:tcPr>
            <w:tcW w:w="3425" w:type="dxa"/>
            <w:vAlign w:val="center"/>
          </w:tcPr>
          <w:p w14:paraId="6BDAB028" w14:textId="4C7F1A3D" w:rsidR="00BA68C2" w:rsidRPr="00BA68C2" w:rsidRDefault="00A10EA6" w:rsidP="00BA68C2">
            <w:pPr>
              <w:autoSpaceDE w:val="0"/>
              <w:autoSpaceDN w:val="0"/>
              <w:adjustRightInd w:val="0"/>
              <w:rPr>
                <w:rFonts w:ascii="Arial" w:hAnsi="Arial" w:cs="Arial"/>
                <w:bCs/>
                <w:sz w:val="20"/>
                <w:szCs w:val="20"/>
              </w:rPr>
            </w:pPr>
            <w:r>
              <w:rPr>
                <w:rFonts w:ascii="Arial" w:hAnsi="Arial" w:cs="Arial"/>
                <w:bCs/>
                <w:sz w:val="20"/>
                <w:szCs w:val="20"/>
              </w:rPr>
              <w:t>Patient</w:t>
            </w:r>
            <w:r w:rsidR="00A86011">
              <w:rPr>
                <w:rFonts w:ascii="Arial" w:hAnsi="Arial" w:cs="Arial"/>
                <w:bCs/>
                <w:sz w:val="20"/>
                <w:szCs w:val="20"/>
              </w:rPr>
              <w:t xml:space="preserve"> birth date is missing</w:t>
            </w:r>
          </w:p>
        </w:tc>
        <w:tc>
          <w:tcPr>
            <w:tcW w:w="1685" w:type="dxa"/>
            <w:vAlign w:val="center"/>
          </w:tcPr>
          <w:p w14:paraId="3FA4DC3A" w14:textId="7039C5D1" w:rsidR="00BA68C2" w:rsidRPr="00BA68C2" w:rsidRDefault="00181085"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685" w:type="dxa"/>
            <w:vAlign w:val="center"/>
          </w:tcPr>
          <w:p w14:paraId="32A173EA" w14:textId="0D560EC6" w:rsidR="00BA68C2" w:rsidRPr="00BA68C2" w:rsidRDefault="00181085"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c>
          <w:tcPr>
            <w:tcW w:w="1685" w:type="dxa"/>
            <w:vAlign w:val="center"/>
          </w:tcPr>
          <w:p w14:paraId="76E89F7D" w14:textId="47352366" w:rsidR="00BA68C2" w:rsidRPr="00BA68C2" w:rsidRDefault="00181085" w:rsidP="00BA68C2">
            <w:pPr>
              <w:autoSpaceDE w:val="0"/>
              <w:autoSpaceDN w:val="0"/>
              <w:adjustRightInd w:val="0"/>
              <w:jc w:val="center"/>
              <w:rPr>
                <w:rFonts w:ascii="Arial" w:hAnsi="Arial" w:cs="Arial"/>
                <w:bCs/>
                <w:sz w:val="20"/>
                <w:szCs w:val="20"/>
              </w:rPr>
            </w:pPr>
            <w:r>
              <w:rPr>
                <w:rFonts w:ascii="Arial" w:hAnsi="Arial" w:cs="Arial"/>
                <w:bCs/>
                <w:sz w:val="20"/>
                <w:szCs w:val="20"/>
              </w:rPr>
              <w:t>0</w:t>
            </w:r>
          </w:p>
        </w:tc>
      </w:tr>
      <w:tr w:rsidR="002512D4" w:rsidRPr="00BA68C2" w14:paraId="4A51E065" w14:textId="77777777" w:rsidTr="00BD3167">
        <w:trPr>
          <w:jc w:val="center"/>
        </w:trPr>
        <w:tc>
          <w:tcPr>
            <w:tcW w:w="3425" w:type="dxa"/>
            <w:vAlign w:val="center"/>
          </w:tcPr>
          <w:p w14:paraId="2C62F9AB" w14:textId="3F3050E3" w:rsidR="002512D4" w:rsidRPr="00BA68C2" w:rsidRDefault="002512D4" w:rsidP="002512D4">
            <w:pPr>
              <w:autoSpaceDE w:val="0"/>
              <w:autoSpaceDN w:val="0"/>
              <w:adjustRightInd w:val="0"/>
              <w:rPr>
                <w:rFonts w:ascii="Arial" w:hAnsi="Arial" w:cs="Arial"/>
                <w:bCs/>
                <w:sz w:val="20"/>
                <w:szCs w:val="20"/>
              </w:rPr>
            </w:pPr>
            <w:r>
              <w:rPr>
                <w:rFonts w:ascii="Arial" w:hAnsi="Arial" w:cs="Arial"/>
                <w:bCs/>
                <w:sz w:val="20"/>
                <w:szCs w:val="20"/>
              </w:rPr>
              <w:t>Patient</w:t>
            </w:r>
            <w:r w:rsidRPr="00BA68C2">
              <w:rPr>
                <w:rFonts w:ascii="Arial" w:hAnsi="Arial" w:cs="Arial"/>
                <w:bCs/>
                <w:sz w:val="20"/>
                <w:szCs w:val="20"/>
              </w:rPr>
              <w:t xml:space="preserve"> </w:t>
            </w:r>
            <w:r>
              <w:rPr>
                <w:rFonts w:ascii="Arial" w:hAnsi="Arial" w:cs="Arial"/>
                <w:bCs/>
                <w:sz w:val="20"/>
                <w:szCs w:val="20"/>
              </w:rPr>
              <w:t xml:space="preserve">death </w:t>
            </w:r>
            <w:r w:rsidRPr="00BA68C2">
              <w:rPr>
                <w:rFonts w:ascii="Arial" w:hAnsi="Arial" w:cs="Arial"/>
                <w:bCs/>
                <w:sz w:val="20"/>
                <w:szCs w:val="20"/>
              </w:rPr>
              <w:t xml:space="preserve">before trigger </w:t>
            </w:r>
          </w:p>
        </w:tc>
        <w:tc>
          <w:tcPr>
            <w:tcW w:w="1685" w:type="dxa"/>
            <w:vAlign w:val="center"/>
          </w:tcPr>
          <w:p w14:paraId="6C10ECC9" w14:textId="4A0BEB38"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72</w:t>
            </w:r>
          </w:p>
        </w:tc>
        <w:tc>
          <w:tcPr>
            <w:tcW w:w="1685" w:type="dxa"/>
            <w:vAlign w:val="center"/>
          </w:tcPr>
          <w:p w14:paraId="6058C8CA" w14:textId="6D075304"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65</w:t>
            </w:r>
          </w:p>
        </w:tc>
        <w:tc>
          <w:tcPr>
            <w:tcW w:w="1685" w:type="dxa"/>
            <w:vAlign w:val="center"/>
          </w:tcPr>
          <w:p w14:paraId="491BCB45" w14:textId="386C4DA2"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102</w:t>
            </w:r>
          </w:p>
        </w:tc>
      </w:tr>
      <w:tr w:rsidR="002512D4" w:rsidRPr="00BA68C2" w14:paraId="4A9BB2CE" w14:textId="77777777" w:rsidTr="00BD3167">
        <w:trPr>
          <w:jc w:val="center"/>
        </w:trPr>
        <w:tc>
          <w:tcPr>
            <w:tcW w:w="3425" w:type="dxa"/>
            <w:vAlign w:val="center"/>
          </w:tcPr>
          <w:p w14:paraId="01BC732F" w14:textId="408EC7CD" w:rsidR="002512D4" w:rsidRDefault="002512D4" w:rsidP="002512D4">
            <w:pPr>
              <w:autoSpaceDE w:val="0"/>
              <w:autoSpaceDN w:val="0"/>
              <w:adjustRightInd w:val="0"/>
              <w:rPr>
                <w:rFonts w:ascii="Arial" w:hAnsi="Arial" w:cs="Arial"/>
                <w:bCs/>
                <w:sz w:val="20"/>
                <w:szCs w:val="20"/>
              </w:rPr>
            </w:pPr>
            <w:r>
              <w:rPr>
                <w:rFonts w:ascii="Arial" w:hAnsi="Arial" w:cs="Arial"/>
                <w:bCs/>
                <w:sz w:val="20"/>
                <w:szCs w:val="20"/>
              </w:rPr>
              <w:t>Episode had no main surgeon</w:t>
            </w:r>
          </w:p>
        </w:tc>
        <w:tc>
          <w:tcPr>
            <w:tcW w:w="1685" w:type="dxa"/>
            <w:vAlign w:val="center"/>
          </w:tcPr>
          <w:p w14:paraId="359B89AC" w14:textId="7A8028B6"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504</w:t>
            </w:r>
          </w:p>
        </w:tc>
        <w:tc>
          <w:tcPr>
            <w:tcW w:w="1685" w:type="dxa"/>
            <w:vAlign w:val="center"/>
          </w:tcPr>
          <w:p w14:paraId="2AFD5CC9" w14:textId="51EFD50E"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239</w:t>
            </w:r>
          </w:p>
        </w:tc>
        <w:tc>
          <w:tcPr>
            <w:tcW w:w="1685" w:type="dxa"/>
            <w:vAlign w:val="center"/>
          </w:tcPr>
          <w:p w14:paraId="54DD5892" w14:textId="2269977E"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342</w:t>
            </w:r>
          </w:p>
        </w:tc>
      </w:tr>
      <w:tr w:rsidR="002512D4" w:rsidRPr="00BA68C2" w14:paraId="2D67835B" w14:textId="77777777" w:rsidTr="00BD3167">
        <w:trPr>
          <w:jc w:val="center"/>
        </w:trPr>
        <w:tc>
          <w:tcPr>
            <w:tcW w:w="3425" w:type="dxa"/>
            <w:vAlign w:val="center"/>
          </w:tcPr>
          <w:p w14:paraId="225656B2" w14:textId="7727073B" w:rsidR="002512D4" w:rsidRPr="00BA68C2" w:rsidRDefault="002512D4" w:rsidP="002512D4">
            <w:pPr>
              <w:autoSpaceDE w:val="0"/>
              <w:autoSpaceDN w:val="0"/>
              <w:adjustRightInd w:val="0"/>
              <w:rPr>
                <w:rFonts w:ascii="Arial" w:hAnsi="Arial" w:cs="Arial"/>
                <w:bCs/>
                <w:sz w:val="20"/>
                <w:szCs w:val="20"/>
              </w:rPr>
            </w:pPr>
            <w:r w:rsidRPr="00BA68C2">
              <w:rPr>
                <w:rFonts w:ascii="Arial" w:hAnsi="Arial" w:cs="Arial"/>
                <w:bCs/>
                <w:sz w:val="20"/>
                <w:szCs w:val="20"/>
              </w:rPr>
              <w:t>Primary payer other than Medicare</w:t>
            </w:r>
          </w:p>
        </w:tc>
        <w:tc>
          <w:tcPr>
            <w:tcW w:w="1685" w:type="dxa"/>
            <w:vAlign w:val="center"/>
          </w:tcPr>
          <w:p w14:paraId="6548AA5A" w14:textId="71EACDB9"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6,879</w:t>
            </w:r>
          </w:p>
        </w:tc>
        <w:tc>
          <w:tcPr>
            <w:tcW w:w="1685" w:type="dxa"/>
            <w:vAlign w:val="center"/>
          </w:tcPr>
          <w:p w14:paraId="2FBC27AC" w14:textId="461AC95A"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927</w:t>
            </w:r>
          </w:p>
        </w:tc>
        <w:tc>
          <w:tcPr>
            <w:tcW w:w="1685" w:type="dxa"/>
            <w:vAlign w:val="center"/>
          </w:tcPr>
          <w:p w14:paraId="604AB751" w14:textId="51D8783E"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3,713</w:t>
            </w:r>
          </w:p>
        </w:tc>
      </w:tr>
      <w:tr w:rsidR="002512D4" w:rsidRPr="00BA68C2" w14:paraId="724C5041" w14:textId="77777777" w:rsidTr="00BD3167">
        <w:trPr>
          <w:jc w:val="center"/>
        </w:trPr>
        <w:tc>
          <w:tcPr>
            <w:tcW w:w="3425" w:type="dxa"/>
            <w:vAlign w:val="center"/>
          </w:tcPr>
          <w:p w14:paraId="733AD6F8" w14:textId="74AFCD67" w:rsidR="002512D4" w:rsidRPr="00BA68C2" w:rsidRDefault="002512D4" w:rsidP="002512D4">
            <w:pPr>
              <w:autoSpaceDE w:val="0"/>
              <w:autoSpaceDN w:val="0"/>
              <w:adjustRightInd w:val="0"/>
              <w:rPr>
                <w:rFonts w:ascii="Arial" w:hAnsi="Arial" w:cs="Arial"/>
                <w:bCs/>
                <w:sz w:val="20"/>
                <w:szCs w:val="20"/>
              </w:rPr>
            </w:pPr>
            <w:r w:rsidRPr="00BA68C2">
              <w:rPr>
                <w:rFonts w:ascii="Arial" w:hAnsi="Arial" w:cs="Arial"/>
                <w:bCs/>
                <w:sz w:val="20"/>
                <w:szCs w:val="20"/>
              </w:rPr>
              <w:t>No continuous enrollment in Medicare Parts A and B, or was enrolled in Part C</w:t>
            </w:r>
          </w:p>
        </w:tc>
        <w:tc>
          <w:tcPr>
            <w:tcW w:w="1685" w:type="dxa"/>
            <w:vAlign w:val="center"/>
          </w:tcPr>
          <w:p w14:paraId="3355E42E" w14:textId="6D965BBD"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4,111</w:t>
            </w:r>
          </w:p>
        </w:tc>
        <w:tc>
          <w:tcPr>
            <w:tcW w:w="1685" w:type="dxa"/>
            <w:vAlign w:val="center"/>
          </w:tcPr>
          <w:p w14:paraId="011F7B7A" w14:textId="680CDFCB"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852</w:t>
            </w:r>
          </w:p>
        </w:tc>
        <w:tc>
          <w:tcPr>
            <w:tcW w:w="1685" w:type="dxa"/>
            <w:vAlign w:val="center"/>
          </w:tcPr>
          <w:p w14:paraId="2FD0A4BA" w14:textId="3E141F44" w:rsidR="002512D4" w:rsidRPr="00BA68C2" w:rsidRDefault="00181085" w:rsidP="002512D4">
            <w:pPr>
              <w:autoSpaceDE w:val="0"/>
              <w:autoSpaceDN w:val="0"/>
              <w:adjustRightInd w:val="0"/>
              <w:jc w:val="center"/>
              <w:rPr>
                <w:rFonts w:ascii="Arial" w:hAnsi="Arial" w:cs="Arial"/>
                <w:bCs/>
                <w:sz w:val="20"/>
                <w:szCs w:val="20"/>
              </w:rPr>
            </w:pPr>
            <w:r>
              <w:rPr>
                <w:rFonts w:ascii="Arial" w:hAnsi="Arial" w:cs="Arial"/>
                <w:bCs/>
                <w:sz w:val="20"/>
                <w:szCs w:val="20"/>
              </w:rPr>
              <w:t>2,959</w:t>
            </w:r>
          </w:p>
        </w:tc>
      </w:tr>
    </w:tbl>
    <w:p w14:paraId="41B37768" w14:textId="77777777" w:rsidR="002512D4" w:rsidRPr="00E1508F" w:rsidRDefault="002512D4"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2A6EC08" w14:textId="62280EA9" w:rsidR="00D23FC7" w:rsidRPr="005560E7" w:rsidRDefault="00137023">
      <w:pPr>
        <w:autoSpaceDE w:val="0"/>
        <w:autoSpaceDN w:val="0"/>
        <w:adjustRightInd w:val="0"/>
        <w:spacing w:after="0" w:line="240" w:lineRule="auto"/>
        <w:rPr>
          <w:rFonts w:cstheme="minorHAnsi"/>
          <w:bCs/>
        </w:rPr>
      </w:pPr>
      <w:r w:rsidRPr="00137023">
        <w:rPr>
          <w:color w:val="0070C0"/>
        </w:rPr>
        <w:t xml:space="preserve">As the </w:t>
      </w:r>
      <w:r w:rsidR="00A262DA">
        <w:rPr>
          <w:rFonts w:cstheme="minorHAnsi"/>
          <w:bCs/>
          <w:color w:val="0070C0"/>
        </w:rPr>
        <w:t>Non-Emergent CABG M</w:t>
      </w:r>
      <w:r w:rsidR="00A262DA" w:rsidRPr="002A6CE9">
        <w:rPr>
          <w:rFonts w:cstheme="minorHAnsi"/>
          <w:bCs/>
          <w:color w:val="0070C0"/>
        </w:rPr>
        <w:t>easure</w:t>
      </w:r>
      <w:r w:rsidR="00A262DA" w:rsidRPr="00137023">
        <w:rPr>
          <w:color w:val="0070C0"/>
        </w:rPr>
        <w:t xml:space="preserve"> </w:t>
      </w:r>
      <w:r w:rsidRPr="00137023">
        <w:rPr>
          <w:color w:val="0070C0"/>
        </w:rPr>
        <w:t xml:space="preserve">is calculated with Medicare claims data, we expects a high degree of data completeness, which is supported by the limited frequency of missing data for </w:t>
      </w:r>
      <w:r w:rsidR="00A10EA6">
        <w:rPr>
          <w:color w:val="0070C0"/>
        </w:rPr>
        <w:t>patient</w:t>
      </w:r>
      <w:r>
        <w:rPr>
          <w:color w:val="0070C0"/>
        </w:rPr>
        <w:t xml:space="preserve"> </w:t>
      </w:r>
      <w:r w:rsidRPr="00137023">
        <w:rPr>
          <w:color w:val="0070C0"/>
        </w:rPr>
        <w:t xml:space="preserve">birth date and invalid </w:t>
      </w:r>
      <w:r w:rsidR="00A10EA6">
        <w:rPr>
          <w:color w:val="0070C0"/>
        </w:rPr>
        <w:t>patient</w:t>
      </w:r>
      <w:r w:rsidRPr="00137023">
        <w:rPr>
          <w:color w:val="0070C0"/>
        </w:rPr>
        <w:t xml:space="preserve"> death date information above. Additionally, the measure removes </w:t>
      </w:r>
      <w:r w:rsidR="00A10EA6">
        <w:rPr>
          <w:color w:val="0070C0"/>
        </w:rPr>
        <w:t>patients</w:t>
      </w:r>
      <w:r w:rsidRPr="00137023">
        <w:rPr>
          <w:color w:val="0070C0"/>
        </w:rPr>
        <w:t xml:space="preserve"> that may have gaps in the Medicare claims history due to alternate enrollment.</w:t>
      </w:r>
      <w:r w:rsidR="004D502A">
        <w:rPr>
          <w:color w:val="0070C0"/>
        </w:rPr>
        <w:t xml:space="preserve"> </w:t>
      </w:r>
      <w:r w:rsidR="004D502A" w:rsidRPr="004D502A">
        <w:rPr>
          <w:color w:val="0070C0"/>
        </w:rPr>
        <w:t>These data processing steps ensure that we have complete and accurate information needed to calculate the measure, preventing potential threats to measure validity from missing or incorrect data.</w:t>
      </w:r>
    </w:p>
    <w:sectPr w:rsidR="00D23FC7" w:rsidRPr="005560E7" w:rsidSect="00F93F6D">
      <w:headerReference w:type="default" r:id="rId17"/>
      <w:footerReference w:type="default" r:id="rId18"/>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0AFE" w14:textId="77777777" w:rsidR="002A3AA5" w:rsidRDefault="002A3AA5" w:rsidP="005C73CA">
      <w:pPr>
        <w:spacing w:after="0" w:line="240" w:lineRule="auto"/>
      </w:pPr>
      <w:r>
        <w:separator/>
      </w:r>
    </w:p>
  </w:endnote>
  <w:endnote w:type="continuationSeparator" w:id="0">
    <w:p w14:paraId="54D3EA29" w14:textId="77777777" w:rsidR="002A3AA5" w:rsidRDefault="002A3AA5"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D6ABA" w14:textId="2DA03B50" w:rsidR="002A3AA5" w:rsidRDefault="002A3AA5">
    <w:pPr>
      <w:pStyle w:val="Footer"/>
    </w:pPr>
    <w:r>
      <w:t>Version 7.1 9/6/2017</w:t>
    </w:r>
    <w:r>
      <w:ptab w:relativeTo="margin" w:alignment="right" w:leader="none"/>
    </w:r>
    <w:r>
      <w:fldChar w:fldCharType="begin"/>
    </w:r>
    <w:r>
      <w:instrText xml:space="preserve"> PAGE   \* MERGEFORMAT </w:instrText>
    </w:r>
    <w:r>
      <w:fldChar w:fldCharType="separate"/>
    </w:r>
    <w:r w:rsidR="006354C8">
      <w:rPr>
        <w:noProof/>
      </w:rPr>
      <w:t>16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6745D51C" w:rsidR="002A3AA5" w:rsidRDefault="002A3AA5">
    <w:pPr>
      <w:pStyle w:val="Footer"/>
    </w:pPr>
    <w:r>
      <w:t>Version 7.1 9/6/2017</w:t>
    </w:r>
    <w:r>
      <w:ptab w:relativeTo="margin" w:alignment="right" w:leader="none"/>
    </w:r>
    <w:r>
      <w:fldChar w:fldCharType="begin"/>
    </w:r>
    <w:r>
      <w:instrText xml:space="preserve"> PAGE   \* MERGEFORMAT </w:instrText>
    </w:r>
    <w:r>
      <w:fldChar w:fldCharType="separate"/>
    </w:r>
    <w:r w:rsidR="006354C8">
      <w:rPr>
        <w:noProof/>
      </w:rPr>
      <w:t>24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9AB1B" w14:textId="77777777" w:rsidR="002A3AA5" w:rsidRDefault="002A3AA5" w:rsidP="005C73CA">
      <w:pPr>
        <w:spacing w:after="0" w:line="240" w:lineRule="auto"/>
      </w:pPr>
      <w:r>
        <w:separator/>
      </w:r>
    </w:p>
  </w:footnote>
  <w:footnote w:type="continuationSeparator" w:id="0">
    <w:p w14:paraId="67B64C5E" w14:textId="77777777" w:rsidR="002A3AA5" w:rsidRDefault="002A3AA5" w:rsidP="005C73CA">
      <w:pPr>
        <w:spacing w:after="0" w:line="240" w:lineRule="auto"/>
      </w:pPr>
      <w:r>
        <w:continuationSeparator/>
      </w:r>
    </w:p>
  </w:footnote>
  <w:footnote w:id="1">
    <w:p w14:paraId="1CE9C106" w14:textId="77777777" w:rsidR="002A3AA5" w:rsidRPr="0066473C" w:rsidRDefault="002A3AA5" w:rsidP="003229D6">
      <w:pPr>
        <w:pStyle w:val="FootnoteText"/>
        <w:rPr>
          <w:rFonts w:asciiTheme="minorHAnsi" w:hAnsiTheme="minorHAnsi" w:cstheme="minorHAnsi"/>
        </w:rPr>
      </w:pPr>
      <w:r w:rsidRPr="0066473C">
        <w:rPr>
          <w:rStyle w:val="FootnoteReference"/>
          <w:rFonts w:asciiTheme="minorHAnsi" w:hAnsiTheme="minorHAnsi" w:cstheme="minorHAnsi"/>
        </w:rPr>
        <w:footnoteRef/>
      </w:r>
      <w:r>
        <w:rPr>
          <w:rFonts w:asciiTheme="minorHAnsi" w:hAnsiTheme="minorHAnsi" w:cstheme="minorHAnsi"/>
        </w:rPr>
        <w:t xml:space="preserve"> </w:t>
      </w:r>
      <w:r w:rsidRPr="0066473C">
        <w:rPr>
          <w:rFonts w:asciiTheme="minorHAnsi" w:hAnsiTheme="minorHAnsi" w:cstheme="minorHAnsi"/>
        </w:rPr>
        <w:t xml:space="preserve">Subsection (d) </w:t>
      </w:r>
      <w:r>
        <w:rPr>
          <w:rFonts w:asciiTheme="minorHAnsi" w:hAnsiTheme="minorHAnsi" w:cstheme="minorHAnsi"/>
        </w:rPr>
        <w:t>covers</w:t>
      </w:r>
      <w:r w:rsidRPr="0066473C">
        <w:rPr>
          <w:rFonts w:asciiTheme="minorHAnsi" w:hAnsiTheme="minorHAnsi" w:cstheme="minorHAnsi"/>
        </w:rPr>
        <w:t xml:space="preserve"> hospitals in the 50 states and D.C. other than: psychiatric hospitals, rehabilitation hospitals, hospitals whose inpatients are predominantly under 18 years old, hospitals whose average inpatient length of stay exceeds 25 days, and hospitals involved extensively in treatment for or research on cancer.</w:t>
      </w:r>
    </w:p>
  </w:footnote>
  <w:footnote w:id="2">
    <w:p w14:paraId="04DA7FBC" w14:textId="77777777" w:rsidR="002A3AA5" w:rsidRPr="00162E70" w:rsidRDefault="002A3AA5" w:rsidP="007C44A8">
      <w:pPr>
        <w:pStyle w:val="FootnoteText"/>
      </w:pPr>
      <w:r w:rsidRPr="00162E70">
        <w:rPr>
          <w:rStyle w:val="FootnoteReference"/>
        </w:rPr>
        <w:footnoteRef/>
      </w:r>
      <w:r w:rsidRPr="00162E70">
        <w:t xml:space="preserve"> Agency for Healthcare Research &amp; Quality, Centers for Medicare &amp; Medicaid Services, and RTI International. “Creation of New Race-Ethnicity Codes and Socioeconomic Status (SES) Indicators for Medicare Beneficiaries.” Research Triangle Park, 2008. </w:t>
      </w:r>
      <w:hyperlink r:id="rId1" w:history="1">
        <w:r w:rsidRPr="00162E70">
          <w:rPr>
            <w:rStyle w:val="Hyperlink"/>
          </w:rPr>
          <w:t>https://archive.ahrq.gov/research/findings/final-reports/medicareindicators/index.html</w:t>
        </w:r>
      </w:hyperlink>
    </w:p>
  </w:footnote>
  <w:footnote w:id="3">
    <w:p w14:paraId="4D62FD61" w14:textId="77777777" w:rsidR="002A3AA5" w:rsidRDefault="002A3AA5" w:rsidP="007C44A8">
      <w:pPr>
        <w:pStyle w:val="FootnoteText"/>
      </w:pPr>
      <w:r>
        <w:rPr>
          <w:rStyle w:val="FootnoteReference"/>
        </w:rPr>
        <w:footnoteRef/>
      </w:r>
      <w:r>
        <w:t xml:space="preserve"> SES Index Score = 50 + (-0.07 </w:t>
      </w:r>
      <w:r w:rsidRPr="00E92F3A">
        <w:t>*</w:t>
      </w:r>
      <w:r w:rsidRPr="00E92F3A">
        <w:rPr>
          <w:noProof/>
        </w:rPr>
        <w:t xml:space="preserve"> [% of households containing one or more person per room]) + (0.08 * [median value of owner-occupied dwelling, standardized range from 0-100] + (-.010 * [% of persons below the federally defined poverty line]) + (0.11 * [median household income, standardized range from 0-100]) + (0.10 * [% of persons aged ≥ 25 years with at least 4 years of college] + (-0.11 * [% of persons aged ≥ 25 years with less than a 12</w:t>
      </w:r>
      <w:r w:rsidRPr="00E92F3A">
        <w:rPr>
          <w:noProof/>
          <w:vertAlign w:val="superscript"/>
        </w:rPr>
        <w:t>th</w:t>
      </w:r>
      <w:r w:rsidRPr="00E92F3A">
        <w:rPr>
          <w:noProof/>
        </w:rPr>
        <w:t xml:space="preserve"> grade education]) + (-0.08 * [% of persons aged 16 or older in the labor force who are unemployed])</w:t>
      </w:r>
    </w:p>
  </w:footnote>
  <w:footnote w:id="4">
    <w:p w14:paraId="540F376B" w14:textId="77777777" w:rsidR="002A3AA5" w:rsidRPr="00156262" w:rsidRDefault="002A3AA5" w:rsidP="00DD28D3">
      <w:pPr>
        <w:pStyle w:val="FootnoteText"/>
        <w:rPr>
          <w:rFonts w:ascii="Arial" w:hAnsi="Arial" w:cs="Arial"/>
        </w:rPr>
      </w:pPr>
      <w:r w:rsidRPr="00162E70">
        <w:rPr>
          <w:rStyle w:val="FootnoteReference"/>
        </w:rPr>
        <w:footnoteRef/>
      </w:r>
      <w:r w:rsidRPr="00162E70">
        <w:t xml:space="preserve"> Thresholds for sufficient measure reliability (including the ICC and other reliability methods) vary across sources (see, for example, Portney and Watkins, 2000, for a discussion). Authors provide a range of thresholds; for example, Landis and Koch (1977) classify Kappa statistics in the 0.41-0.60 range as “moderate,” 0.61-0.80 range as “substantial,” and 0.81-1.00 range as “almost perfect.” Koo and Li (2016), on the other hand, classify ICC values in the 0.5-0.75 range as “moderate,” 0.75-0.9 range as “good,” and above 0.9 as “excellent.” Nunnally (1978) is often cited to justify a threshold of 0.7 for “sufficient” reliability. CMS provides the following thresholds: “</w:t>
      </w:r>
      <w:r w:rsidRPr="00162E70">
        <w:rPr>
          <w:i/>
        </w:rPr>
        <w:t>We generally consider reliability levels between 0.4 and 0.7 to indicate “moderate” reliability and levels above 0.7 to indicate “high” reliability.</w:t>
      </w:r>
      <w:r w:rsidRPr="00162E70">
        <w:t>” (Quality Payment Program 2017 Final Rule: 81 FR 77169). The Department of Education provides the following thresholds: “</w:t>
      </w:r>
      <w:r w:rsidRPr="00162E70">
        <w:rPr>
          <w:i/>
        </w:rPr>
        <w:t>Reliability of an outcome measure may be established by meeting the following minimum standards: (a) internal consistency (such as Cronbach’s alpha) of 0.50 or higher; (b) temporal stability/test-retest reliability of 0.40 or higher; or (c) inter-rater reliability (such as percentage agreement, correlation, or kappa) of 0.50 or higher.</w:t>
      </w:r>
      <w:r w:rsidRPr="00162E70">
        <w:t xml:space="preserve">” (What Works Clearinghouse (WWC) Standards Handbook v4, p.78). </w:t>
      </w:r>
    </w:p>
  </w:footnote>
  <w:footnote w:id="5">
    <w:p w14:paraId="1E0BE2F0" w14:textId="77777777" w:rsidR="002A3AA5" w:rsidRPr="00162E70" w:rsidRDefault="002A3AA5" w:rsidP="007C44A8">
      <w:pPr>
        <w:pStyle w:val="FootnoteText"/>
      </w:pPr>
      <w:r w:rsidRPr="00162E70">
        <w:rPr>
          <w:rStyle w:val="FootnoteReference"/>
        </w:rPr>
        <w:footnoteRef/>
      </w:r>
      <w:r w:rsidRPr="00162E70">
        <w:t xml:space="preserve"> The mean rating is a simple average. It is calculated by multiplying the number of responses for each rating by the rating, and dividing by the total number of responses.  </w:t>
      </w:r>
    </w:p>
  </w:footnote>
  <w:footnote w:id="6">
    <w:p w14:paraId="01551C86" w14:textId="77777777" w:rsidR="002A3AA5" w:rsidRPr="0066473C" w:rsidRDefault="002A3AA5" w:rsidP="00E64DB6">
      <w:pPr>
        <w:pStyle w:val="FootnoteText"/>
        <w:rPr>
          <w:rFonts w:asciiTheme="minorHAnsi" w:hAnsiTheme="minorHAnsi" w:cstheme="minorHAnsi"/>
        </w:rPr>
      </w:pPr>
      <w:r w:rsidRPr="0066473C">
        <w:rPr>
          <w:rStyle w:val="FootnoteReference"/>
          <w:rFonts w:asciiTheme="minorHAnsi" w:hAnsiTheme="minorHAnsi" w:cstheme="minorHAnsi"/>
        </w:rPr>
        <w:footnoteRef/>
      </w:r>
      <w:r>
        <w:rPr>
          <w:rFonts w:asciiTheme="minorHAnsi" w:hAnsiTheme="minorHAnsi" w:cstheme="minorHAnsi"/>
        </w:rPr>
        <w:t xml:space="preserve"> </w:t>
      </w:r>
      <w:r w:rsidRPr="0066473C">
        <w:rPr>
          <w:rFonts w:asciiTheme="minorHAnsi" w:hAnsiTheme="minorHAnsi" w:cstheme="minorHAnsi"/>
        </w:rPr>
        <w:t xml:space="preserve">Subsection (d) </w:t>
      </w:r>
      <w:r>
        <w:rPr>
          <w:rFonts w:asciiTheme="minorHAnsi" w:hAnsiTheme="minorHAnsi" w:cstheme="minorHAnsi"/>
        </w:rPr>
        <w:t>covers</w:t>
      </w:r>
      <w:r w:rsidRPr="0066473C">
        <w:rPr>
          <w:rFonts w:asciiTheme="minorHAnsi" w:hAnsiTheme="minorHAnsi" w:cstheme="minorHAnsi"/>
        </w:rPr>
        <w:t xml:space="preserve"> hospitals in the 50 states and D.C. other than: psychiatric hospitals, rehabilitation hospitals, hospitals whose inpatients are predominantly under 18 years old, hospitals whose average inpatient length of stay exceeds 25 days, and hospitals involved extensively in treatment for or research on cancer.</w:t>
      </w:r>
    </w:p>
  </w:footnote>
  <w:footnote w:id="7">
    <w:p w14:paraId="516755A0" w14:textId="77777777" w:rsidR="002A3AA5" w:rsidRPr="006038AB" w:rsidRDefault="002A3AA5" w:rsidP="005F04B7">
      <w:pPr>
        <w:pStyle w:val="FootnoteText"/>
        <w:rPr>
          <w:rFonts w:asciiTheme="minorHAnsi" w:hAnsiTheme="minorHAnsi"/>
        </w:rPr>
      </w:pPr>
      <w:r w:rsidRPr="006038AB">
        <w:rPr>
          <w:rStyle w:val="FootnoteReference"/>
          <w:rFonts w:asciiTheme="minorHAnsi" w:hAnsiTheme="minorHAnsi"/>
        </w:rPr>
        <w:footnoteRef/>
      </w:r>
      <w:r w:rsidRPr="006038AB">
        <w:rPr>
          <w:rFonts w:asciiTheme="minorHAnsi" w:hAnsiTheme="minorHAnsi"/>
        </w:rPr>
        <w:t xml:space="preserve"> More information on the CMS cell size suppression policy can be found on this ResDAC website: </w:t>
      </w:r>
      <w:hyperlink r:id="rId2" w:history="1">
        <w:r w:rsidRPr="006038AB">
          <w:rPr>
            <w:rStyle w:val="Hyperlink"/>
            <w:rFonts w:asciiTheme="minorHAnsi" w:hAnsiTheme="minorHAnsi"/>
          </w:rPr>
          <w:t>https://www.resdac.org/articles/cms-cell-size-suppression-policy</w:t>
        </w:r>
      </w:hyperlink>
      <w:r w:rsidRPr="006038AB">
        <w:rPr>
          <w:rFonts w:asciiTheme="minorHAnsi" w:hAnsiTheme="minorHAnsi"/>
        </w:rPr>
        <w:t xml:space="preserve"> </w:t>
      </w:r>
    </w:p>
  </w:footnote>
  <w:footnote w:id="8">
    <w:p w14:paraId="6C05C0C2" w14:textId="77777777" w:rsidR="002A3AA5" w:rsidRDefault="002A3AA5" w:rsidP="00DA0B9B">
      <w:pPr>
        <w:pStyle w:val="FootnoteText"/>
      </w:pPr>
      <w:r>
        <w:rPr>
          <w:rStyle w:val="FootnoteReference"/>
        </w:rPr>
        <w:footnoteRef/>
      </w:r>
      <w:r>
        <w:t xml:space="preserve"> NQF, Committee Guidebook for the NQF Measure Endorsement Process v6.0 (Sept 2019), page 50</w:t>
      </w:r>
    </w:p>
  </w:footnote>
  <w:footnote w:id="9">
    <w:p w14:paraId="33C0B77B" w14:textId="77777777" w:rsidR="002A3AA5" w:rsidRPr="00162E70" w:rsidRDefault="002A3AA5" w:rsidP="00DA0B9B">
      <w:pPr>
        <w:pStyle w:val="FootnoteText"/>
      </w:pPr>
      <w:r w:rsidRPr="00162E70">
        <w:rPr>
          <w:rStyle w:val="FootnoteReference"/>
        </w:rPr>
        <w:footnoteRef/>
      </w:r>
      <w:r w:rsidRPr="00162E70">
        <w:t xml:space="preserve"> </w:t>
      </w:r>
      <w:r w:rsidRPr="00162E70">
        <w:rPr>
          <w:bCs/>
        </w:rPr>
        <w:t xml:space="preserve">In 2018, </w:t>
      </w:r>
      <w:r w:rsidRPr="00162E70">
        <w:t xml:space="preserve">20 million </w:t>
      </w:r>
      <w:r>
        <w:t>patients</w:t>
      </w:r>
      <w:r w:rsidRPr="00162E70">
        <w:t xml:space="preserve"> were enrolled in Medicare Part C plans and incurred $230 billion to cover Medicare Part A and Part B services for Medicare Advantage enrollees (MEDPAC Data Book </w:t>
      </w:r>
      <w:r w:rsidRPr="00162E70">
        <w:rPr>
          <w:i/>
        </w:rPr>
        <w:t>Healthcare Spending and the Medicare Program</w:t>
      </w:r>
      <w:r w:rsidRPr="00162E70">
        <w:t xml:space="preserve">, June 2019, </w:t>
      </w:r>
      <w:hyperlink r:id="rId3" w:history="1">
        <w:r w:rsidRPr="00162E70">
          <w:rPr>
            <w:rStyle w:val="Hyperlink"/>
          </w:rPr>
          <w:t>http://www.medpac.gov/docs/default-source/data-book/jun19_databook_entirereport_sec.pdf?sfvrsn=0</w:t>
        </w:r>
      </w:hyperlink>
      <w:r w:rsidRPr="00162E70">
        <w:t xml:space="preserve">) </w:t>
      </w:r>
    </w:p>
  </w:footnote>
  <w:footnote w:id="10">
    <w:p w14:paraId="034BBDD5" w14:textId="77777777" w:rsidR="002A3AA5" w:rsidRPr="00162E70" w:rsidRDefault="002A3AA5" w:rsidP="00DA0B9B">
      <w:pPr>
        <w:pStyle w:val="FootnoteText"/>
      </w:pPr>
      <w:r w:rsidRPr="00162E70">
        <w:rPr>
          <w:rStyle w:val="FootnoteReference"/>
        </w:rPr>
        <w:footnoteRef/>
      </w:r>
      <w:r w:rsidRPr="00162E70">
        <w:t xml:space="preserve"> Pope, Gregory C., John Kautter, Melvin J. Ingber, Sara Freeman, Rishi Sekar, and Cordon Newhart. “Evaluation of the CMS-HCC Risk-Adjustment Model: Final Report.” RTI International: March 2011</w:t>
      </w:r>
    </w:p>
  </w:footnote>
  <w:footnote w:id="11">
    <w:p w14:paraId="0BBE472F" w14:textId="77777777" w:rsidR="002A3AA5" w:rsidRDefault="002A3AA5" w:rsidP="00DA0B9B">
      <w:pPr>
        <w:pStyle w:val="FootnoteText"/>
      </w:pPr>
      <w:r w:rsidRPr="00162E70">
        <w:rPr>
          <w:rStyle w:val="FootnoteReference"/>
        </w:rPr>
        <w:footnoteRef/>
      </w:r>
      <w:r w:rsidRPr="00162E70">
        <w:t xml:space="preserve"> “Report to Congress: Risk Adjustment in Medicare Advantage”, </w:t>
      </w:r>
      <w:r w:rsidRPr="00162E70">
        <w:rPr>
          <w:i/>
        </w:rPr>
        <w:t>CMS</w:t>
      </w:r>
      <w:r w:rsidRPr="00162E70">
        <w:t xml:space="preserve"> </w:t>
      </w:r>
      <w:hyperlink r:id="rId4" w:history="1">
        <w:r w:rsidRPr="00162E70">
          <w:rPr>
            <w:rStyle w:val="Hyperlink"/>
          </w:rPr>
          <w:t>https://www.cms.gov/Medicare/Health-Plans/MedicareAdvtgSpecRateStats/Downloads/RTC-Dec2018.pdf</w:t>
        </w:r>
      </w:hyperlink>
      <w:r w:rsidRPr="00162E70">
        <w:rPr>
          <w:rStyle w:val="Hyperlink"/>
        </w:rPr>
        <w:t>.</w:t>
      </w:r>
    </w:p>
  </w:footnote>
  <w:footnote w:id="12">
    <w:p w14:paraId="1DBD8F66" w14:textId="77777777" w:rsidR="002A3AA5" w:rsidRPr="00162E70" w:rsidRDefault="002A3AA5" w:rsidP="00DA0B9B">
      <w:pPr>
        <w:pStyle w:val="FootnoteText"/>
      </w:pPr>
      <w:r w:rsidRPr="00162E70">
        <w:rPr>
          <w:rStyle w:val="FootnoteReference"/>
        </w:rPr>
        <w:footnoteRef/>
      </w:r>
      <w:r w:rsidRPr="00162E70">
        <w:t xml:space="preserve"> National Quality Forum. “Risk Adjustment for Socioeconomic Status or Other Sociodemographic Factors: Technical Report.” National Quality Forum: August 2014</w:t>
      </w:r>
    </w:p>
  </w:footnote>
  <w:footnote w:id="13">
    <w:p w14:paraId="0C3304CE" w14:textId="77777777" w:rsidR="002A3AA5" w:rsidRPr="00162E70" w:rsidRDefault="002A3AA5" w:rsidP="00DA0B9B">
      <w:pPr>
        <w:spacing w:after="0" w:line="240" w:lineRule="auto"/>
        <w:rPr>
          <w:rFonts w:ascii="Times New Roman" w:hAnsi="Times New Roman" w:cs="Times New Roman"/>
          <w:sz w:val="20"/>
          <w:szCs w:val="20"/>
        </w:rPr>
      </w:pPr>
      <w:r w:rsidRPr="00162E70">
        <w:rPr>
          <w:rStyle w:val="FootnoteReference"/>
          <w:rFonts w:ascii="Times New Roman" w:hAnsi="Times New Roman"/>
          <w:sz w:val="20"/>
          <w:szCs w:val="20"/>
        </w:rPr>
        <w:footnoteRef/>
      </w:r>
      <w:r w:rsidRPr="00162E70">
        <w:rPr>
          <w:rFonts w:ascii="Times New Roman" w:hAnsi="Times New Roman" w:cs="Times New Roman"/>
          <w:sz w:val="20"/>
          <w:szCs w:val="20"/>
        </w:rPr>
        <w:t xml:space="preserve"> </w:t>
      </w:r>
      <w:r w:rsidRPr="00162E70">
        <w:rPr>
          <w:rFonts w:ascii="Times New Roman" w:eastAsia="Calibri" w:hAnsi="Times New Roman" w:cs="Times New Roman"/>
          <w:sz w:val="20"/>
          <w:szCs w:val="20"/>
        </w:rPr>
        <w:t>National Academies of Sciences Engineering and Medicine (U.S.). Committee on Accounting for Socioeconomic Status in Medicare Payment Programs, Kwan LY, Stratton K, Steinwachs DM. Accounting for social risk factors in medicare payment : a report of the National Academies of Sciences, Engineering, Medicine. Washington, DC: The National Academies Press; 2017</w:t>
      </w:r>
    </w:p>
  </w:footnote>
  <w:footnote w:id="14">
    <w:p w14:paraId="1C4C0561" w14:textId="77777777" w:rsidR="002A3AA5" w:rsidRPr="00162E70" w:rsidRDefault="002A3AA5" w:rsidP="00DA0B9B">
      <w:pPr>
        <w:spacing w:after="0"/>
        <w:rPr>
          <w:rFonts w:ascii="Times New Roman" w:hAnsi="Times New Roman" w:cs="Times New Roman"/>
          <w:sz w:val="20"/>
          <w:szCs w:val="20"/>
        </w:rPr>
      </w:pPr>
      <w:r w:rsidRPr="00162E70">
        <w:rPr>
          <w:rStyle w:val="FootnoteReference"/>
          <w:rFonts w:ascii="Times New Roman" w:hAnsi="Times New Roman"/>
          <w:sz w:val="20"/>
          <w:szCs w:val="20"/>
        </w:rPr>
        <w:footnoteRef/>
      </w:r>
      <w:r w:rsidRPr="00162E70">
        <w:rPr>
          <w:rFonts w:ascii="Times New Roman" w:hAnsi="Times New Roman" w:cs="Times New Roman"/>
          <w:sz w:val="20"/>
          <w:szCs w:val="20"/>
        </w:rPr>
        <w:t xml:space="preserve"> </w:t>
      </w:r>
      <w:r w:rsidRPr="00162E70">
        <w:rPr>
          <w:rFonts w:ascii="Times New Roman" w:eastAsia="Calibri" w:hAnsi="Times New Roman" w:cs="Times New Roman"/>
          <w:sz w:val="20"/>
          <w:szCs w:val="20"/>
        </w:rPr>
        <w:t xml:space="preserve">Assistant Secretary of Health and Human Services for Planning and Evaluation. </w:t>
      </w:r>
      <w:r>
        <w:rPr>
          <w:rFonts w:ascii="Times New Roman" w:eastAsia="Calibri" w:hAnsi="Times New Roman" w:cs="Times New Roman"/>
          <w:sz w:val="20"/>
          <w:szCs w:val="20"/>
        </w:rPr>
        <w:t xml:space="preserve">Second </w:t>
      </w:r>
      <w:r w:rsidRPr="00162E70">
        <w:rPr>
          <w:rFonts w:ascii="Times New Roman" w:eastAsia="Calibri" w:hAnsi="Times New Roman" w:cs="Times New Roman"/>
          <w:sz w:val="20"/>
          <w:szCs w:val="20"/>
        </w:rPr>
        <w:t>Report to Congress</w:t>
      </w:r>
      <w:r>
        <w:rPr>
          <w:rFonts w:ascii="Times New Roman" w:eastAsia="Calibri" w:hAnsi="Times New Roman" w:cs="Times New Roman"/>
          <w:sz w:val="20"/>
          <w:szCs w:val="20"/>
        </w:rPr>
        <w:t xml:space="preserve"> on</w:t>
      </w:r>
      <w:r w:rsidRPr="00162E70">
        <w:rPr>
          <w:rFonts w:ascii="Times New Roman" w:eastAsia="Calibri" w:hAnsi="Times New Roman" w:cs="Times New Roman"/>
          <w:sz w:val="20"/>
          <w:szCs w:val="20"/>
        </w:rPr>
        <w:t xml:space="preserve"> Social Risk Factors and Performance </w:t>
      </w:r>
      <w:r>
        <w:rPr>
          <w:rFonts w:ascii="Times New Roman" w:eastAsia="Calibri" w:hAnsi="Times New Roman" w:cs="Times New Roman"/>
          <w:sz w:val="20"/>
          <w:szCs w:val="20"/>
        </w:rPr>
        <w:t xml:space="preserve">in </w:t>
      </w:r>
      <w:r w:rsidRPr="00162E70">
        <w:rPr>
          <w:rFonts w:ascii="Times New Roman" w:eastAsia="Calibri" w:hAnsi="Times New Roman" w:cs="Times New Roman"/>
          <w:sz w:val="20"/>
          <w:szCs w:val="20"/>
        </w:rPr>
        <w:t>Medicare’s Value-Based Purchasing Program</w:t>
      </w:r>
      <w:r>
        <w:rPr>
          <w:rFonts w:ascii="Times New Roman" w:eastAsia="Calibri" w:hAnsi="Times New Roman" w:cs="Times New Roman"/>
          <w:sz w:val="20"/>
          <w:szCs w:val="20"/>
        </w:rPr>
        <w:t xml:space="preserve">. </w:t>
      </w:r>
      <w:r w:rsidRPr="00162E70">
        <w:rPr>
          <w:rFonts w:ascii="Times New Roman" w:eastAsia="Calibri" w:hAnsi="Times New Roman" w:cs="Times New Roman"/>
          <w:sz w:val="20"/>
          <w:szCs w:val="20"/>
        </w:rPr>
        <w:t>Washington, D.C. December 20</w:t>
      </w:r>
      <w:r>
        <w:rPr>
          <w:rFonts w:ascii="Times New Roman" w:eastAsia="Calibri" w:hAnsi="Times New Roman" w:cs="Times New Roman"/>
          <w:sz w:val="20"/>
          <w:szCs w:val="20"/>
        </w:rPr>
        <w:t>20</w:t>
      </w:r>
    </w:p>
  </w:footnote>
  <w:footnote w:id="15">
    <w:p w14:paraId="2B770E5A" w14:textId="77777777" w:rsidR="002A3AA5" w:rsidRPr="00AB1064" w:rsidRDefault="002A3AA5" w:rsidP="00DA0B9B">
      <w:pPr>
        <w:pStyle w:val="FootnoteText"/>
        <w:rPr>
          <w:rFonts w:ascii="Arial" w:hAnsi="Arial" w:cs="Arial"/>
        </w:rPr>
      </w:pPr>
      <w:r w:rsidRPr="00162E70">
        <w:rPr>
          <w:rStyle w:val="FootnoteReference"/>
        </w:rPr>
        <w:footnoteRef/>
      </w:r>
      <w:r w:rsidRPr="00162E70">
        <w:t xml:space="preserve"> Medicare Payment Advisory Commission. Beneficiaries Dually Eligible for Medicare and Medicaid. 2018</w:t>
      </w:r>
    </w:p>
  </w:footnote>
  <w:footnote w:id="16">
    <w:p w14:paraId="116E660E" w14:textId="77777777" w:rsidR="002A3AA5" w:rsidRPr="00890CC6" w:rsidRDefault="002A3AA5" w:rsidP="00DA0B9B">
      <w:pPr>
        <w:pStyle w:val="FootnoteText"/>
      </w:pPr>
      <w:r w:rsidRPr="00890CC6">
        <w:rPr>
          <w:rStyle w:val="FootnoteReference"/>
        </w:rPr>
        <w:footnoteRef/>
      </w:r>
      <w:r w:rsidRPr="00890CC6">
        <w:t xml:space="preserve"> Pope, Gregory C., John Kautter, Melvin J. Ingber, Sara Freeman, Rishi Sekar, and Cordon Newhart. “Evaluation of the CMS-HCC Risk-Adjustment Model: Final Report.” RTI International: March 2011.</w:t>
      </w:r>
    </w:p>
  </w:footnote>
  <w:footnote w:id="17">
    <w:p w14:paraId="534DF0A1" w14:textId="77777777" w:rsidR="002A3AA5" w:rsidRDefault="002A3AA5" w:rsidP="00DA0B9B">
      <w:pPr>
        <w:pStyle w:val="FootnoteText"/>
      </w:pPr>
      <w:r>
        <w:rPr>
          <w:rStyle w:val="FootnoteReference"/>
        </w:rPr>
        <w:footnoteRef/>
      </w:r>
      <w:r>
        <w:t xml:space="preserve"> “Report to Congress: Risk Adjustment in Medicare Advantage”, </w:t>
      </w:r>
      <w:r w:rsidRPr="00C050BA">
        <w:rPr>
          <w:i/>
        </w:rPr>
        <w:t>CMS</w:t>
      </w:r>
      <w:r w:rsidRPr="00E0348E">
        <w:t xml:space="preserve"> </w:t>
      </w:r>
      <w:hyperlink r:id="rId5" w:history="1">
        <w:r>
          <w:rPr>
            <w:rStyle w:val="Hyperlink"/>
          </w:rPr>
          <w:t>https://www.cms.gov/Medicare/Health-Plans/MedicareAdvtgSpecRateStats/Downloads/RTC-Dec2018.pdf</w:t>
        </w:r>
      </w:hyperlink>
      <w:r>
        <w:rPr>
          <w:rStyle w:val="Hyperlink"/>
        </w:rPr>
        <w:t>.</w:t>
      </w:r>
    </w:p>
  </w:footnote>
  <w:footnote w:id="18">
    <w:p w14:paraId="701521E5" w14:textId="77777777" w:rsidR="002A3AA5" w:rsidRDefault="002A3AA5" w:rsidP="00DA0B9B">
      <w:pPr>
        <w:pStyle w:val="FootnoteText"/>
      </w:pPr>
      <w:r w:rsidRPr="00162E70">
        <w:rPr>
          <w:rStyle w:val="FootnoteReference"/>
        </w:rPr>
        <w:footnoteRef/>
      </w:r>
      <w:r w:rsidRPr="00162E70">
        <w:t xml:space="preserve"> Due to this exclusion, coefficients and model fit presented for the base model analyzed within the SRF testing will slightly differ to those presented for the model testing conducted in Section 2b3.5.</w:t>
      </w:r>
    </w:p>
  </w:footnote>
  <w:footnote w:id="19">
    <w:p w14:paraId="75C248C5" w14:textId="77777777" w:rsidR="002A3AA5" w:rsidRDefault="002A3AA5" w:rsidP="00DA0B9B">
      <w:pPr>
        <w:pStyle w:val="FootnoteText"/>
      </w:pPr>
      <w:r>
        <w:rPr>
          <w:rStyle w:val="FootnoteReference"/>
        </w:rPr>
        <w:footnoteRef/>
      </w:r>
      <w:r>
        <w:t xml:space="preserve"> NQF, Committee Guidebook for the NQF Measure Endorsement Process v6.0 (Sept 2019), page 50</w:t>
      </w:r>
    </w:p>
  </w:footnote>
  <w:footnote w:id="20">
    <w:p w14:paraId="396EB410" w14:textId="77777777" w:rsidR="002A3AA5" w:rsidRDefault="002A3AA5" w:rsidP="00DA0B9B">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Ibid.</w:t>
      </w:r>
    </w:p>
  </w:footnote>
  <w:footnote w:id="21">
    <w:p w14:paraId="66FEA573" w14:textId="77777777" w:rsidR="002A3AA5" w:rsidRDefault="002A3AA5" w:rsidP="00DA0B9B">
      <w:pPr>
        <w:pStyle w:val="FootnoteText"/>
        <w:rPr>
          <w:rFonts w:asciiTheme="minorHAnsi" w:eastAsiaTheme="minorHAnsi" w:hAnsiTheme="minorHAnsi"/>
        </w:rPr>
      </w:pPr>
      <w:r>
        <w:rPr>
          <w:rStyle w:val="FootnoteReference"/>
          <w:rFonts w:asciiTheme="minorHAnsi" w:hAnsiTheme="minorHAnsi"/>
        </w:rPr>
        <w:footnoteRef/>
      </w:r>
      <w:r>
        <w:rPr>
          <w:rFonts w:asciiTheme="minorHAnsi" w:hAnsiTheme="minorHAnsi"/>
        </w:rPr>
        <w:t xml:space="preserve"> Ibid, 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E0C3C" w14:textId="77777777" w:rsidR="002A3AA5" w:rsidRPr="00105D8B" w:rsidRDefault="002A3AA5" w:rsidP="00105D8B">
    <w:pPr>
      <w:pStyle w:val="Header"/>
      <w:jc w:val="center"/>
      <w:rPr>
        <w:color w:val="808080" w:themeColor="background1" w:themeShade="8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2A3AA5" w:rsidRPr="00105D8B" w:rsidRDefault="002A3AA5"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F5A"/>
    <w:multiLevelType w:val="hybridMultilevel"/>
    <w:tmpl w:val="68AE5C5C"/>
    <w:lvl w:ilvl="0" w:tplc="DB329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BC6C82"/>
    <w:multiLevelType w:val="hybridMultilevel"/>
    <w:tmpl w:val="FD487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A4F91"/>
    <w:multiLevelType w:val="hybridMultilevel"/>
    <w:tmpl w:val="A04C2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346DC"/>
    <w:multiLevelType w:val="hybridMultilevel"/>
    <w:tmpl w:val="56764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12A49"/>
    <w:multiLevelType w:val="hybridMultilevel"/>
    <w:tmpl w:val="F0103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76E07"/>
    <w:multiLevelType w:val="hybridMultilevel"/>
    <w:tmpl w:val="6B82B916"/>
    <w:lvl w:ilvl="0" w:tplc="B9FC758E">
      <w:start w:val="1"/>
      <w:numFmt w:val="lowerRoman"/>
      <w:lvlText w:val="(%1)"/>
      <w:lvlJc w:val="left"/>
      <w:pPr>
        <w:ind w:left="1008" w:hanging="72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33B15104"/>
    <w:multiLevelType w:val="hybridMultilevel"/>
    <w:tmpl w:val="2D0A4318"/>
    <w:lvl w:ilvl="0" w:tplc="912CEE58">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0717CF5"/>
    <w:multiLevelType w:val="hybridMultilevel"/>
    <w:tmpl w:val="2ED4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806ED"/>
    <w:multiLevelType w:val="hybridMultilevel"/>
    <w:tmpl w:val="564AA852"/>
    <w:lvl w:ilvl="0" w:tplc="36C447B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161C8A"/>
    <w:multiLevelType w:val="hybridMultilevel"/>
    <w:tmpl w:val="564AA852"/>
    <w:lvl w:ilvl="0" w:tplc="36C447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41440"/>
    <w:multiLevelType w:val="hybridMultilevel"/>
    <w:tmpl w:val="403ED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A56887"/>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8606C9"/>
    <w:multiLevelType w:val="hybridMultilevel"/>
    <w:tmpl w:val="F5C42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CF3BAF"/>
    <w:multiLevelType w:val="hybridMultilevel"/>
    <w:tmpl w:val="F732FF9E"/>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672A3"/>
    <w:multiLevelType w:val="hybridMultilevel"/>
    <w:tmpl w:val="A6DCAE6C"/>
    <w:lvl w:ilvl="0" w:tplc="36C447B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7239F8"/>
    <w:multiLevelType w:val="hybridMultilevel"/>
    <w:tmpl w:val="2A1AA9B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14"/>
  </w:num>
  <w:num w:numId="3">
    <w:abstractNumId w:val="5"/>
  </w:num>
  <w:num w:numId="4">
    <w:abstractNumId w:val="2"/>
  </w:num>
  <w:num w:numId="5">
    <w:abstractNumId w:val="11"/>
  </w:num>
  <w:num w:numId="6">
    <w:abstractNumId w:val="9"/>
  </w:num>
  <w:num w:numId="7">
    <w:abstractNumId w:val="12"/>
  </w:num>
  <w:num w:numId="8">
    <w:abstractNumId w:val="15"/>
  </w:num>
  <w:num w:numId="9">
    <w:abstractNumId w:val="10"/>
  </w:num>
  <w:num w:numId="10">
    <w:abstractNumId w:val="4"/>
  </w:num>
  <w:num w:numId="11">
    <w:abstractNumId w:val="0"/>
  </w:num>
  <w:num w:numId="12">
    <w:abstractNumId w:val="3"/>
  </w:num>
  <w:num w:numId="13">
    <w:abstractNumId w:val="17"/>
  </w:num>
  <w:num w:numId="14">
    <w:abstractNumId w:val="13"/>
  </w:num>
  <w:num w:numId="15">
    <w:abstractNumId w:val="8"/>
  </w:num>
  <w:num w:numId="16">
    <w:abstractNumId w:val="7"/>
  </w:num>
  <w:num w:numId="17">
    <w:abstractNumId w:val="6"/>
  </w:num>
  <w:num w:numId="1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34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0604"/>
    <w:rsid w:val="0000159A"/>
    <w:rsid w:val="00001D73"/>
    <w:rsid w:val="00003469"/>
    <w:rsid w:val="00005CBF"/>
    <w:rsid w:val="00007FC9"/>
    <w:rsid w:val="0001094F"/>
    <w:rsid w:val="00012289"/>
    <w:rsid w:val="0002006C"/>
    <w:rsid w:val="00021170"/>
    <w:rsid w:val="0002128B"/>
    <w:rsid w:val="00024DFD"/>
    <w:rsid w:val="000254E8"/>
    <w:rsid w:val="00027AB8"/>
    <w:rsid w:val="000309DD"/>
    <w:rsid w:val="00031414"/>
    <w:rsid w:val="00033038"/>
    <w:rsid w:val="00033D63"/>
    <w:rsid w:val="0003436F"/>
    <w:rsid w:val="000414E8"/>
    <w:rsid w:val="000451BA"/>
    <w:rsid w:val="0004593A"/>
    <w:rsid w:val="00050A3E"/>
    <w:rsid w:val="00052572"/>
    <w:rsid w:val="00052A6F"/>
    <w:rsid w:val="00053F02"/>
    <w:rsid w:val="0005612B"/>
    <w:rsid w:val="000574AB"/>
    <w:rsid w:val="0006147A"/>
    <w:rsid w:val="00061FA6"/>
    <w:rsid w:val="0006234F"/>
    <w:rsid w:val="000775F8"/>
    <w:rsid w:val="000800C1"/>
    <w:rsid w:val="00080CF7"/>
    <w:rsid w:val="000851B2"/>
    <w:rsid w:val="00087D8A"/>
    <w:rsid w:val="00087DE3"/>
    <w:rsid w:val="000910E8"/>
    <w:rsid w:val="00092566"/>
    <w:rsid w:val="000928F3"/>
    <w:rsid w:val="000968F8"/>
    <w:rsid w:val="00097012"/>
    <w:rsid w:val="000A3E1B"/>
    <w:rsid w:val="000B032A"/>
    <w:rsid w:val="000B2DF7"/>
    <w:rsid w:val="000B3880"/>
    <w:rsid w:val="000B7D57"/>
    <w:rsid w:val="000C036D"/>
    <w:rsid w:val="000C0FF8"/>
    <w:rsid w:val="000C3F7F"/>
    <w:rsid w:val="000D1438"/>
    <w:rsid w:val="000D2722"/>
    <w:rsid w:val="000D7948"/>
    <w:rsid w:val="000D7C84"/>
    <w:rsid w:val="000E244B"/>
    <w:rsid w:val="000E2C15"/>
    <w:rsid w:val="000E4E13"/>
    <w:rsid w:val="000E78F6"/>
    <w:rsid w:val="000F034A"/>
    <w:rsid w:val="000F06B5"/>
    <w:rsid w:val="000F1B7A"/>
    <w:rsid w:val="000F2468"/>
    <w:rsid w:val="000F39E9"/>
    <w:rsid w:val="000F7848"/>
    <w:rsid w:val="00104B45"/>
    <w:rsid w:val="00105D8B"/>
    <w:rsid w:val="0011342F"/>
    <w:rsid w:val="00117269"/>
    <w:rsid w:val="001202E9"/>
    <w:rsid w:val="00122BF9"/>
    <w:rsid w:val="00124520"/>
    <w:rsid w:val="0012454F"/>
    <w:rsid w:val="00125273"/>
    <w:rsid w:val="00125469"/>
    <w:rsid w:val="0012575E"/>
    <w:rsid w:val="00126B58"/>
    <w:rsid w:val="00127C06"/>
    <w:rsid w:val="001303CD"/>
    <w:rsid w:val="0013610F"/>
    <w:rsid w:val="00136AD8"/>
    <w:rsid w:val="00137023"/>
    <w:rsid w:val="00145149"/>
    <w:rsid w:val="00145D4F"/>
    <w:rsid w:val="0014773C"/>
    <w:rsid w:val="00152B05"/>
    <w:rsid w:val="001723B3"/>
    <w:rsid w:val="00173EFB"/>
    <w:rsid w:val="00174DC1"/>
    <w:rsid w:val="0017696D"/>
    <w:rsid w:val="00181085"/>
    <w:rsid w:val="00183E67"/>
    <w:rsid w:val="001848FC"/>
    <w:rsid w:val="00186EBF"/>
    <w:rsid w:val="00187C14"/>
    <w:rsid w:val="00193F21"/>
    <w:rsid w:val="001969C5"/>
    <w:rsid w:val="001A2993"/>
    <w:rsid w:val="001A6CDD"/>
    <w:rsid w:val="001B0D64"/>
    <w:rsid w:val="001B1D27"/>
    <w:rsid w:val="001B2D42"/>
    <w:rsid w:val="001B2FA6"/>
    <w:rsid w:val="001B78A0"/>
    <w:rsid w:val="001C12EE"/>
    <w:rsid w:val="001C38AC"/>
    <w:rsid w:val="001C4187"/>
    <w:rsid w:val="001C7B02"/>
    <w:rsid w:val="001E4DD4"/>
    <w:rsid w:val="001E69DC"/>
    <w:rsid w:val="001F1484"/>
    <w:rsid w:val="001F169D"/>
    <w:rsid w:val="001F1DA1"/>
    <w:rsid w:val="001F5E19"/>
    <w:rsid w:val="001F6F93"/>
    <w:rsid w:val="001F7A20"/>
    <w:rsid w:val="0020081E"/>
    <w:rsid w:val="0021054A"/>
    <w:rsid w:val="0021195A"/>
    <w:rsid w:val="00211B1B"/>
    <w:rsid w:val="00213383"/>
    <w:rsid w:val="00220250"/>
    <w:rsid w:val="00222444"/>
    <w:rsid w:val="002265DB"/>
    <w:rsid w:val="0022691B"/>
    <w:rsid w:val="002315B9"/>
    <w:rsid w:val="00232163"/>
    <w:rsid w:val="00234BFA"/>
    <w:rsid w:val="002376F8"/>
    <w:rsid w:val="002408E4"/>
    <w:rsid w:val="00241591"/>
    <w:rsid w:val="002438F9"/>
    <w:rsid w:val="00250B4F"/>
    <w:rsid w:val="002512D4"/>
    <w:rsid w:val="002528F5"/>
    <w:rsid w:val="0025402E"/>
    <w:rsid w:val="0025762F"/>
    <w:rsid w:val="0026300D"/>
    <w:rsid w:val="0026448A"/>
    <w:rsid w:val="00270AAE"/>
    <w:rsid w:val="00275563"/>
    <w:rsid w:val="002805F8"/>
    <w:rsid w:val="0028114D"/>
    <w:rsid w:val="00283E91"/>
    <w:rsid w:val="00286B22"/>
    <w:rsid w:val="00287649"/>
    <w:rsid w:val="00287D8C"/>
    <w:rsid w:val="00287E84"/>
    <w:rsid w:val="0029286C"/>
    <w:rsid w:val="0029300E"/>
    <w:rsid w:val="002A01D0"/>
    <w:rsid w:val="002A2407"/>
    <w:rsid w:val="002A3866"/>
    <w:rsid w:val="002A3AA5"/>
    <w:rsid w:val="002A6CE9"/>
    <w:rsid w:val="002B0C3A"/>
    <w:rsid w:val="002B2116"/>
    <w:rsid w:val="002B2D9B"/>
    <w:rsid w:val="002B5016"/>
    <w:rsid w:val="002B742C"/>
    <w:rsid w:val="002B7F4D"/>
    <w:rsid w:val="002C00A6"/>
    <w:rsid w:val="002C285C"/>
    <w:rsid w:val="002C7BE4"/>
    <w:rsid w:val="002D07AA"/>
    <w:rsid w:val="002D417D"/>
    <w:rsid w:val="002D5E5D"/>
    <w:rsid w:val="002E78A0"/>
    <w:rsid w:val="002E7B96"/>
    <w:rsid w:val="002F2687"/>
    <w:rsid w:val="002F295A"/>
    <w:rsid w:val="002F48E1"/>
    <w:rsid w:val="002F4F3B"/>
    <w:rsid w:val="00303622"/>
    <w:rsid w:val="00303FFC"/>
    <w:rsid w:val="00304C86"/>
    <w:rsid w:val="003059EB"/>
    <w:rsid w:val="00307F03"/>
    <w:rsid w:val="0031093A"/>
    <w:rsid w:val="003116AC"/>
    <w:rsid w:val="00315567"/>
    <w:rsid w:val="003166DE"/>
    <w:rsid w:val="003208D4"/>
    <w:rsid w:val="003229D6"/>
    <w:rsid w:val="00330144"/>
    <w:rsid w:val="00334329"/>
    <w:rsid w:val="00345CBA"/>
    <w:rsid w:val="00346245"/>
    <w:rsid w:val="00346DEB"/>
    <w:rsid w:val="00356267"/>
    <w:rsid w:val="00356BAD"/>
    <w:rsid w:val="00356F00"/>
    <w:rsid w:val="003605B4"/>
    <w:rsid w:val="003627AC"/>
    <w:rsid w:val="00363288"/>
    <w:rsid w:val="00366914"/>
    <w:rsid w:val="00372FE3"/>
    <w:rsid w:val="00374EB2"/>
    <w:rsid w:val="003755CB"/>
    <w:rsid w:val="003769E5"/>
    <w:rsid w:val="00381E07"/>
    <w:rsid w:val="00383F85"/>
    <w:rsid w:val="003843D2"/>
    <w:rsid w:val="00385F1B"/>
    <w:rsid w:val="003878EA"/>
    <w:rsid w:val="00387BA1"/>
    <w:rsid w:val="0039665E"/>
    <w:rsid w:val="003A306C"/>
    <w:rsid w:val="003A7DE7"/>
    <w:rsid w:val="003A7F79"/>
    <w:rsid w:val="003B1006"/>
    <w:rsid w:val="003B178F"/>
    <w:rsid w:val="003B706B"/>
    <w:rsid w:val="003C2648"/>
    <w:rsid w:val="003C5F11"/>
    <w:rsid w:val="003D294B"/>
    <w:rsid w:val="003D3C61"/>
    <w:rsid w:val="003D6401"/>
    <w:rsid w:val="003E033C"/>
    <w:rsid w:val="003E1863"/>
    <w:rsid w:val="003E2F2F"/>
    <w:rsid w:val="003F4F3C"/>
    <w:rsid w:val="00407F8F"/>
    <w:rsid w:val="0041606D"/>
    <w:rsid w:val="00416557"/>
    <w:rsid w:val="00416962"/>
    <w:rsid w:val="00420045"/>
    <w:rsid w:val="004206A8"/>
    <w:rsid w:val="00424724"/>
    <w:rsid w:val="0043309C"/>
    <w:rsid w:val="004348CC"/>
    <w:rsid w:val="00434FE5"/>
    <w:rsid w:val="0043772B"/>
    <w:rsid w:val="00437D98"/>
    <w:rsid w:val="0044018F"/>
    <w:rsid w:val="00446FDF"/>
    <w:rsid w:val="00450C58"/>
    <w:rsid w:val="0046228E"/>
    <w:rsid w:val="004658D2"/>
    <w:rsid w:val="004658FF"/>
    <w:rsid w:val="00466DDA"/>
    <w:rsid w:val="00472871"/>
    <w:rsid w:val="00472C4A"/>
    <w:rsid w:val="00474ED7"/>
    <w:rsid w:val="004756E1"/>
    <w:rsid w:val="0048008A"/>
    <w:rsid w:val="00480553"/>
    <w:rsid w:val="0048196D"/>
    <w:rsid w:val="00483E94"/>
    <w:rsid w:val="00484120"/>
    <w:rsid w:val="004847A4"/>
    <w:rsid w:val="004853A0"/>
    <w:rsid w:val="00486DB4"/>
    <w:rsid w:val="00490609"/>
    <w:rsid w:val="00496B5F"/>
    <w:rsid w:val="004A2E10"/>
    <w:rsid w:val="004A5A89"/>
    <w:rsid w:val="004A70C2"/>
    <w:rsid w:val="004A7B92"/>
    <w:rsid w:val="004B0B48"/>
    <w:rsid w:val="004B17FF"/>
    <w:rsid w:val="004B1BA0"/>
    <w:rsid w:val="004B6CEE"/>
    <w:rsid w:val="004C2443"/>
    <w:rsid w:val="004C498F"/>
    <w:rsid w:val="004C5D29"/>
    <w:rsid w:val="004C681A"/>
    <w:rsid w:val="004D05B4"/>
    <w:rsid w:val="004D4D8A"/>
    <w:rsid w:val="004D502A"/>
    <w:rsid w:val="004D5219"/>
    <w:rsid w:val="004E2365"/>
    <w:rsid w:val="004E2FCA"/>
    <w:rsid w:val="004F18A3"/>
    <w:rsid w:val="004F2DF6"/>
    <w:rsid w:val="004F50D6"/>
    <w:rsid w:val="004F62AD"/>
    <w:rsid w:val="004F68EE"/>
    <w:rsid w:val="005038D5"/>
    <w:rsid w:val="005057A8"/>
    <w:rsid w:val="00511BA4"/>
    <w:rsid w:val="005123F0"/>
    <w:rsid w:val="005149E7"/>
    <w:rsid w:val="00516AC9"/>
    <w:rsid w:val="005213D2"/>
    <w:rsid w:val="005226E0"/>
    <w:rsid w:val="005232D6"/>
    <w:rsid w:val="0052342E"/>
    <w:rsid w:val="00523D7A"/>
    <w:rsid w:val="0052468D"/>
    <w:rsid w:val="0053049B"/>
    <w:rsid w:val="005333CC"/>
    <w:rsid w:val="0053395C"/>
    <w:rsid w:val="00533FA7"/>
    <w:rsid w:val="005363F1"/>
    <w:rsid w:val="00536909"/>
    <w:rsid w:val="00537226"/>
    <w:rsid w:val="00537C1B"/>
    <w:rsid w:val="00547B57"/>
    <w:rsid w:val="0055007C"/>
    <w:rsid w:val="005511DE"/>
    <w:rsid w:val="00553DD0"/>
    <w:rsid w:val="00554922"/>
    <w:rsid w:val="00555282"/>
    <w:rsid w:val="0055582F"/>
    <w:rsid w:val="005560E7"/>
    <w:rsid w:val="0055637C"/>
    <w:rsid w:val="00557463"/>
    <w:rsid w:val="005577E8"/>
    <w:rsid w:val="005612CC"/>
    <w:rsid w:val="00563029"/>
    <w:rsid w:val="00563083"/>
    <w:rsid w:val="00565946"/>
    <w:rsid w:val="00567D12"/>
    <w:rsid w:val="00576062"/>
    <w:rsid w:val="0058099F"/>
    <w:rsid w:val="0058232B"/>
    <w:rsid w:val="00591D3E"/>
    <w:rsid w:val="0059559F"/>
    <w:rsid w:val="005A1C80"/>
    <w:rsid w:val="005A49FF"/>
    <w:rsid w:val="005A7634"/>
    <w:rsid w:val="005A7A19"/>
    <w:rsid w:val="005B04C8"/>
    <w:rsid w:val="005B6524"/>
    <w:rsid w:val="005B6F04"/>
    <w:rsid w:val="005C0447"/>
    <w:rsid w:val="005C29BD"/>
    <w:rsid w:val="005C64C8"/>
    <w:rsid w:val="005C739F"/>
    <w:rsid w:val="005C73CA"/>
    <w:rsid w:val="005D2D81"/>
    <w:rsid w:val="005D2DC3"/>
    <w:rsid w:val="005D4768"/>
    <w:rsid w:val="005E2CAB"/>
    <w:rsid w:val="005E40DA"/>
    <w:rsid w:val="005E429E"/>
    <w:rsid w:val="005E7C4E"/>
    <w:rsid w:val="005F049E"/>
    <w:rsid w:val="005F04B7"/>
    <w:rsid w:val="005F1200"/>
    <w:rsid w:val="00601ED4"/>
    <w:rsid w:val="006030BC"/>
    <w:rsid w:val="006103CE"/>
    <w:rsid w:val="00610AE9"/>
    <w:rsid w:val="00612502"/>
    <w:rsid w:val="00612866"/>
    <w:rsid w:val="00616EB5"/>
    <w:rsid w:val="00625CED"/>
    <w:rsid w:val="006269D4"/>
    <w:rsid w:val="00631ACB"/>
    <w:rsid w:val="006327D8"/>
    <w:rsid w:val="006354C8"/>
    <w:rsid w:val="006400F1"/>
    <w:rsid w:val="0064070A"/>
    <w:rsid w:val="00643A01"/>
    <w:rsid w:val="0064443D"/>
    <w:rsid w:val="00646971"/>
    <w:rsid w:val="00647B34"/>
    <w:rsid w:val="00651D44"/>
    <w:rsid w:val="00653CC6"/>
    <w:rsid w:val="006574D2"/>
    <w:rsid w:val="00661D94"/>
    <w:rsid w:val="00663563"/>
    <w:rsid w:val="00665513"/>
    <w:rsid w:val="00665685"/>
    <w:rsid w:val="00666CDB"/>
    <w:rsid w:val="006676D4"/>
    <w:rsid w:val="00673BBA"/>
    <w:rsid w:val="00675535"/>
    <w:rsid w:val="00681359"/>
    <w:rsid w:val="006856FA"/>
    <w:rsid w:val="006873C5"/>
    <w:rsid w:val="0069157C"/>
    <w:rsid w:val="00693248"/>
    <w:rsid w:val="0069493F"/>
    <w:rsid w:val="00696262"/>
    <w:rsid w:val="006A47E1"/>
    <w:rsid w:val="006A4846"/>
    <w:rsid w:val="006A79D7"/>
    <w:rsid w:val="006B7A2C"/>
    <w:rsid w:val="006C3A4F"/>
    <w:rsid w:val="006C4845"/>
    <w:rsid w:val="006C4B33"/>
    <w:rsid w:val="006D13A7"/>
    <w:rsid w:val="006D3543"/>
    <w:rsid w:val="006D4033"/>
    <w:rsid w:val="006D6BC1"/>
    <w:rsid w:val="006E0036"/>
    <w:rsid w:val="006E1808"/>
    <w:rsid w:val="006E2690"/>
    <w:rsid w:val="006E2BFC"/>
    <w:rsid w:val="006E5C57"/>
    <w:rsid w:val="006E6538"/>
    <w:rsid w:val="006F22A5"/>
    <w:rsid w:val="006F3386"/>
    <w:rsid w:val="006F4AE0"/>
    <w:rsid w:val="006F6A5D"/>
    <w:rsid w:val="006F6F99"/>
    <w:rsid w:val="00700A35"/>
    <w:rsid w:val="00702C73"/>
    <w:rsid w:val="00707E55"/>
    <w:rsid w:val="00713394"/>
    <w:rsid w:val="0071421F"/>
    <w:rsid w:val="007160A2"/>
    <w:rsid w:val="00724677"/>
    <w:rsid w:val="00724867"/>
    <w:rsid w:val="00725AC2"/>
    <w:rsid w:val="00726942"/>
    <w:rsid w:val="00732880"/>
    <w:rsid w:val="007416B9"/>
    <w:rsid w:val="007422FD"/>
    <w:rsid w:val="00743E46"/>
    <w:rsid w:val="00746535"/>
    <w:rsid w:val="00747C45"/>
    <w:rsid w:val="0075345C"/>
    <w:rsid w:val="00756FDB"/>
    <w:rsid w:val="007629B6"/>
    <w:rsid w:val="00762DA0"/>
    <w:rsid w:val="00764D5A"/>
    <w:rsid w:val="007665BF"/>
    <w:rsid w:val="00767A89"/>
    <w:rsid w:val="00771B2A"/>
    <w:rsid w:val="007757CE"/>
    <w:rsid w:val="00775800"/>
    <w:rsid w:val="00783EA6"/>
    <w:rsid w:val="0079180E"/>
    <w:rsid w:val="00791F82"/>
    <w:rsid w:val="00794E24"/>
    <w:rsid w:val="007950CC"/>
    <w:rsid w:val="0079538B"/>
    <w:rsid w:val="007961B8"/>
    <w:rsid w:val="00797624"/>
    <w:rsid w:val="007A34CC"/>
    <w:rsid w:val="007A4828"/>
    <w:rsid w:val="007B093D"/>
    <w:rsid w:val="007B2069"/>
    <w:rsid w:val="007C04A1"/>
    <w:rsid w:val="007C21FA"/>
    <w:rsid w:val="007C44A8"/>
    <w:rsid w:val="007C6BBE"/>
    <w:rsid w:val="007D13B1"/>
    <w:rsid w:val="007D1DEF"/>
    <w:rsid w:val="007D2263"/>
    <w:rsid w:val="007D2303"/>
    <w:rsid w:val="007D4351"/>
    <w:rsid w:val="007D47D3"/>
    <w:rsid w:val="007D7019"/>
    <w:rsid w:val="007E18DB"/>
    <w:rsid w:val="007E55B5"/>
    <w:rsid w:val="007E6F1C"/>
    <w:rsid w:val="007F3463"/>
    <w:rsid w:val="00804C69"/>
    <w:rsid w:val="0080618B"/>
    <w:rsid w:val="0080711D"/>
    <w:rsid w:val="00815382"/>
    <w:rsid w:val="008155CD"/>
    <w:rsid w:val="00820C1C"/>
    <w:rsid w:val="008275B4"/>
    <w:rsid w:val="00830371"/>
    <w:rsid w:val="00831BC9"/>
    <w:rsid w:val="00833325"/>
    <w:rsid w:val="00837CFC"/>
    <w:rsid w:val="00840A41"/>
    <w:rsid w:val="00842DFB"/>
    <w:rsid w:val="00842F3C"/>
    <w:rsid w:val="00844FE0"/>
    <w:rsid w:val="00845AAD"/>
    <w:rsid w:val="00847BD4"/>
    <w:rsid w:val="008505D1"/>
    <w:rsid w:val="00852A8E"/>
    <w:rsid w:val="00855158"/>
    <w:rsid w:val="00857EE8"/>
    <w:rsid w:val="0086464B"/>
    <w:rsid w:val="008647FC"/>
    <w:rsid w:val="00864CA8"/>
    <w:rsid w:val="00865E2D"/>
    <w:rsid w:val="00870E6C"/>
    <w:rsid w:val="008716C8"/>
    <w:rsid w:val="00874BD8"/>
    <w:rsid w:val="00875097"/>
    <w:rsid w:val="00875429"/>
    <w:rsid w:val="00875846"/>
    <w:rsid w:val="00876D96"/>
    <w:rsid w:val="00884486"/>
    <w:rsid w:val="00884D98"/>
    <w:rsid w:val="00886EB0"/>
    <w:rsid w:val="008871A9"/>
    <w:rsid w:val="00887524"/>
    <w:rsid w:val="00887816"/>
    <w:rsid w:val="008913BE"/>
    <w:rsid w:val="008916BA"/>
    <w:rsid w:val="00892176"/>
    <w:rsid w:val="00892669"/>
    <w:rsid w:val="008A1DB7"/>
    <w:rsid w:val="008A403A"/>
    <w:rsid w:val="008A4C13"/>
    <w:rsid w:val="008B604D"/>
    <w:rsid w:val="008B6B10"/>
    <w:rsid w:val="008C05E5"/>
    <w:rsid w:val="008C066E"/>
    <w:rsid w:val="008C3422"/>
    <w:rsid w:val="008C54A9"/>
    <w:rsid w:val="008D1E4C"/>
    <w:rsid w:val="008D28B9"/>
    <w:rsid w:val="008D72E3"/>
    <w:rsid w:val="008E4A13"/>
    <w:rsid w:val="008E52C4"/>
    <w:rsid w:val="008E67C3"/>
    <w:rsid w:val="008F0B76"/>
    <w:rsid w:val="008F46E2"/>
    <w:rsid w:val="008F589F"/>
    <w:rsid w:val="008F76A9"/>
    <w:rsid w:val="008F7E67"/>
    <w:rsid w:val="00900DBF"/>
    <w:rsid w:val="009048B9"/>
    <w:rsid w:val="00904E91"/>
    <w:rsid w:val="00907C9D"/>
    <w:rsid w:val="0091063B"/>
    <w:rsid w:val="0091481C"/>
    <w:rsid w:val="00915886"/>
    <w:rsid w:val="009214DC"/>
    <w:rsid w:val="00927027"/>
    <w:rsid w:val="009344BA"/>
    <w:rsid w:val="00934FAF"/>
    <w:rsid w:val="009411AA"/>
    <w:rsid w:val="00945113"/>
    <w:rsid w:val="00946E61"/>
    <w:rsid w:val="00947F78"/>
    <w:rsid w:val="0095087E"/>
    <w:rsid w:val="00953234"/>
    <w:rsid w:val="0095406B"/>
    <w:rsid w:val="009574C1"/>
    <w:rsid w:val="00957822"/>
    <w:rsid w:val="00960DE8"/>
    <w:rsid w:val="00961EAF"/>
    <w:rsid w:val="0096278F"/>
    <w:rsid w:val="00970619"/>
    <w:rsid w:val="00972228"/>
    <w:rsid w:val="009726E1"/>
    <w:rsid w:val="00972A04"/>
    <w:rsid w:val="00973460"/>
    <w:rsid w:val="00977591"/>
    <w:rsid w:val="00980E75"/>
    <w:rsid w:val="0098260E"/>
    <w:rsid w:val="00984066"/>
    <w:rsid w:val="00987BFA"/>
    <w:rsid w:val="00990A1F"/>
    <w:rsid w:val="00991453"/>
    <w:rsid w:val="00992C63"/>
    <w:rsid w:val="00993FC3"/>
    <w:rsid w:val="00994A95"/>
    <w:rsid w:val="00994BE0"/>
    <w:rsid w:val="0099638A"/>
    <w:rsid w:val="009A25B1"/>
    <w:rsid w:val="009A4608"/>
    <w:rsid w:val="009A5DBD"/>
    <w:rsid w:val="009A6A57"/>
    <w:rsid w:val="009A70BF"/>
    <w:rsid w:val="009A78E3"/>
    <w:rsid w:val="009B1A15"/>
    <w:rsid w:val="009C0852"/>
    <w:rsid w:val="009C13CA"/>
    <w:rsid w:val="009C32C6"/>
    <w:rsid w:val="009C665F"/>
    <w:rsid w:val="009C7513"/>
    <w:rsid w:val="009D2E8B"/>
    <w:rsid w:val="009D3882"/>
    <w:rsid w:val="009D70C6"/>
    <w:rsid w:val="009D7E38"/>
    <w:rsid w:val="009E095B"/>
    <w:rsid w:val="009E1846"/>
    <w:rsid w:val="009E48AC"/>
    <w:rsid w:val="009E5E0B"/>
    <w:rsid w:val="009E5F2A"/>
    <w:rsid w:val="009E78FF"/>
    <w:rsid w:val="009F6841"/>
    <w:rsid w:val="00A00215"/>
    <w:rsid w:val="00A01494"/>
    <w:rsid w:val="00A016F2"/>
    <w:rsid w:val="00A02832"/>
    <w:rsid w:val="00A04E2A"/>
    <w:rsid w:val="00A07C63"/>
    <w:rsid w:val="00A10EA6"/>
    <w:rsid w:val="00A167EE"/>
    <w:rsid w:val="00A22FA9"/>
    <w:rsid w:val="00A25024"/>
    <w:rsid w:val="00A262DA"/>
    <w:rsid w:val="00A31B73"/>
    <w:rsid w:val="00A32210"/>
    <w:rsid w:val="00A35F8F"/>
    <w:rsid w:val="00A36A05"/>
    <w:rsid w:val="00A41377"/>
    <w:rsid w:val="00A4263D"/>
    <w:rsid w:val="00A509B8"/>
    <w:rsid w:val="00A50B32"/>
    <w:rsid w:val="00A51A4D"/>
    <w:rsid w:val="00A52AB9"/>
    <w:rsid w:val="00A52C5C"/>
    <w:rsid w:val="00A6210B"/>
    <w:rsid w:val="00A622BD"/>
    <w:rsid w:val="00A64EBF"/>
    <w:rsid w:val="00A65337"/>
    <w:rsid w:val="00A6638B"/>
    <w:rsid w:val="00A70B62"/>
    <w:rsid w:val="00A70BAE"/>
    <w:rsid w:val="00A71200"/>
    <w:rsid w:val="00A71E9F"/>
    <w:rsid w:val="00A7323A"/>
    <w:rsid w:val="00A75139"/>
    <w:rsid w:val="00A80022"/>
    <w:rsid w:val="00A831B4"/>
    <w:rsid w:val="00A86011"/>
    <w:rsid w:val="00A8751E"/>
    <w:rsid w:val="00A910B4"/>
    <w:rsid w:val="00A93060"/>
    <w:rsid w:val="00A93B50"/>
    <w:rsid w:val="00A97798"/>
    <w:rsid w:val="00AA0201"/>
    <w:rsid w:val="00AA5213"/>
    <w:rsid w:val="00AA65A6"/>
    <w:rsid w:val="00AB0A96"/>
    <w:rsid w:val="00AB3ED8"/>
    <w:rsid w:val="00AB5B54"/>
    <w:rsid w:val="00AC0835"/>
    <w:rsid w:val="00AC11D7"/>
    <w:rsid w:val="00AC172F"/>
    <w:rsid w:val="00AC1D8E"/>
    <w:rsid w:val="00AC2C0E"/>
    <w:rsid w:val="00AC48FA"/>
    <w:rsid w:val="00AC5292"/>
    <w:rsid w:val="00AC650A"/>
    <w:rsid w:val="00AD0240"/>
    <w:rsid w:val="00AD2478"/>
    <w:rsid w:val="00AD4137"/>
    <w:rsid w:val="00AD5E23"/>
    <w:rsid w:val="00AE1398"/>
    <w:rsid w:val="00AF2D68"/>
    <w:rsid w:val="00AF5079"/>
    <w:rsid w:val="00B037BA"/>
    <w:rsid w:val="00B07B2E"/>
    <w:rsid w:val="00B152B4"/>
    <w:rsid w:val="00B20139"/>
    <w:rsid w:val="00B20BE0"/>
    <w:rsid w:val="00B218DA"/>
    <w:rsid w:val="00B30ECD"/>
    <w:rsid w:val="00B342FA"/>
    <w:rsid w:val="00B37D51"/>
    <w:rsid w:val="00B42102"/>
    <w:rsid w:val="00B52DE3"/>
    <w:rsid w:val="00B532D9"/>
    <w:rsid w:val="00B53E8B"/>
    <w:rsid w:val="00B56C46"/>
    <w:rsid w:val="00B65E41"/>
    <w:rsid w:val="00B714F6"/>
    <w:rsid w:val="00B75008"/>
    <w:rsid w:val="00B756B6"/>
    <w:rsid w:val="00B774D2"/>
    <w:rsid w:val="00B8015A"/>
    <w:rsid w:val="00B82818"/>
    <w:rsid w:val="00B82A57"/>
    <w:rsid w:val="00B837A9"/>
    <w:rsid w:val="00B83B00"/>
    <w:rsid w:val="00B8500A"/>
    <w:rsid w:val="00B87697"/>
    <w:rsid w:val="00B91309"/>
    <w:rsid w:val="00BA053B"/>
    <w:rsid w:val="00BA68C2"/>
    <w:rsid w:val="00BB1AD5"/>
    <w:rsid w:val="00BB35AE"/>
    <w:rsid w:val="00BB3879"/>
    <w:rsid w:val="00BB730B"/>
    <w:rsid w:val="00BC03A1"/>
    <w:rsid w:val="00BC0D25"/>
    <w:rsid w:val="00BC3DEF"/>
    <w:rsid w:val="00BC767F"/>
    <w:rsid w:val="00BD2505"/>
    <w:rsid w:val="00BD3167"/>
    <w:rsid w:val="00BD3642"/>
    <w:rsid w:val="00BD3692"/>
    <w:rsid w:val="00BD525E"/>
    <w:rsid w:val="00BE592D"/>
    <w:rsid w:val="00BF16F7"/>
    <w:rsid w:val="00BF52B0"/>
    <w:rsid w:val="00BF5376"/>
    <w:rsid w:val="00BF5697"/>
    <w:rsid w:val="00BF586B"/>
    <w:rsid w:val="00BF645C"/>
    <w:rsid w:val="00BF6922"/>
    <w:rsid w:val="00C04EB1"/>
    <w:rsid w:val="00C14CCC"/>
    <w:rsid w:val="00C1695E"/>
    <w:rsid w:val="00C20674"/>
    <w:rsid w:val="00C22C1C"/>
    <w:rsid w:val="00C318B6"/>
    <w:rsid w:val="00C33F2E"/>
    <w:rsid w:val="00C34936"/>
    <w:rsid w:val="00C34C14"/>
    <w:rsid w:val="00C355B9"/>
    <w:rsid w:val="00C35849"/>
    <w:rsid w:val="00C37EF1"/>
    <w:rsid w:val="00C401C4"/>
    <w:rsid w:val="00C41680"/>
    <w:rsid w:val="00C44266"/>
    <w:rsid w:val="00C45F04"/>
    <w:rsid w:val="00C50653"/>
    <w:rsid w:val="00C5547F"/>
    <w:rsid w:val="00C60A25"/>
    <w:rsid w:val="00C67069"/>
    <w:rsid w:val="00C72F30"/>
    <w:rsid w:val="00C765C5"/>
    <w:rsid w:val="00C775CE"/>
    <w:rsid w:val="00C81087"/>
    <w:rsid w:val="00C82479"/>
    <w:rsid w:val="00C85BA5"/>
    <w:rsid w:val="00C867F0"/>
    <w:rsid w:val="00C9064F"/>
    <w:rsid w:val="00C96003"/>
    <w:rsid w:val="00C9780E"/>
    <w:rsid w:val="00CA06D8"/>
    <w:rsid w:val="00CA0A69"/>
    <w:rsid w:val="00CA2F0E"/>
    <w:rsid w:val="00CA345A"/>
    <w:rsid w:val="00CB49FF"/>
    <w:rsid w:val="00CC02CF"/>
    <w:rsid w:val="00CC086A"/>
    <w:rsid w:val="00CC23A3"/>
    <w:rsid w:val="00CD0E24"/>
    <w:rsid w:val="00CD0F66"/>
    <w:rsid w:val="00CD364B"/>
    <w:rsid w:val="00CD419B"/>
    <w:rsid w:val="00CD68AF"/>
    <w:rsid w:val="00CD744C"/>
    <w:rsid w:val="00CE0835"/>
    <w:rsid w:val="00CE23B8"/>
    <w:rsid w:val="00CE284E"/>
    <w:rsid w:val="00CE2D08"/>
    <w:rsid w:val="00CE50D7"/>
    <w:rsid w:val="00CE60C6"/>
    <w:rsid w:val="00CE7586"/>
    <w:rsid w:val="00CE7B6E"/>
    <w:rsid w:val="00CF0EC8"/>
    <w:rsid w:val="00CF411A"/>
    <w:rsid w:val="00CF4CBE"/>
    <w:rsid w:val="00CF4EBE"/>
    <w:rsid w:val="00D00344"/>
    <w:rsid w:val="00D06417"/>
    <w:rsid w:val="00D06981"/>
    <w:rsid w:val="00D10F24"/>
    <w:rsid w:val="00D14260"/>
    <w:rsid w:val="00D1754D"/>
    <w:rsid w:val="00D2223F"/>
    <w:rsid w:val="00D222D3"/>
    <w:rsid w:val="00D22D5D"/>
    <w:rsid w:val="00D23B0F"/>
    <w:rsid w:val="00D23FC7"/>
    <w:rsid w:val="00D256C7"/>
    <w:rsid w:val="00D25A07"/>
    <w:rsid w:val="00D274A4"/>
    <w:rsid w:val="00D277AF"/>
    <w:rsid w:val="00D30A6C"/>
    <w:rsid w:val="00D3101C"/>
    <w:rsid w:val="00D31163"/>
    <w:rsid w:val="00D320B1"/>
    <w:rsid w:val="00D33AFD"/>
    <w:rsid w:val="00D36489"/>
    <w:rsid w:val="00D369E9"/>
    <w:rsid w:val="00D414B1"/>
    <w:rsid w:val="00D42195"/>
    <w:rsid w:val="00D50704"/>
    <w:rsid w:val="00D5760A"/>
    <w:rsid w:val="00D61410"/>
    <w:rsid w:val="00D627A9"/>
    <w:rsid w:val="00D64C0F"/>
    <w:rsid w:val="00D739A5"/>
    <w:rsid w:val="00D75A21"/>
    <w:rsid w:val="00D8181D"/>
    <w:rsid w:val="00D82211"/>
    <w:rsid w:val="00D83E9F"/>
    <w:rsid w:val="00D86874"/>
    <w:rsid w:val="00D91C3C"/>
    <w:rsid w:val="00D92234"/>
    <w:rsid w:val="00D968D8"/>
    <w:rsid w:val="00DA0B9B"/>
    <w:rsid w:val="00DA1995"/>
    <w:rsid w:val="00DA4A50"/>
    <w:rsid w:val="00DA563D"/>
    <w:rsid w:val="00DA7277"/>
    <w:rsid w:val="00DB3627"/>
    <w:rsid w:val="00DB4724"/>
    <w:rsid w:val="00DB6163"/>
    <w:rsid w:val="00DB6944"/>
    <w:rsid w:val="00DC4746"/>
    <w:rsid w:val="00DD0B4E"/>
    <w:rsid w:val="00DD0FDC"/>
    <w:rsid w:val="00DD1852"/>
    <w:rsid w:val="00DD1BC7"/>
    <w:rsid w:val="00DD28D3"/>
    <w:rsid w:val="00DD30D5"/>
    <w:rsid w:val="00DD631F"/>
    <w:rsid w:val="00DE7149"/>
    <w:rsid w:val="00DF0AAE"/>
    <w:rsid w:val="00E0314C"/>
    <w:rsid w:val="00E06AAF"/>
    <w:rsid w:val="00E11882"/>
    <w:rsid w:val="00E13323"/>
    <w:rsid w:val="00E1508F"/>
    <w:rsid w:val="00E25874"/>
    <w:rsid w:val="00E261DF"/>
    <w:rsid w:val="00E27240"/>
    <w:rsid w:val="00E27EDD"/>
    <w:rsid w:val="00E30584"/>
    <w:rsid w:val="00E310B9"/>
    <w:rsid w:val="00E361E1"/>
    <w:rsid w:val="00E37E1B"/>
    <w:rsid w:val="00E44253"/>
    <w:rsid w:val="00E44A37"/>
    <w:rsid w:val="00E562C0"/>
    <w:rsid w:val="00E57FAF"/>
    <w:rsid w:val="00E6250E"/>
    <w:rsid w:val="00E64DB6"/>
    <w:rsid w:val="00E66E7B"/>
    <w:rsid w:val="00E672D6"/>
    <w:rsid w:val="00E717B8"/>
    <w:rsid w:val="00E71F9F"/>
    <w:rsid w:val="00E76024"/>
    <w:rsid w:val="00E76F59"/>
    <w:rsid w:val="00E81C51"/>
    <w:rsid w:val="00E82292"/>
    <w:rsid w:val="00E82920"/>
    <w:rsid w:val="00E856A2"/>
    <w:rsid w:val="00E878F2"/>
    <w:rsid w:val="00E87A3D"/>
    <w:rsid w:val="00E967AD"/>
    <w:rsid w:val="00E96884"/>
    <w:rsid w:val="00EA07A6"/>
    <w:rsid w:val="00EA29F4"/>
    <w:rsid w:val="00EA5435"/>
    <w:rsid w:val="00EA5F47"/>
    <w:rsid w:val="00EB158D"/>
    <w:rsid w:val="00EB2F34"/>
    <w:rsid w:val="00EB455E"/>
    <w:rsid w:val="00EB7E02"/>
    <w:rsid w:val="00EC664F"/>
    <w:rsid w:val="00EC6927"/>
    <w:rsid w:val="00EC72B8"/>
    <w:rsid w:val="00EC7558"/>
    <w:rsid w:val="00EC79DE"/>
    <w:rsid w:val="00ED4ACE"/>
    <w:rsid w:val="00ED5D55"/>
    <w:rsid w:val="00ED722D"/>
    <w:rsid w:val="00EE3257"/>
    <w:rsid w:val="00EE4D35"/>
    <w:rsid w:val="00EF02C1"/>
    <w:rsid w:val="00EF0524"/>
    <w:rsid w:val="00EF2DA7"/>
    <w:rsid w:val="00F00B80"/>
    <w:rsid w:val="00F00DD6"/>
    <w:rsid w:val="00F06F00"/>
    <w:rsid w:val="00F07C86"/>
    <w:rsid w:val="00F1105D"/>
    <w:rsid w:val="00F1412B"/>
    <w:rsid w:val="00F15BFA"/>
    <w:rsid w:val="00F22C36"/>
    <w:rsid w:val="00F34E10"/>
    <w:rsid w:val="00F34FAB"/>
    <w:rsid w:val="00F41B17"/>
    <w:rsid w:val="00F435AA"/>
    <w:rsid w:val="00F54549"/>
    <w:rsid w:val="00F5738A"/>
    <w:rsid w:val="00F601CE"/>
    <w:rsid w:val="00F6042D"/>
    <w:rsid w:val="00F612D4"/>
    <w:rsid w:val="00F61B65"/>
    <w:rsid w:val="00F713EB"/>
    <w:rsid w:val="00F728C1"/>
    <w:rsid w:val="00F7389E"/>
    <w:rsid w:val="00F77F1D"/>
    <w:rsid w:val="00F87CCB"/>
    <w:rsid w:val="00F93D61"/>
    <w:rsid w:val="00F93F6D"/>
    <w:rsid w:val="00FA0989"/>
    <w:rsid w:val="00FA2ECE"/>
    <w:rsid w:val="00FA48C7"/>
    <w:rsid w:val="00FB4DA4"/>
    <w:rsid w:val="00FB51FB"/>
    <w:rsid w:val="00FB73C1"/>
    <w:rsid w:val="00FC395B"/>
    <w:rsid w:val="00FD29D0"/>
    <w:rsid w:val="00FE037D"/>
    <w:rsid w:val="00FE07D7"/>
    <w:rsid w:val="00FE2A26"/>
    <w:rsid w:val="00FF31C9"/>
    <w:rsid w:val="00FF416C"/>
    <w:rsid w:val="00FF6B68"/>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25"/>
    <o:shapelayout v:ext="edit">
      <o:idmap v:ext="edit" data="1"/>
    </o:shapelayout>
  </w:shapeDefaults>
  <w:decimalSymbol w:val="."/>
  <w:listSeparator w:val=","/>
  <w14:docId w14:val="0CABCF53"/>
  <w15:docId w15:val="{88FE2469-4D83-4AC3-BDB4-C11263A5E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aliases w:val="Acumen,AcuSPHERE"/>
    <w:basedOn w:val="TableNormal"/>
    <w:uiPriority w:val="39"/>
    <w:qFormat/>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qFormat/>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qFormat/>
    <w:rsid w:val="00145149"/>
    <w:rPr>
      <w:rFonts w:cs="Times New Roman"/>
      <w:vertAlign w:val="superscript"/>
    </w:rPr>
  </w:style>
  <w:style w:type="character" w:customStyle="1" w:styleId="ListParagraphChar">
    <w:name w:val="List Paragraph Char"/>
    <w:aliases w:val="Bullet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533FA7"/>
    <w:pPr>
      <w:autoSpaceDE w:val="0"/>
      <w:autoSpaceDN w:val="0"/>
      <w:adjustRightInd w:val="0"/>
      <w:spacing w:after="0" w:line="240" w:lineRule="auto"/>
    </w:pPr>
    <w:rPr>
      <w:rFonts w:ascii="Arial" w:eastAsiaTheme="minorHAnsi" w:hAnsi="Arial" w:cs="Arial"/>
      <w:color w:val="000000"/>
      <w:sz w:val="24"/>
      <w:szCs w:val="24"/>
    </w:rPr>
  </w:style>
  <w:style w:type="paragraph" w:customStyle="1" w:styleId="Body125">
    <w:name w:val="Body 1.25"/>
    <w:basedOn w:val="BodyText"/>
    <w:link w:val="Body125Char"/>
    <w:uiPriority w:val="6"/>
    <w:qFormat/>
    <w:rsid w:val="00061FA6"/>
    <w:pPr>
      <w:spacing w:after="0" w:line="240" w:lineRule="auto"/>
      <w:ind w:firstLine="288"/>
    </w:pPr>
    <w:rPr>
      <w:rFonts w:ascii="Times New Roman" w:eastAsiaTheme="minorHAnsi" w:hAnsi="Times New Roman" w:cs="Times New Roman"/>
      <w:spacing w:val="-10"/>
      <w:sz w:val="24"/>
      <w:szCs w:val="24"/>
    </w:rPr>
  </w:style>
  <w:style w:type="character" w:customStyle="1" w:styleId="Body125Char">
    <w:name w:val="Body 1.25 Char"/>
    <w:basedOn w:val="BodyTextChar"/>
    <w:link w:val="Body125"/>
    <w:uiPriority w:val="6"/>
    <w:rsid w:val="00061FA6"/>
    <w:rPr>
      <w:rFonts w:ascii="Times New Roman" w:eastAsiaTheme="minorHAnsi" w:hAnsi="Times New Roman" w:cs="Times New Roman"/>
      <w:spacing w:val="-10"/>
      <w:sz w:val="24"/>
      <w:szCs w:val="24"/>
    </w:rPr>
  </w:style>
  <w:style w:type="paragraph" w:styleId="BodyText">
    <w:name w:val="Body Text"/>
    <w:basedOn w:val="Normal"/>
    <w:link w:val="BodyTextChar"/>
    <w:uiPriority w:val="99"/>
    <w:semiHidden/>
    <w:unhideWhenUsed/>
    <w:rsid w:val="00061FA6"/>
    <w:pPr>
      <w:spacing w:after="120"/>
    </w:pPr>
  </w:style>
  <w:style w:type="character" w:customStyle="1" w:styleId="BodyTextChar">
    <w:name w:val="Body Text Char"/>
    <w:basedOn w:val="DefaultParagraphFont"/>
    <w:link w:val="BodyText"/>
    <w:uiPriority w:val="99"/>
    <w:semiHidden/>
    <w:rsid w:val="00061FA6"/>
  </w:style>
  <w:style w:type="paragraph" w:styleId="EndnoteText">
    <w:name w:val="endnote text"/>
    <w:basedOn w:val="Normal"/>
    <w:link w:val="EndnoteTextChar"/>
    <w:uiPriority w:val="99"/>
    <w:semiHidden/>
    <w:unhideWhenUsed/>
    <w:rsid w:val="00B83B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B00"/>
    <w:rPr>
      <w:sz w:val="20"/>
      <w:szCs w:val="20"/>
    </w:rPr>
  </w:style>
  <w:style w:type="character" w:styleId="EndnoteReference">
    <w:name w:val="endnote reference"/>
    <w:basedOn w:val="DefaultParagraphFont"/>
    <w:uiPriority w:val="99"/>
    <w:semiHidden/>
    <w:unhideWhenUsed/>
    <w:rsid w:val="00B83B00"/>
    <w:rPr>
      <w:vertAlign w:val="superscript"/>
    </w:rPr>
  </w:style>
  <w:style w:type="table" w:customStyle="1" w:styleId="AcuSPHERE1">
    <w:name w:val="AcuSPHERE1"/>
    <w:basedOn w:val="TableNormal"/>
    <w:next w:val="TableGrid"/>
    <w:uiPriority w:val="39"/>
    <w:qFormat/>
    <w:rsid w:val="00661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6505178">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87277498">
      <w:bodyDiv w:val="1"/>
      <w:marLeft w:val="0"/>
      <w:marRight w:val="0"/>
      <w:marTop w:val="0"/>
      <w:marBottom w:val="0"/>
      <w:divBdr>
        <w:top w:val="none" w:sz="0" w:space="0" w:color="auto"/>
        <w:left w:val="none" w:sz="0" w:space="0" w:color="auto"/>
        <w:bottom w:val="none" w:sz="0" w:space="0" w:color="auto"/>
        <w:right w:val="none" w:sz="0" w:space="0" w:color="auto"/>
      </w:divBdr>
    </w:div>
    <w:div w:id="203799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www.medpac.gov/docs/default-source/data-book/jun19_databook_entirereport_sec.pdf?sfvrsn=0" TargetMode="External"/><Relationship Id="rId2" Type="http://schemas.openxmlformats.org/officeDocument/2006/relationships/hyperlink" Target="https://www.resdac.org/articles/cms-cell-size-suppression-policy" TargetMode="External"/><Relationship Id="rId1" Type="http://schemas.openxmlformats.org/officeDocument/2006/relationships/hyperlink" Target="https://archive.ahrq.gov/research/findings/final-reports/medicareindicators/index.html" TargetMode="External"/><Relationship Id="rId5" Type="http://schemas.openxmlformats.org/officeDocument/2006/relationships/hyperlink" Target="https://www.cms.gov/Medicare/Health-Plans/MedicareAdvtgSpecRateStats/Downloads/RTC-Dec2018.pdf" TargetMode="External"/><Relationship Id="rId4" Type="http://schemas.openxmlformats.org/officeDocument/2006/relationships/hyperlink" Target="https://www.cms.gov/Medicare/Health-Plans/MedicareAdvtgSpecRateStats/Downloads/RTC-Dec2018.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Italic">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316A8"/>
    <w:rsid w:val="000440F9"/>
    <w:rsid w:val="00096189"/>
    <w:rsid w:val="000A5329"/>
    <w:rsid w:val="00127222"/>
    <w:rsid w:val="001736D7"/>
    <w:rsid w:val="0018535C"/>
    <w:rsid w:val="00190AF4"/>
    <w:rsid w:val="001F2F06"/>
    <w:rsid w:val="00223FA3"/>
    <w:rsid w:val="002A288F"/>
    <w:rsid w:val="002C65A7"/>
    <w:rsid w:val="002D5EAD"/>
    <w:rsid w:val="002E54D8"/>
    <w:rsid w:val="002F052A"/>
    <w:rsid w:val="0031558F"/>
    <w:rsid w:val="0032109C"/>
    <w:rsid w:val="003345CF"/>
    <w:rsid w:val="00350176"/>
    <w:rsid w:val="003840F0"/>
    <w:rsid w:val="00437537"/>
    <w:rsid w:val="004D785E"/>
    <w:rsid w:val="00513FC9"/>
    <w:rsid w:val="0052446A"/>
    <w:rsid w:val="0053654E"/>
    <w:rsid w:val="005A2684"/>
    <w:rsid w:val="005F3C59"/>
    <w:rsid w:val="00610196"/>
    <w:rsid w:val="00632A7E"/>
    <w:rsid w:val="00632AB6"/>
    <w:rsid w:val="00697988"/>
    <w:rsid w:val="00730B33"/>
    <w:rsid w:val="00772B2A"/>
    <w:rsid w:val="00793105"/>
    <w:rsid w:val="007C672A"/>
    <w:rsid w:val="007D4368"/>
    <w:rsid w:val="00822666"/>
    <w:rsid w:val="00823ECC"/>
    <w:rsid w:val="00826796"/>
    <w:rsid w:val="008345AB"/>
    <w:rsid w:val="00841700"/>
    <w:rsid w:val="00866C97"/>
    <w:rsid w:val="009017AE"/>
    <w:rsid w:val="0098284E"/>
    <w:rsid w:val="009C542D"/>
    <w:rsid w:val="00A01A18"/>
    <w:rsid w:val="00A95183"/>
    <w:rsid w:val="00AB4AF7"/>
    <w:rsid w:val="00AD7C4F"/>
    <w:rsid w:val="00B445F5"/>
    <w:rsid w:val="00BD40CB"/>
    <w:rsid w:val="00C020E5"/>
    <w:rsid w:val="00C362A2"/>
    <w:rsid w:val="00C90121"/>
    <w:rsid w:val="00C96E73"/>
    <w:rsid w:val="00CA1FE8"/>
    <w:rsid w:val="00CA344F"/>
    <w:rsid w:val="00CA660C"/>
    <w:rsid w:val="00D1676E"/>
    <w:rsid w:val="00DC0246"/>
    <w:rsid w:val="00DF14E2"/>
    <w:rsid w:val="00E6518A"/>
    <w:rsid w:val="00E84229"/>
    <w:rsid w:val="00EB7A73"/>
    <w:rsid w:val="00EC450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terms/"/>
    <ds:schemaRef ds:uri="836b82f1-340d-495e-85b5-201c5296619a"/>
    <ds:schemaRef ds:uri="http://www.w3.org/XML/1998/namespace"/>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C0E54B-1716-4E0D-B7A0-67E10164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12741</Words>
  <Characters>72625</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85196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Matt Benn</cp:lastModifiedBy>
  <cp:revision>2</cp:revision>
  <dcterms:created xsi:type="dcterms:W3CDTF">2021-04-26T04:50:00Z</dcterms:created>
  <dcterms:modified xsi:type="dcterms:W3CDTF">2021-04-26T04:50:00Z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