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9B0F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2AE9B0F2" w14:textId="77777777" w:rsidR="00797624" w:rsidRDefault="00797624" w:rsidP="00105D8B">
      <w:pPr>
        <w:contextualSpacing/>
        <w:rPr>
          <w:rFonts w:cstheme="minorHAnsi"/>
          <w:b/>
          <w:noProof/>
        </w:rPr>
      </w:pPr>
    </w:p>
    <w:p w14:paraId="2AE9B0F3" w14:textId="72B80C79" w:rsidR="00927027" w:rsidRPr="00844F4A"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sdt>
            <w:sdtPr>
              <w:rPr>
                <w:rStyle w:val="Style1"/>
                <w:color w:val="auto"/>
              </w:rPr>
              <w:id w:val="780076153"/>
              <w:placeholder>
                <w:docPart w:val="E2ED6D930D824771979AD46A567E979B"/>
              </w:placeholder>
            </w:sdtPr>
            <w:sdtEndPr>
              <w:rPr>
                <w:rStyle w:val="DefaultParagraphFont"/>
                <w:rFonts w:cstheme="minorHAnsi"/>
                <w:b/>
                <w:noProof/>
              </w:rPr>
            </w:sdtEndPr>
            <w:sdtContent>
              <w:sdt>
                <w:sdtPr>
                  <w:rPr>
                    <w:rStyle w:val="Style1"/>
                    <w:color w:val="auto"/>
                  </w:rPr>
                  <w:id w:val="585268811"/>
                  <w:placeholder>
                    <w:docPart w:val="625FC1E1A5D7443798E4B7021ED3DEDC"/>
                  </w:placeholder>
                </w:sdtPr>
                <w:sdtEndPr>
                  <w:rPr>
                    <w:rStyle w:val="DefaultParagraphFont"/>
                    <w:rFonts w:cstheme="minorHAnsi"/>
                    <w:b/>
                    <w:noProof/>
                  </w:rPr>
                </w:sdtEndPr>
                <w:sdtContent>
                  <w:r w:rsidR="00773896" w:rsidRPr="00844F4A">
                    <w:rPr>
                      <w:rStyle w:val="Style1"/>
                      <w:color w:val="auto"/>
                    </w:rPr>
                    <w:t>1789</w:t>
                  </w:r>
                </w:sdtContent>
              </w:sdt>
            </w:sdtContent>
          </w:sdt>
        </w:sdtContent>
      </w:sdt>
    </w:p>
    <w:p w14:paraId="2AE9B0F4" w14:textId="33985B49" w:rsidR="00105D8B" w:rsidRPr="00A25024" w:rsidRDefault="00105D8B" w:rsidP="00105D8B">
      <w:pPr>
        <w:contextualSpacing/>
        <w:rPr>
          <w:rFonts w:cstheme="minorHAnsi"/>
          <w:noProof/>
        </w:rPr>
      </w:pPr>
      <w:r w:rsidRPr="00844F4A">
        <w:rPr>
          <w:rFonts w:cstheme="minorHAnsi"/>
          <w:b/>
          <w:noProof/>
        </w:rPr>
        <w:t>Measure Title</w:t>
      </w:r>
      <w:r w:rsidRPr="00844F4A">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sdt>
            <w:sdtPr>
              <w:rPr>
                <w:rStyle w:val="Style1"/>
                <w:rFonts w:cstheme="minorHAnsi"/>
                <w:color w:val="auto"/>
              </w:rPr>
              <w:id w:val="-215052319"/>
              <w:placeholder>
                <w:docPart w:val="9599A037216241949632A5061714C961"/>
              </w:placeholder>
            </w:sdtPr>
            <w:sdtEndPr>
              <w:rPr>
                <w:rStyle w:val="DefaultParagraphFont"/>
                <w:noProof/>
              </w:rPr>
            </w:sdtEndPr>
            <w:sdtContent>
              <w:sdt>
                <w:sdtPr>
                  <w:rPr>
                    <w:rStyle w:val="Style1"/>
                    <w:color w:val="auto"/>
                  </w:rPr>
                  <w:id w:val="1786231796"/>
                  <w:placeholder>
                    <w:docPart w:val="A8BA0FC72859480C9BAC7114310352B7"/>
                  </w:placeholder>
                </w:sdtPr>
                <w:sdtEndPr>
                  <w:rPr>
                    <w:rStyle w:val="DefaultParagraphFont"/>
                    <w:noProof/>
                  </w:rPr>
                </w:sdtEndPr>
                <w:sdtContent>
                  <w:r w:rsidR="00773896" w:rsidRPr="00844F4A">
                    <w:rPr>
                      <w:rStyle w:val="Style1"/>
                      <w:color w:val="auto"/>
                    </w:rPr>
                    <w:t>Hospital-Wide Readmission Measure (HWR)</w:t>
                  </w:r>
                </w:sdtContent>
              </w:sdt>
            </w:sdtContent>
          </w:sdt>
        </w:sdtContent>
      </w:sdt>
    </w:p>
    <w:p w14:paraId="2AE9B0F5" w14:textId="535B39A2"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Fonts w:cstheme="minorHAnsi"/>
            <w:noProof/>
            <w:u w:val="single"/>
          </w:rPr>
          <w:id w:val="-1689821638"/>
          <w:placeholder>
            <w:docPart w:val="D0A5AE3409394D21BA5FA5F27780E302"/>
          </w:placeholder>
          <w:date w:fullDate="2017-04-25T00:00:00Z">
            <w:dateFormat w:val="M/d/yyyy"/>
            <w:lid w:val="en-US"/>
            <w:storeMappedDataAs w:val="dateTime"/>
            <w:calendar w:val="gregorian"/>
          </w:date>
        </w:sdtPr>
        <w:sdtEndPr/>
        <w:sdtContent>
          <w:r w:rsidR="00773896" w:rsidRPr="00844F4A">
            <w:rPr>
              <w:rFonts w:cstheme="minorHAnsi"/>
              <w:noProof/>
              <w:u w:val="single"/>
            </w:rPr>
            <w:t>4/25/2017</w:t>
          </w:r>
        </w:sdtContent>
      </w:sdt>
    </w:p>
    <w:p w14:paraId="2AE9B0F6"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2AE9B0F9" w14:textId="77777777" w:rsidTr="000B7D57">
        <w:trPr>
          <w:jc w:val="center"/>
        </w:trPr>
        <w:tc>
          <w:tcPr>
            <w:tcW w:w="2513" w:type="pct"/>
          </w:tcPr>
          <w:p w14:paraId="2AE9B0F7" w14:textId="3600594E" w:rsidR="000B7D57" w:rsidRPr="00844F4A" w:rsidRDefault="00E85A92" w:rsidP="00CD364B">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4E7E10" w:rsidRPr="00844F4A">
                  <w:rPr>
                    <w:rFonts w:ascii="MS Gothic" w:eastAsia="MS Gothic" w:hAnsi="MS Gothic" w:cstheme="minorHAnsi" w:hint="eastAsia"/>
                    <w:bCs/>
                  </w:rPr>
                  <w:t>☒</w:t>
                </w:r>
              </w:sdtContent>
            </w:sdt>
            <w:r w:rsidR="000B7D57" w:rsidRPr="00844F4A">
              <w:rPr>
                <w:rFonts w:cstheme="minorHAnsi"/>
                <w:bCs/>
              </w:rPr>
              <w:t xml:space="preserve"> Outcome (</w:t>
            </w:r>
            <w:r w:rsidR="000B7D57" w:rsidRPr="00844F4A">
              <w:rPr>
                <w:rFonts w:cstheme="minorHAnsi"/>
                <w:bCs/>
                <w:i/>
              </w:rPr>
              <w:t>including PRO-PM</w:t>
            </w:r>
            <w:r w:rsidR="000B7D57" w:rsidRPr="00844F4A">
              <w:rPr>
                <w:rFonts w:cstheme="minorHAnsi"/>
                <w:bCs/>
              </w:rPr>
              <w:t>)</w:t>
            </w:r>
          </w:p>
        </w:tc>
        <w:tc>
          <w:tcPr>
            <w:tcW w:w="2487" w:type="pct"/>
          </w:tcPr>
          <w:p w14:paraId="2AE9B0F8" w14:textId="77777777" w:rsidR="000B7D57" w:rsidRPr="00450C58" w:rsidRDefault="00E85A92"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Composite – </w:t>
            </w:r>
            <w:r w:rsidR="000B7D57" w:rsidRPr="00450C58">
              <w:rPr>
                <w:rFonts w:cstheme="minorHAnsi"/>
                <w:b/>
                <w:bCs/>
                <w:i/>
              </w:rPr>
              <w:t>STOP – use composite testing form</w:t>
            </w:r>
          </w:p>
        </w:tc>
      </w:tr>
      <w:tr w:rsidR="000B7D57" w:rsidRPr="00450C58" w14:paraId="2AE9B0FC" w14:textId="77777777" w:rsidTr="000B7D57">
        <w:trPr>
          <w:jc w:val="center"/>
        </w:trPr>
        <w:tc>
          <w:tcPr>
            <w:tcW w:w="2513" w:type="pct"/>
          </w:tcPr>
          <w:p w14:paraId="2AE9B0FA" w14:textId="77777777" w:rsidR="000B7D57" w:rsidRPr="00844F4A" w:rsidRDefault="00E85A92" w:rsidP="00CD364B">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EndPr/>
              <w:sdtContent>
                <w:r w:rsidR="000B7D57" w:rsidRPr="00844F4A">
                  <w:rPr>
                    <w:rFonts w:cstheme="minorHAnsi" w:hint="eastAsia"/>
                    <w:bCs/>
                  </w:rPr>
                  <w:t>☐</w:t>
                </w:r>
              </w:sdtContent>
            </w:sdt>
            <w:r w:rsidR="000B7D57" w:rsidRPr="00844F4A">
              <w:rPr>
                <w:rFonts w:cstheme="minorHAnsi"/>
                <w:bCs/>
              </w:rPr>
              <w:t xml:space="preserve"> Intermediate Clinical Outcome</w:t>
            </w:r>
          </w:p>
        </w:tc>
        <w:tc>
          <w:tcPr>
            <w:tcW w:w="2487" w:type="pct"/>
          </w:tcPr>
          <w:p w14:paraId="2AE9B0FB" w14:textId="77777777" w:rsidR="000B7D57" w:rsidRPr="00450C58" w:rsidRDefault="00E85A92"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Cost/resource</w:t>
            </w:r>
          </w:p>
        </w:tc>
      </w:tr>
      <w:tr w:rsidR="000B7D57" w:rsidRPr="00450C58" w14:paraId="2AE9B0FF" w14:textId="77777777" w:rsidTr="000B7D57">
        <w:trPr>
          <w:jc w:val="center"/>
        </w:trPr>
        <w:tc>
          <w:tcPr>
            <w:tcW w:w="2513" w:type="pct"/>
          </w:tcPr>
          <w:p w14:paraId="2AE9B0FD" w14:textId="77777777" w:rsidR="000B7D57" w:rsidRPr="00844F4A" w:rsidRDefault="00E85A92" w:rsidP="00CD364B">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0B7D57" w:rsidRPr="00844F4A">
                  <w:rPr>
                    <w:rFonts w:ascii="MS Gothic" w:eastAsia="MS Gothic" w:cstheme="minorHAnsi" w:hint="eastAsia"/>
                    <w:bCs/>
                  </w:rPr>
                  <w:t>☐</w:t>
                </w:r>
              </w:sdtContent>
            </w:sdt>
            <w:r w:rsidR="000B7D57" w:rsidRPr="00844F4A">
              <w:rPr>
                <w:rFonts w:cstheme="minorHAnsi"/>
                <w:bCs/>
              </w:rPr>
              <w:t xml:space="preserve"> </w:t>
            </w:r>
            <w:r w:rsidR="000B7D57" w:rsidRPr="00844F4A">
              <w:rPr>
                <w:rFonts w:eastAsia="MS Gothic" w:cstheme="minorHAnsi"/>
                <w:bCs/>
              </w:rPr>
              <w:t>Process</w:t>
            </w:r>
          </w:p>
        </w:tc>
        <w:tc>
          <w:tcPr>
            <w:tcW w:w="2487" w:type="pct"/>
          </w:tcPr>
          <w:p w14:paraId="2AE9B0FE" w14:textId="77777777" w:rsidR="000B7D57" w:rsidRPr="00450C58" w:rsidRDefault="00E85A92"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Efficiency</w:t>
            </w:r>
          </w:p>
        </w:tc>
      </w:tr>
      <w:tr w:rsidR="000B7D57" w:rsidRPr="00B82A57" w14:paraId="2AE9B102" w14:textId="77777777" w:rsidTr="000B7D57">
        <w:trPr>
          <w:jc w:val="center"/>
        </w:trPr>
        <w:tc>
          <w:tcPr>
            <w:tcW w:w="2513" w:type="pct"/>
          </w:tcPr>
          <w:p w14:paraId="2AE9B100" w14:textId="77777777" w:rsidR="000B7D57" w:rsidRPr="00844F4A" w:rsidRDefault="00E85A92"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0B7D57" w:rsidRPr="00844F4A">
                  <w:rPr>
                    <w:rFonts w:ascii="MS Gothic" w:eastAsia="MS Gothic" w:cstheme="minorHAnsi" w:hint="eastAsia"/>
                    <w:bCs/>
                  </w:rPr>
                  <w:t>☐</w:t>
                </w:r>
              </w:sdtContent>
            </w:sdt>
            <w:r w:rsidR="000B7D57" w:rsidRPr="00844F4A">
              <w:rPr>
                <w:rFonts w:cstheme="minorHAnsi"/>
                <w:bCs/>
              </w:rPr>
              <w:t xml:space="preserve"> </w:t>
            </w:r>
            <w:r w:rsidR="000B7D57" w:rsidRPr="00844F4A">
              <w:rPr>
                <w:rFonts w:eastAsia="MS Gothic" w:cstheme="minorHAnsi"/>
                <w:bCs/>
              </w:rPr>
              <w:t>Structure</w:t>
            </w:r>
          </w:p>
        </w:tc>
        <w:tc>
          <w:tcPr>
            <w:tcW w:w="2487" w:type="pct"/>
          </w:tcPr>
          <w:p w14:paraId="2AE9B101" w14:textId="77777777" w:rsidR="000B7D57" w:rsidRDefault="000B7D57" w:rsidP="00CD364B">
            <w:pPr>
              <w:autoSpaceDE w:val="0"/>
              <w:autoSpaceDN w:val="0"/>
              <w:adjustRightInd w:val="0"/>
              <w:rPr>
                <w:rFonts w:cstheme="minorHAnsi"/>
                <w:bCs/>
                <w:color w:val="0000FF"/>
              </w:rPr>
            </w:pPr>
          </w:p>
        </w:tc>
      </w:tr>
    </w:tbl>
    <w:p w14:paraId="2AE9B103"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2AE9B10E" w14:textId="77777777" w:rsidTr="00145149">
        <w:trPr>
          <w:jc w:val="center"/>
        </w:trPr>
        <w:tc>
          <w:tcPr>
            <w:tcW w:w="9576" w:type="dxa"/>
          </w:tcPr>
          <w:p w14:paraId="2AE9B104" w14:textId="77777777" w:rsidR="00B53E8B" w:rsidRPr="00B53E8B" w:rsidRDefault="00B53E8B" w:rsidP="00B53E8B">
            <w:pPr>
              <w:rPr>
                <w:rFonts w:cstheme="minorHAnsi"/>
                <w:b/>
                <w:noProof/>
              </w:rPr>
            </w:pPr>
            <w:r w:rsidRPr="00B53E8B">
              <w:rPr>
                <w:rFonts w:cstheme="minorHAnsi"/>
                <w:b/>
                <w:noProof/>
              </w:rPr>
              <w:t>Instructions</w:t>
            </w:r>
          </w:p>
          <w:p w14:paraId="2AE9B10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AE9B10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2AE9B10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AE9B10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AE9B109"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2AE9B10A"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2AE9B10B"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2AE9B10C"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2AE9B10D"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2AE9B10F"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2AE9B12E" w14:textId="77777777" w:rsidTr="00145149">
        <w:trPr>
          <w:jc w:val="center"/>
        </w:trPr>
        <w:tc>
          <w:tcPr>
            <w:tcW w:w="9576" w:type="dxa"/>
          </w:tcPr>
          <w:p w14:paraId="2AE9B110"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2AE9B111" w14:textId="77777777" w:rsidR="00B53E8B" w:rsidRPr="00A831B4" w:rsidRDefault="00B53E8B" w:rsidP="00702C73">
            <w:pPr>
              <w:rPr>
                <w:rFonts w:cstheme="minorHAnsi"/>
                <w:b/>
                <w:bCs/>
                <w:sz w:val="20"/>
                <w:szCs w:val="20"/>
              </w:rPr>
            </w:pPr>
          </w:p>
          <w:p w14:paraId="2AE9B112" w14:textId="77777777" w:rsidR="00BC0D25" w:rsidRPr="002049E8" w:rsidRDefault="00145149" w:rsidP="00702C73">
            <w:pPr>
              <w:rPr>
                <w:rFonts w:cstheme="minorHAnsi"/>
                <w:bCs/>
                <w:iCs/>
              </w:rPr>
            </w:pPr>
            <w:r w:rsidRPr="002049E8">
              <w:rPr>
                <w:rFonts w:cstheme="minorHAnsi"/>
                <w:b/>
                <w:bCs/>
              </w:rPr>
              <w:t>2a2.</w:t>
            </w:r>
            <w:r w:rsidRPr="002049E8">
              <w:rPr>
                <w:rFonts w:cstheme="minorHAnsi"/>
              </w:rPr>
              <w:t xml:space="preserve"> </w:t>
            </w:r>
            <w:r w:rsidRPr="002049E8">
              <w:rPr>
                <w:rFonts w:cstheme="minorHAnsi"/>
                <w:b/>
              </w:rPr>
              <w:t>Reliability testing</w:t>
            </w:r>
            <w:r w:rsidRPr="002049E8">
              <w:rPr>
                <w:rFonts w:cstheme="minorHAnsi"/>
              </w:rPr>
              <w:t xml:space="preserve"> </w:t>
            </w:r>
            <w:hyperlink w:anchor="Note10" w:history="1">
              <w:r w:rsidRPr="00436D87">
                <w:rPr>
                  <w:rStyle w:val="Hyperlink"/>
                  <w:rFonts w:cstheme="minorHAnsi"/>
                  <w:b/>
                  <w:color w:val="auto"/>
                  <w:vertAlign w:val="superscript"/>
                </w:rPr>
                <w:t>10</w:t>
              </w:r>
            </w:hyperlink>
            <w:r w:rsidRPr="00436D87">
              <w:rPr>
                <w:rFonts w:cstheme="minorHAnsi"/>
              </w:rPr>
              <w:t xml:space="preserve"> </w:t>
            </w:r>
            <w:r w:rsidRPr="002049E8">
              <w:rPr>
                <w:rFonts w:cstheme="minorHAnsi"/>
              </w:rPr>
              <w:t xml:space="preserve">demonstrates the measure data elements are repeatable, producing the same results a high proportion of the time when assessed </w:t>
            </w:r>
            <w:r w:rsidRPr="002049E8">
              <w:rPr>
                <w:rFonts w:cstheme="minorHAnsi"/>
                <w:bCs/>
                <w:iCs/>
              </w:rPr>
              <w:t xml:space="preserve">in the same population in the same time period </w:t>
            </w:r>
            <w:r w:rsidRPr="002049E8">
              <w:rPr>
                <w:rFonts w:cstheme="minorHAnsi"/>
              </w:rPr>
              <w:t>and/or that the measure score is precise</w:t>
            </w:r>
            <w:r w:rsidRPr="002049E8">
              <w:rPr>
                <w:rFonts w:cstheme="minorHAnsi"/>
                <w:bCs/>
                <w:iCs/>
              </w:rPr>
              <w:t>.</w:t>
            </w:r>
            <w:r w:rsidR="00125273" w:rsidRPr="002049E8">
              <w:rPr>
                <w:rFonts w:cstheme="minorHAnsi"/>
                <w:bCs/>
                <w:iCs/>
              </w:rPr>
              <w:t xml:space="preserve"> For </w:t>
            </w:r>
            <w:r w:rsidR="00125273" w:rsidRPr="002049E8">
              <w:rPr>
                <w:rFonts w:cstheme="minorHAnsi"/>
                <w:b/>
                <w:bCs/>
                <w:iCs/>
              </w:rPr>
              <w:t>PRO-PMs and composite performance measures</w:t>
            </w:r>
            <w:r w:rsidR="00125273" w:rsidRPr="002049E8">
              <w:rPr>
                <w:rFonts w:cstheme="minorHAnsi"/>
                <w:bCs/>
                <w:iCs/>
              </w:rPr>
              <w:t>, reliability should be demonstrated for the computed performance score.</w:t>
            </w:r>
          </w:p>
          <w:p w14:paraId="2AE9B113" w14:textId="77777777" w:rsidR="00145149" w:rsidRPr="002049E8" w:rsidRDefault="00145149" w:rsidP="00145149">
            <w:pPr>
              <w:autoSpaceDE w:val="0"/>
              <w:autoSpaceDN w:val="0"/>
              <w:adjustRightInd w:val="0"/>
              <w:rPr>
                <w:rFonts w:cstheme="minorHAnsi"/>
                <w:b/>
                <w:iCs/>
              </w:rPr>
            </w:pPr>
          </w:p>
          <w:p w14:paraId="2AE9B114" w14:textId="77777777" w:rsidR="00145149" w:rsidRPr="002049E8" w:rsidRDefault="00145149" w:rsidP="00145149">
            <w:pPr>
              <w:autoSpaceDE w:val="0"/>
              <w:autoSpaceDN w:val="0"/>
              <w:adjustRightInd w:val="0"/>
              <w:rPr>
                <w:rFonts w:cstheme="minorHAnsi"/>
              </w:rPr>
            </w:pPr>
            <w:r w:rsidRPr="002049E8">
              <w:rPr>
                <w:rFonts w:cstheme="minorHAnsi"/>
                <w:b/>
                <w:iCs/>
              </w:rPr>
              <w:t>2b2.</w:t>
            </w:r>
            <w:r w:rsidRPr="002049E8">
              <w:rPr>
                <w:rFonts w:cstheme="minorHAnsi"/>
                <w:bCs/>
                <w:iCs/>
              </w:rPr>
              <w:t xml:space="preserve"> </w:t>
            </w:r>
            <w:r w:rsidRPr="002049E8">
              <w:rPr>
                <w:rFonts w:cstheme="minorHAnsi"/>
                <w:b/>
                <w:bCs/>
                <w:iCs/>
              </w:rPr>
              <w:t>Validity testing</w:t>
            </w:r>
            <w:r w:rsidRPr="002049E8">
              <w:rPr>
                <w:rFonts w:cstheme="minorHAnsi"/>
                <w:bCs/>
                <w:iCs/>
              </w:rPr>
              <w:t xml:space="preserve"> </w:t>
            </w:r>
            <w:hyperlink w:anchor="Note11" w:history="1">
              <w:r w:rsidRPr="00436D87">
                <w:rPr>
                  <w:rStyle w:val="Hyperlink"/>
                  <w:rFonts w:cstheme="minorHAnsi"/>
                  <w:b/>
                  <w:color w:val="auto"/>
                  <w:vertAlign w:val="superscript"/>
                </w:rPr>
                <w:t>11</w:t>
              </w:r>
            </w:hyperlink>
            <w:r w:rsidRPr="00436D87">
              <w:rPr>
                <w:rFonts w:cstheme="minorHAnsi"/>
                <w:bCs/>
                <w:iCs/>
              </w:rPr>
              <w:t xml:space="preserve"> </w:t>
            </w:r>
            <w:r w:rsidRPr="002049E8">
              <w:rPr>
                <w:rFonts w:cstheme="minorHAnsi"/>
                <w:bCs/>
                <w:iCs/>
              </w:rPr>
              <w:t xml:space="preserve">demonstrates that the measure data elements are correct and/or the </w:t>
            </w:r>
            <w:r w:rsidRPr="002049E8">
              <w:rPr>
                <w:rFonts w:cstheme="minorHAnsi"/>
              </w:rPr>
              <w:t>measure score correctly reflects the quality of care provided, adequately identifying differences in quality</w:t>
            </w:r>
            <w:r w:rsidRPr="002049E8">
              <w:rPr>
                <w:rFonts w:cstheme="minorHAnsi"/>
                <w:color w:val="0000FF"/>
              </w:rPr>
              <w:t xml:space="preserve">.  </w:t>
            </w:r>
            <w:r w:rsidR="00372FE3" w:rsidRPr="002049E8">
              <w:rPr>
                <w:rFonts w:cstheme="minorHAnsi"/>
                <w:bCs/>
                <w:iCs/>
              </w:rPr>
              <w:t xml:space="preserve">For </w:t>
            </w:r>
            <w:r w:rsidR="00372FE3" w:rsidRPr="002049E8">
              <w:rPr>
                <w:rFonts w:cstheme="minorHAnsi"/>
                <w:b/>
                <w:bCs/>
                <w:iCs/>
              </w:rPr>
              <w:t>PRO-PMs and composite performance measures</w:t>
            </w:r>
            <w:r w:rsidR="00372FE3" w:rsidRPr="002049E8">
              <w:rPr>
                <w:rFonts w:cstheme="minorHAnsi"/>
                <w:bCs/>
                <w:iCs/>
              </w:rPr>
              <w:t>, validity should be demonstrated for the computed performance score.</w:t>
            </w:r>
          </w:p>
          <w:p w14:paraId="2AE9B115" w14:textId="77777777" w:rsidR="00145149" w:rsidRPr="002049E8" w:rsidRDefault="00145149" w:rsidP="00145149">
            <w:pPr>
              <w:rPr>
                <w:rFonts w:cstheme="minorHAnsi"/>
              </w:rPr>
            </w:pPr>
            <w:bookmarkStart w:id="0" w:name="_Toc256067249"/>
          </w:p>
          <w:p w14:paraId="2AE9B116" w14:textId="77777777" w:rsidR="00145149" w:rsidRPr="000F034A" w:rsidRDefault="00145149" w:rsidP="00145149">
            <w:pPr>
              <w:rPr>
                <w:rFonts w:cstheme="minorHAnsi"/>
              </w:rPr>
            </w:pPr>
            <w:r w:rsidRPr="002049E8">
              <w:rPr>
                <w:rFonts w:cstheme="minorHAnsi"/>
                <w:b/>
                <w:bCs/>
              </w:rPr>
              <w:t>2b3.</w:t>
            </w:r>
            <w:r w:rsidRPr="002049E8">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36D87">
                <w:rPr>
                  <w:rStyle w:val="Hyperlink"/>
                  <w:rFonts w:cstheme="minorHAnsi"/>
                  <w:b/>
                  <w:color w:val="auto"/>
                  <w:vertAlign w:val="superscript"/>
                </w:rPr>
                <w:t>12</w:t>
              </w:r>
            </w:hyperlink>
          </w:p>
          <w:p w14:paraId="2AE9B117" w14:textId="77777777" w:rsidR="00145149" w:rsidRPr="000F034A" w:rsidRDefault="00145149" w:rsidP="00145149">
            <w:pPr>
              <w:rPr>
                <w:rFonts w:cstheme="minorHAnsi"/>
                <w:b/>
              </w:rPr>
            </w:pPr>
            <w:r w:rsidRPr="000F034A">
              <w:rPr>
                <w:rFonts w:cstheme="minorHAnsi"/>
                <w:b/>
              </w:rPr>
              <w:lastRenderedPageBreak/>
              <w:t xml:space="preserve">AND </w:t>
            </w:r>
          </w:p>
          <w:p w14:paraId="2AE9B118"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36D87">
                <w:rPr>
                  <w:rStyle w:val="Hyperlink"/>
                  <w:rFonts w:cstheme="minorHAnsi"/>
                  <w:b/>
                  <w:color w:val="auto"/>
                  <w:vertAlign w:val="superscript"/>
                </w:rPr>
                <w:t>13</w:t>
              </w:r>
            </w:hyperlink>
          </w:p>
          <w:p w14:paraId="2AE9B119" w14:textId="77777777" w:rsidR="00145149" w:rsidRPr="000F034A" w:rsidRDefault="00145149" w:rsidP="00145149">
            <w:pPr>
              <w:rPr>
                <w:rFonts w:cstheme="minorHAnsi"/>
                <w:b/>
                <w:bCs/>
              </w:rPr>
            </w:pPr>
          </w:p>
          <w:p w14:paraId="2AE9B11A"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E9B11B"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436D87">
                <w:rPr>
                  <w:rStyle w:val="Hyperlink"/>
                  <w:rFonts w:cstheme="minorHAnsi"/>
                  <w:b/>
                  <w:color w:val="auto"/>
                  <w:vertAlign w:val="superscript"/>
                </w:rPr>
                <w:t>14</w:t>
              </w:r>
            </w:hyperlink>
            <w:r w:rsidRPr="00436D87">
              <w:rPr>
                <w:rFonts w:cstheme="minorHAnsi"/>
                <w:b/>
                <w:vertAlign w:val="superscript"/>
              </w:rPr>
              <w:t>,</w:t>
            </w:r>
            <w:hyperlink w:anchor="Note15" w:history="1">
              <w:r w:rsidRPr="00436D87">
                <w:rPr>
                  <w:rStyle w:val="Hyperlink"/>
                  <w:rFonts w:cstheme="minorHAnsi"/>
                  <w:b/>
                  <w:color w:val="auto"/>
                  <w:vertAlign w:val="superscript"/>
                </w:rPr>
                <w:t>15</w:t>
              </w:r>
            </w:hyperlink>
            <w:r w:rsidRPr="00436D87">
              <w:rPr>
                <w:rFonts w:cstheme="minorHAnsi"/>
              </w:rPr>
              <w:t xml:space="preserve"> </w:t>
            </w:r>
            <w:r w:rsidRPr="000F034A">
              <w:rPr>
                <w:rFonts w:cstheme="minorHAnsi"/>
              </w:rPr>
              <w:t>and has demonstrated adequate discrimination and calibration</w:t>
            </w:r>
          </w:p>
          <w:p w14:paraId="2AE9B11C" w14:textId="77777777" w:rsidR="00145149" w:rsidRPr="000F034A" w:rsidRDefault="00145149" w:rsidP="00145149">
            <w:pPr>
              <w:rPr>
                <w:rFonts w:cstheme="minorHAnsi"/>
                <w:b/>
              </w:rPr>
            </w:pPr>
            <w:r w:rsidRPr="000F034A">
              <w:rPr>
                <w:rFonts w:cstheme="minorHAnsi"/>
                <w:b/>
              </w:rPr>
              <w:t>OR</w:t>
            </w:r>
          </w:p>
          <w:p w14:paraId="2AE9B11D"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2AE9B11E" w14:textId="77777777" w:rsidR="00145149" w:rsidRPr="000F034A" w:rsidRDefault="00145149" w:rsidP="00145149">
            <w:pPr>
              <w:rPr>
                <w:rFonts w:cstheme="minorHAnsi"/>
                <w:b/>
                <w:bCs/>
              </w:rPr>
            </w:pPr>
          </w:p>
          <w:bookmarkEnd w:id="1"/>
          <w:p w14:paraId="2AE9B11F"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436D87">
                <w:rPr>
                  <w:rStyle w:val="Hyperlink"/>
                  <w:rFonts w:cstheme="minorHAnsi"/>
                  <w:b/>
                  <w:color w:val="auto"/>
                  <w:vertAlign w:val="superscript"/>
                </w:rPr>
                <w:t>16</w:t>
              </w:r>
            </w:hyperlink>
            <w:r w:rsidRPr="00436D87">
              <w:rPr>
                <w:rFonts w:cstheme="minorHAnsi"/>
              </w:rPr>
              <w:t xml:space="preserve"> </w:t>
            </w:r>
            <w:r w:rsidRPr="000F034A">
              <w:rPr>
                <w:rFonts w:cstheme="minorHAnsi"/>
                <w:b/>
              </w:rPr>
              <w:t>differences in performance</w:t>
            </w:r>
            <w:r w:rsidRPr="000F034A">
              <w:rPr>
                <w:rFonts w:cstheme="minorHAnsi"/>
              </w:rPr>
              <w:t>;</w:t>
            </w:r>
          </w:p>
          <w:p w14:paraId="2AE9B120" w14:textId="77777777" w:rsidR="00145149" w:rsidRPr="000F034A" w:rsidRDefault="00145149" w:rsidP="00145149">
            <w:pPr>
              <w:rPr>
                <w:rFonts w:cstheme="minorHAnsi"/>
              </w:rPr>
            </w:pPr>
            <w:r w:rsidRPr="000F034A">
              <w:rPr>
                <w:rFonts w:cstheme="minorHAnsi"/>
                <w:b/>
              </w:rPr>
              <w:t>OR</w:t>
            </w:r>
          </w:p>
          <w:p w14:paraId="2AE9B121"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2AE9B122" w14:textId="77777777" w:rsidR="00145149" w:rsidRPr="000F034A" w:rsidRDefault="00145149" w:rsidP="00145149">
            <w:pPr>
              <w:rPr>
                <w:rFonts w:cstheme="minorHAnsi"/>
                <w:b/>
                <w:bCs/>
              </w:rPr>
            </w:pPr>
          </w:p>
          <w:p w14:paraId="2AE9B123"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AE9B124" w14:textId="77777777" w:rsidR="00E30584" w:rsidRPr="000F034A" w:rsidRDefault="00E30584" w:rsidP="00145149">
            <w:pPr>
              <w:rPr>
                <w:rFonts w:cstheme="minorHAnsi"/>
              </w:rPr>
            </w:pPr>
          </w:p>
          <w:p w14:paraId="2AE9B125"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2AE9B126" w14:textId="77777777" w:rsidR="00145149" w:rsidRPr="00A831B4" w:rsidRDefault="00145149" w:rsidP="00145149">
            <w:pPr>
              <w:rPr>
                <w:rFonts w:cstheme="minorHAnsi"/>
                <w:b/>
                <w:bCs/>
                <w:sz w:val="20"/>
                <w:szCs w:val="20"/>
              </w:rPr>
            </w:pPr>
          </w:p>
          <w:p w14:paraId="2AE9B127"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AE9B128"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AE9B129"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AE9B12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AE9B12B"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AE9B12C"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2AE9B12D"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AE9B131"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AE9B13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AE9B133" w14:textId="77777777" w:rsidR="000574AB" w:rsidRPr="00A25024" w:rsidRDefault="000574AB" w:rsidP="008A403A">
      <w:pPr>
        <w:spacing w:after="0" w:line="240" w:lineRule="auto"/>
        <w:rPr>
          <w:rFonts w:cstheme="minorHAnsi"/>
          <w:noProof/>
        </w:rPr>
      </w:pPr>
    </w:p>
    <w:p w14:paraId="2AE9B13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2AE9B138" w14:textId="77777777" w:rsidTr="0014773C">
        <w:trPr>
          <w:jc w:val="center"/>
        </w:trPr>
        <w:tc>
          <w:tcPr>
            <w:tcW w:w="5208" w:type="dxa"/>
            <w:shd w:val="clear" w:color="auto" w:fill="D9D9D9" w:themeFill="background1" w:themeFillShade="D9"/>
          </w:tcPr>
          <w:p w14:paraId="2AE9B13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AE9B136"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AE9B13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AE9B13B" w14:textId="77777777" w:rsidTr="0014773C">
        <w:trPr>
          <w:jc w:val="center"/>
        </w:trPr>
        <w:tc>
          <w:tcPr>
            <w:tcW w:w="5208" w:type="dxa"/>
          </w:tcPr>
          <w:p w14:paraId="2AE9B139" w14:textId="77777777" w:rsidR="00A01494" w:rsidRPr="00436D87" w:rsidRDefault="00E85A92"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abstracted from paper record</w:t>
            </w:r>
          </w:p>
        </w:tc>
        <w:tc>
          <w:tcPr>
            <w:tcW w:w="4847" w:type="dxa"/>
          </w:tcPr>
          <w:p w14:paraId="2AE9B13A" w14:textId="77777777" w:rsidR="00A01494" w:rsidRPr="00436D87" w:rsidRDefault="00E85A92"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abstracted from paper record</w:t>
            </w:r>
          </w:p>
        </w:tc>
      </w:tr>
      <w:tr w:rsidR="00A01494" w:rsidRPr="00A01494" w14:paraId="2AE9B13E" w14:textId="77777777" w:rsidTr="0014773C">
        <w:trPr>
          <w:jc w:val="center"/>
        </w:trPr>
        <w:tc>
          <w:tcPr>
            <w:tcW w:w="5208" w:type="dxa"/>
          </w:tcPr>
          <w:p w14:paraId="2AE9B13C" w14:textId="78E49F7D" w:rsidR="00A01494" w:rsidRPr="00436D87" w:rsidRDefault="00E85A92" w:rsidP="00DB3627">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4E7E10" w:rsidRPr="00436D87">
                  <w:rPr>
                    <w:rFonts w:ascii="MS Gothic" w:eastAsia="MS Gothic" w:hAnsi="MS Gothic" w:cstheme="minorHAnsi" w:hint="eastAsia"/>
                    <w:bCs/>
                  </w:rPr>
                  <w:t>☒</w:t>
                </w:r>
              </w:sdtContent>
            </w:sdt>
            <w:r w:rsidR="00B82A57" w:rsidRPr="00436D87">
              <w:rPr>
                <w:rFonts w:cstheme="minorHAnsi"/>
                <w:bCs/>
              </w:rPr>
              <w:t xml:space="preserve"> </w:t>
            </w:r>
            <w:r w:rsidR="00A01494" w:rsidRPr="00436D87">
              <w:rPr>
                <w:rFonts w:eastAsia="MS Gothic" w:cstheme="minorHAnsi"/>
                <w:bCs/>
              </w:rPr>
              <w:t xml:space="preserve">administrative </w:t>
            </w:r>
            <w:r w:rsidR="00A01494" w:rsidRPr="00436D87">
              <w:rPr>
                <w:rFonts w:cstheme="minorHAnsi"/>
                <w:bCs/>
              </w:rPr>
              <w:t>claims</w:t>
            </w:r>
          </w:p>
        </w:tc>
        <w:tc>
          <w:tcPr>
            <w:tcW w:w="4847" w:type="dxa"/>
          </w:tcPr>
          <w:p w14:paraId="2AE9B13D" w14:textId="4023BA23" w:rsidR="00A01494" w:rsidRPr="00436D87" w:rsidRDefault="00E85A92" w:rsidP="00DB3627">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4E7E10" w:rsidRPr="00436D87">
                  <w:rPr>
                    <w:rFonts w:ascii="MS Gothic" w:eastAsia="MS Gothic" w:hAnsi="MS Gothic" w:cstheme="minorHAnsi" w:hint="eastAsia"/>
                    <w:bCs/>
                  </w:rPr>
                  <w:t>☒</w:t>
                </w:r>
              </w:sdtContent>
            </w:sdt>
            <w:r w:rsidR="00B82A57" w:rsidRPr="00436D87">
              <w:rPr>
                <w:rFonts w:cstheme="minorHAnsi"/>
                <w:bCs/>
              </w:rPr>
              <w:t xml:space="preserve"> </w:t>
            </w:r>
            <w:r w:rsidR="00A01494" w:rsidRPr="00436D87">
              <w:rPr>
                <w:rFonts w:eastAsia="MS Gothic" w:cstheme="minorHAnsi"/>
                <w:bCs/>
              </w:rPr>
              <w:t xml:space="preserve">administrative </w:t>
            </w:r>
            <w:r w:rsidR="00A01494" w:rsidRPr="00436D87">
              <w:rPr>
                <w:rFonts w:cstheme="minorHAnsi"/>
                <w:bCs/>
              </w:rPr>
              <w:t>claims</w:t>
            </w:r>
          </w:p>
        </w:tc>
      </w:tr>
      <w:tr w:rsidR="00A01494" w:rsidRPr="00A01494" w14:paraId="2AE9B141" w14:textId="77777777" w:rsidTr="0014773C">
        <w:trPr>
          <w:jc w:val="center"/>
        </w:trPr>
        <w:tc>
          <w:tcPr>
            <w:tcW w:w="5208" w:type="dxa"/>
          </w:tcPr>
          <w:p w14:paraId="2AE9B13F" w14:textId="77777777" w:rsidR="00A01494" w:rsidRPr="00436D87" w:rsidRDefault="00E85A92" w:rsidP="00DB3627">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eastAsia="MS Gothic" w:cstheme="minorHAnsi"/>
                <w:bCs/>
              </w:rPr>
              <w:t>clinical database/registry</w:t>
            </w:r>
          </w:p>
        </w:tc>
        <w:tc>
          <w:tcPr>
            <w:tcW w:w="4847" w:type="dxa"/>
          </w:tcPr>
          <w:p w14:paraId="2AE9B140" w14:textId="77777777" w:rsidR="00A01494" w:rsidRPr="00436D87" w:rsidRDefault="00E85A92" w:rsidP="00DB3627">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6574D2" w:rsidRPr="00436D87">
              <w:rPr>
                <w:rFonts w:cstheme="minorHAnsi"/>
                <w:bCs/>
              </w:rPr>
              <w:t xml:space="preserve"> </w:t>
            </w:r>
            <w:r w:rsidR="00A01494" w:rsidRPr="00436D87">
              <w:rPr>
                <w:rFonts w:eastAsia="MS Gothic" w:cstheme="minorHAnsi"/>
                <w:bCs/>
              </w:rPr>
              <w:t>clinical database/registry</w:t>
            </w:r>
          </w:p>
        </w:tc>
      </w:tr>
      <w:tr w:rsidR="00A01494" w:rsidRPr="00A01494" w14:paraId="2AE9B144" w14:textId="77777777" w:rsidTr="0014773C">
        <w:trPr>
          <w:jc w:val="center"/>
        </w:trPr>
        <w:tc>
          <w:tcPr>
            <w:tcW w:w="5208" w:type="dxa"/>
          </w:tcPr>
          <w:p w14:paraId="2AE9B142" w14:textId="77777777" w:rsidR="00A01494" w:rsidRPr="00436D87" w:rsidRDefault="00E85A92"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abstracted from electronic health record</w:t>
            </w:r>
          </w:p>
        </w:tc>
        <w:tc>
          <w:tcPr>
            <w:tcW w:w="4847" w:type="dxa"/>
          </w:tcPr>
          <w:p w14:paraId="2AE9B143" w14:textId="77777777" w:rsidR="00A01494" w:rsidRPr="00436D87" w:rsidRDefault="00E85A92"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abstracted from electronic health record</w:t>
            </w:r>
          </w:p>
        </w:tc>
      </w:tr>
      <w:tr w:rsidR="00A01494" w:rsidRPr="00A01494" w14:paraId="2AE9B147" w14:textId="77777777" w:rsidTr="0014773C">
        <w:trPr>
          <w:jc w:val="center"/>
        </w:trPr>
        <w:tc>
          <w:tcPr>
            <w:tcW w:w="5208" w:type="dxa"/>
          </w:tcPr>
          <w:p w14:paraId="2AE9B145" w14:textId="77777777" w:rsidR="00A01494" w:rsidRPr="00436D87" w:rsidRDefault="00E85A92"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 xml:space="preserve">eMeasure </w:t>
            </w:r>
            <w:r w:rsidR="004756E1" w:rsidRPr="00436D87">
              <w:rPr>
                <w:rFonts w:cstheme="minorHAnsi"/>
                <w:bCs/>
              </w:rPr>
              <w:t xml:space="preserve">(HQMF) </w:t>
            </w:r>
            <w:r w:rsidR="00A01494" w:rsidRPr="00436D87">
              <w:rPr>
                <w:rFonts w:cstheme="minorHAnsi"/>
                <w:bCs/>
              </w:rPr>
              <w:t xml:space="preserve">implemented in </w:t>
            </w:r>
            <w:r w:rsidR="00B82A57" w:rsidRPr="00436D87">
              <w:rPr>
                <w:rFonts w:cstheme="minorHAnsi"/>
                <w:bCs/>
              </w:rPr>
              <w:t>EHRs</w:t>
            </w:r>
          </w:p>
        </w:tc>
        <w:tc>
          <w:tcPr>
            <w:tcW w:w="4847" w:type="dxa"/>
          </w:tcPr>
          <w:p w14:paraId="2AE9B146" w14:textId="77777777" w:rsidR="00A01494" w:rsidRPr="00436D87" w:rsidRDefault="00E85A92"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 xml:space="preserve">eMeasure </w:t>
            </w:r>
            <w:r w:rsidR="004756E1" w:rsidRPr="00436D87">
              <w:rPr>
                <w:rFonts w:cstheme="minorHAnsi"/>
                <w:bCs/>
              </w:rPr>
              <w:t xml:space="preserve">(HQMF) </w:t>
            </w:r>
            <w:r w:rsidR="00A01494" w:rsidRPr="00436D87">
              <w:rPr>
                <w:rFonts w:cstheme="minorHAnsi"/>
                <w:bCs/>
              </w:rPr>
              <w:t>impleme</w:t>
            </w:r>
            <w:r w:rsidR="00B82A57" w:rsidRPr="00436D87">
              <w:rPr>
                <w:rFonts w:cstheme="minorHAnsi"/>
                <w:bCs/>
              </w:rPr>
              <w:t>nted in EHRs</w:t>
            </w:r>
          </w:p>
        </w:tc>
      </w:tr>
      <w:tr w:rsidR="00A01494" w:rsidRPr="00A01494" w14:paraId="2AE9B14A" w14:textId="77777777" w:rsidTr="0014773C">
        <w:trPr>
          <w:jc w:val="center"/>
        </w:trPr>
        <w:tc>
          <w:tcPr>
            <w:tcW w:w="5208" w:type="dxa"/>
          </w:tcPr>
          <w:p w14:paraId="2AE9B148" w14:textId="77777777" w:rsidR="00A01494" w:rsidRPr="00436D87" w:rsidRDefault="00E85A92" w:rsidP="00DB3627">
            <w:pPr>
              <w:autoSpaceDE w:val="0"/>
              <w:autoSpaceDN w:val="0"/>
              <w:adjustRightInd w:val="0"/>
              <w:rPr>
                <w:rFonts w:cstheme="minorHAnsi"/>
                <w:bCs/>
              </w:rPr>
            </w:pPr>
            <w:sdt>
              <w:sdtPr>
                <w:rPr>
                  <w:rFonts w:cstheme="minorHAnsi"/>
                  <w:bCs/>
                </w:rPr>
                <w:id w:val="1316375390"/>
                <w14:checkbox>
                  <w14:checked w14:val="0"/>
                  <w14:checkedState w14:val="2612" w14:font="MS Gothic"/>
                  <w14:uncheckedState w14:val="2610" w14:font="MS Gothic"/>
                </w14:checkbox>
              </w:sdtPr>
              <w:sdtEndPr/>
              <w:sdtContent>
                <w:r w:rsidR="006574D2" w:rsidRPr="00436D87">
                  <w:rPr>
                    <w:rFonts w:ascii="MS Gothic" w:eastAsia="MS Gothic" w:cstheme="minorHAnsi" w:hint="eastAsia"/>
                    <w:bCs/>
                  </w:rPr>
                  <w:t>☐</w:t>
                </w:r>
              </w:sdtContent>
            </w:sdt>
            <w:r w:rsidR="00B82A57" w:rsidRPr="00436D87">
              <w:rPr>
                <w:rFonts w:cstheme="minorHAnsi"/>
                <w:bCs/>
              </w:rPr>
              <w:t xml:space="preserve"> </w:t>
            </w:r>
            <w:r w:rsidR="00A01494" w:rsidRPr="00436D87">
              <w:rPr>
                <w:rFonts w:cstheme="minorHAnsi"/>
                <w:bCs/>
              </w:rPr>
              <w:t xml:space="preserve">other:  </w:t>
            </w:r>
            <w:sdt>
              <w:sdtPr>
                <w:rPr>
                  <w:rStyle w:val="Style1"/>
                  <w:color w:val="auto"/>
                </w:rPr>
                <w:id w:val="1834251992"/>
                <w:showingPlcHdr/>
                <w:text/>
              </w:sdtPr>
              <w:sdtEndPr>
                <w:rPr>
                  <w:rStyle w:val="DefaultParagraphFont"/>
                  <w:rFonts w:cstheme="minorHAnsi"/>
                  <w:bCs/>
                </w:rPr>
              </w:sdtEndPr>
              <w:sdtContent>
                <w:r w:rsidR="00A01494" w:rsidRPr="00436D87">
                  <w:rPr>
                    <w:rStyle w:val="PlaceholderText"/>
                    <w:color w:val="auto"/>
                  </w:rPr>
                  <w:t>Click here to describe</w:t>
                </w:r>
              </w:sdtContent>
            </w:sdt>
          </w:p>
        </w:tc>
        <w:tc>
          <w:tcPr>
            <w:tcW w:w="4847" w:type="dxa"/>
          </w:tcPr>
          <w:p w14:paraId="2AE9B149" w14:textId="33301A51" w:rsidR="00A01494" w:rsidRPr="00436D87" w:rsidRDefault="00E85A92" w:rsidP="00DB3627">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773896" w:rsidRPr="00436D87">
                  <w:rPr>
                    <w:rFonts w:ascii="MS Gothic" w:eastAsia="MS Gothic" w:hAnsi="MS Gothic" w:cstheme="minorHAnsi" w:hint="eastAsia"/>
                    <w:bCs/>
                  </w:rPr>
                  <w:t>☒</w:t>
                </w:r>
              </w:sdtContent>
            </w:sdt>
            <w:r w:rsidR="00B82A57" w:rsidRPr="00436D87">
              <w:rPr>
                <w:rFonts w:cstheme="minorHAnsi"/>
                <w:bCs/>
              </w:rPr>
              <w:t xml:space="preserve"> </w:t>
            </w:r>
            <w:r w:rsidR="00A01494" w:rsidRPr="00436D87">
              <w:rPr>
                <w:rFonts w:cstheme="minorHAnsi"/>
                <w:bCs/>
              </w:rPr>
              <w:t xml:space="preserve">other:  </w:t>
            </w:r>
            <w:sdt>
              <w:sdtPr>
                <w:rPr>
                  <w:rFonts w:cstheme="minorHAnsi"/>
                  <w:bCs/>
                </w:rPr>
                <w:id w:val="1976178076"/>
                <w:text/>
              </w:sdtPr>
              <w:sdtEndPr/>
              <w:sdtContent>
                <w:r w:rsidR="00773896" w:rsidRPr="00436D87">
                  <w:rPr>
                    <w:rFonts w:cstheme="minorHAnsi"/>
                    <w:bCs/>
                  </w:rPr>
                  <w:t>Census Data/American Community Survey</w:t>
                </w:r>
              </w:sdtContent>
            </w:sdt>
          </w:p>
        </w:tc>
      </w:tr>
    </w:tbl>
    <w:p w14:paraId="2AE9B14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AE9B14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9052441" w14:textId="77777777" w:rsidR="00773896" w:rsidRPr="00E42F69" w:rsidRDefault="00773896" w:rsidP="00773896">
      <w:pPr>
        <w:autoSpaceDE w:val="0"/>
        <w:autoSpaceDN w:val="0"/>
        <w:adjustRightInd w:val="0"/>
        <w:spacing w:after="0" w:line="240" w:lineRule="auto"/>
        <w:rPr>
          <w:rFonts w:cstheme="minorHAnsi"/>
          <w:bCs/>
        </w:rPr>
      </w:pPr>
    </w:p>
    <w:p w14:paraId="454C8F0E" w14:textId="77777777" w:rsidR="00773896" w:rsidRPr="00E42F69"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E42F69">
        <w:t>The datasets used for testing included Medicare Part</w:t>
      </w:r>
      <w:r>
        <w:t xml:space="preserve"> </w:t>
      </w:r>
      <w:r w:rsidRPr="00E42F69">
        <w:t xml:space="preserve">A </w:t>
      </w:r>
      <w:r>
        <w:t>inpatient claims and</w:t>
      </w:r>
      <w:r w:rsidRPr="00E42F69">
        <w:t xml:space="preserve"> the Medicare Enrollment Database (EDB). </w:t>
      </w:r>
      <w:r>
        <w:t>C</w:t>
      </w:r>
      <w:r w:rsidRPr="008D2BD7">
        <w:t>ensus</w:t>
      </w:r>
      <w:r>
        <w:t xml:space="preserve"> as well as claims </w:t>
      </w:r>
      <w:r w:rsidRPr="008D2BD7">
        <w:t xml:space="preserve">data were used to assess </w:t>
      </w:r>
      <w:r>
        <w:t>socioeconomic</w:t>
      </w:r>
      <w:r w:rsidRPr="008D2BD7">
        <w:t xml:space="preserve"> factors</w:t>
      </w:r>
      <w:r>
        <w:t xml:space="preserve"> and race (dual-eligible and African American race variables were obtained through enrollment data; Agency for Healthcare Research and Quality (AHRQ) socioeconomic status (SES) index score obtained through census data)</w:t>
      </w:r>
      <w:r w:rsidRPr="008D2BD7">
        <w:t xml:space="preserve">. </w:t>
      </w:r>
      <w:r w:rsidRPr="00E42F69">
        <w:t>The dataset used varies by testing type; see Section 1.7 for details.</w:t>
      </w:r>
    </w:p>
    <w:p w14:paraId="2AE9B14D" w14:textId="626237A8" w:rsidR="009E1846" w:rsidRDefault="009E1846" w:rsidP="00DB3627">
      <w:pPr>
        <w:autoSpaceDE w:val="0"/>
        <w:autoSpaceDN w:val="0"/>
        <w:adjustRightInd w:val="0"/>
        <w:spacing w:after="0" w:line="240" w:lineRule="auto"/>
        <w:rPr>
          <w:rFonts w:cstheme="minorHAnsi"/>
          <w:b/>
        </w:rPr>
      </w:pPr>
    </w:p>
    <w:p w14:paraId="2AE9B14E"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0A5E1F9B" w14:textId="57C49CA1" w:rsidR="00773896" w:rsidRPr="00E42F69" w:rsidRDefault="00773896" w:rsidP="00773896">
      <w:pPr>
        <w:autoSpaceDE w:val="0"/>
        <w:autoSpaceDN w:val="0"/>
        <w:adjustRightInd w:val="0"/>
        <w:spacing w:after="0" w:line="240" w:lineRule="auto"/>
        <w:rPr>
          <w:rFonts w:cstheme="minorHAnsi"/>
          <w:bCs/>
        </w:rPr>
      </w:pPr>
    </w:p>
    <w:p w14:paraId="57EF35BA" w14:textId="77777777" w:rsidR="00773896" w:rsidRPr="00E42F69"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E42F69">
        <w:t>The dates used vary by testing type; see Section 1.7 for details.</w:t>
      </w:r>
    </w:p>
    <w:p w14:paraId="0260841B" w14:textId="77777777" w:rsidR="00773896" w:rsidRDefault="00773896" w:rsidP="00DB3627">
      <w:pPr>
        <w:autoSpaceDE w:val="0"/>
        <w:autoSpaceDN w:val="0"/>
        <w:adjustRightInd w:val="0"/>
        <w:spacing w:after="0" w:line="240" w:lineRule="auto"/>
        <w:rPr>
          <w:rFonts w:cstheme="minorHAnsi"/>
          <w:b/>
          <w:bCs/>
        </w:rPr>
      </w:pPr>
    </w:p>
    <w:p w14:paraId="2AE9B150" w14:textId="593932D9"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2AE9B154" w14:textId="77777777" w:rsidTr="000414E8">
        <w:trPr>
          <w:jc w:val="center"/>
        </w:trPr>
        <w:tc>
          <w:tcPr>
            <w:tcW w:w="5027" w:type="dxa"/>
            <w:shd w:val="clear" w:color="auto" w:fill="D9D9D9" w:themeFill="background1" w:themeFillShade="D9"/>
          </w:tcPr>
          <w:p w14:paraId="2AE9B15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AE9B15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2AE9B15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AE9B157" w14:textId="77777777" w:rsidTr="000414E8">
        <w:trPr>
          <w:jc w:val="center"/>
        </w:trPr>
        <w:tc>
          <w:tcPr>
            <w:tcW w:w="5027" w:type="dxa"/>
          </w:tcPr>
          <w:p w14:paraId="2AE9B155" w14:textId="77777777" w:rsidR="000414E8" w:rsidRPr="002A6580" w:rsidRDefault="00E85A92"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0414E8" w:rsidRPr="002A6580">
              <w:rPr>
                <w:rFonts w:cstheme="minorHAnsi"/>
                <w:bCs/>
              </w:rPr>
              <w:t xml:space="preserve"> individual clinician</w:t>
            </w:r>
          </w:p>
        </w:tc>
        <w:tc>
          <w:tcPr>
            <w:tcW w:w="5028" w:type="dxa"/>
          </w:tcPr>
          <w:p w14:paraId="2AE9B156" w14:textId="77777777" w:rsidR="000414E8" w:rsidRPr="002A6580" w:rsidRDefault="00E85A92"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0414E8" w:rsidRPr="002A6580">
              <w:rPr>
                <w:rFonts w:cstheme="minorHAnsi"/>
                <w:bCs/>
              </w:rPr>
              <w:t xml:space="preserve"> individual clinician</w:t>
            </w:r>
          </w:p>
        </w:tc>
      </w:tr>
      <w:tr w:rsidR="000414E8" w:rsidRPr="00A01494" w14:paraId="2AE9B15A" w14:textId="77777777" w:rsidTr="000414E8">
        <w:trPr>
          <w:jc w:val="center"/>
        </w:trPr>
        <w:tc>
          <w:tcPr>
            <w:tcW w:w="5027" w:type="dxa"/>
          </w:tcPr>
          <w:p w14:paraId="2AE9B158" w14:textId="77777777" w:rsidR="000414E8" w:rsidRPr="002A6580" w:rsidRDefault="00E85A92"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0414E8" w:rsidRPr="002A6580">
              <w:rPr>
                <w:rFonts w:cstheme="minorHAnsi"/>
                <w:bCs/>
              </w:rPr>
              <w:t xml:space="preserve"> </w:t>
            </w:r>
            <w:r w:rsidR="000414E8" w:rsidRPr="002A6580">
              <w:rPr>
                <w:rFonts w:eastAsia="MS Gothic" w:cstheme="minorHAnsi"/>
                <w:bCs/>
              </w:rPr>
              <w:t>group/practice</w:t>
            </w:r>
          </w:p>
        </w:tc>
        <w:tc>
          <w:tcPr>
            <w:tcW w:w="5028" w:type="dxa"/>
          </w:tcPr>
          <w:p w14:paraId="2AE9B159" w14:textId="77777777" w:rsidR="000414E8" w:rsidRPr="002A6580" w:rsidRDefault="00E85A92"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0414E8" w:rsidRPr="002A6580">
              <w:rPr>
                <w:rFonts w:cstheme="minorHAnsi"/>
                <w:bCs/>
              </w:rPr>
              <w:t xml:space="preserve"> </w:t>
            </w:r>
            <w:r w:rsidR="000414E8" w:rsidRPr="002A6580">
              <w:rPr>
                <w:rFonts w:eastAsia="MS Gothic" w:cstheme="minorHAnsi"/>
                <w:bCs/>
              </w:rPr>
              <w:t>group/practice</w:t>
            </w:r>
          </w:p>
        </w:tc>
      </w:tr>
      <w:tr w:rsidR="000414E8" w:rsidRPr="00A01494" w14:paraId="2AE9B15D" w14:textId="77777777" w:rsidTr="000414E8">
        <w:trPr>
          <w:jc w:val="center"/>
        </w:trPr>
        <w:tc>
          <w:tcPr>
            <w:tcW w:w="5027" w:type="dxa"/>
          </w:tcPr>
          <w:p w14:paraId="2AE9B15B" w14:textId="41DC1DC8" w:rsidR="000414E8" w:rsidRPr="002A6580" w:rsidRDefault="00E85A92" w:rsidP="00D61410">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773896" w:rsidRPr="002A6580">
                  <w:rPr>
                    <w:rFonts w:ascii="MS Gothic" w:eastAsia="MS Gothic" w:hAnsi="MS Gothic" w:cstheme="minorHAnsi" w:hint="eastAsia"/>
                    <w:bCs/>
                  </w:rPr>
                  <w:t>☒</w:t>
                </w:r>
              </w:sdtContent>
            </w:sdt>
            <w:r w:rsidR="000414E8" w:rsidRPr="002A6580">
              <w:rPr>
                <w:rFonts w:cstheme="minorHAnsi"/>
                <w:bCs/>
              </w:rPr>
              <w:t xml:space="preserve"> </w:t>
            </w:r>
            <w:r w:rsidR="000414E8" w:rsidRPr="002A6580">
              <w:rPr>
                <w:rFonts w:eastAsia="MS Gothic" w:cstheme="minorHAnsi"/>
                <w:bCs/>
              </w:rPr>
              <w:t>hospital/facility/agency</w:t>
            </w:r>
          </w:p>
        </w:tc>
        <w:tc>
          <w:tcPr>
            <w:tcW w:w="5028" w:type="dxa"/>
          </w:tcPr>
          <w:p w14:paraId="2AE9B15C" w14:textId="39C757BC" w:rsidR="000414E8" w:rsidRPr="002A6580" w:rsidRDefault="00E85A92" w:rsidP="00D61410">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773896" w:rsidRPr="002A6580">
                  <w:rPr>
                    <w:rFonts w:ascii="MS Gothic" w:eastAsia="MS Gothic" w:hAnsi="MS Gothic" w:cstheme="minorHAnsi" w:hint="eastAsia"/>
                    <w:bCs/>
                  </w:rPr>
                  <w:t>☒</w:t>
                </w:r>
              </w:sdtContent>
            </w:sdt>
            <w:r w:rsidR="000414E8" w:rsidRPr="002A6580">
              <w:rPr>
                <w:rFonts w:cstheme="minorHAnsi"/>
                <w:bCs/>
              </w:rPr>
              <w:t xml:space="preserve"> </w:t>
            </w:r>
            <w:r w:rsidR="000414E8" w:rsidRPr="002A6580">
              <w:rPr>
                <w:rFonts w:eastAsia="MS Gothic" w:cstheme="minorHAnsi"/>
                <w:bCs/>
              </w:rPr>
              <w:t>hospital/facility/agency</w:t>
            </w:r>
          </w:p>
        </w:tc>
      </w:tr>
      <w:tr w:rsidR="000414E8" w:rsidRPr="00A01494" w14:paraId="2AE9B160" w14:textId="77777777" w:rsidTr="000414E8">
        <w:trPr>
          <w:jc w:val="center"/>
        </w:trPr>
        <w:tc>
          <w:tcPr>
            <w:tcW w:w="5027" w:type="dxa"/>
          </w:tcPr>
          <w:p w14:paraId="2AE9B15E" w14:textId="77777777" w:rsidR="000414E8" w:rsidRPr="002A6580" w:rsidRDefault="00E85A92"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6574D2" w:rsidRPr="002A6580">
              <w:rPr>
                <w:rFonts w:cstheme="minorHAnsi"/>
                <w:bCs/>
              </w:rPr>
              <w:t xml:space="preserve"> </w:t>
            </w:r>
            <w:r w:rsidR="000414E8" w:rsidRPr="002A6580">
              <w:rPr>
                <w:rFonts w:cstheme="minorHAnsi"/>
                <w:bCs/>
              </w:rPr>
              <w:t>health plan</w:t>
            </w:r>
          </w:p>
        </w:tc>
        <w:tc>
          <w:tcPr>
            <w:tcW w:w="5028" w:type="dxa"/>
          </w:tcPr>
          <w:p w14:paraId="2AE9B15F" w14:textId="77777777" w:rsidR="000414E8" w:rsidRPr="002A6580" w:rsidRDefault="00E85A92"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0414E8" w:rsidRPr="002A6580">
              <w:rPr>
                <w:rFonts w:cstheme="minorHAnsi"/>
                <w:bCs/>
              </w:rPr>
              <w:t xml:space="preserve"> health plan</w:t>
            </w:r>
          </w:p>
        </w:tc>
      </w:tr>
      <w:tr w:rsidR="000414E8" w:rsidRPr="00A01494" w14:paraId="2AE9B163" w14:textId="77777777" w:rsidTr="000414E8">
        <w:trPr>
          <w:jc w:val="center"/>
        </w:trPr>
        <w:tc>
          <w:tcPr>
            <w:tcW w:w="5027" w:type="dxa"/>
          </w:tcPr>
          <w:p w14:paraId="2AE9B161" w14:textId="6CE1DEFD" w:rsidR="000414E8" w:rsidRPr="002A6580" w:rsidRDefault="00E85A92" w:rsidP="00D61410">
            <w:pPr>
              <w:autoSpaceDE w:val="0"/>
              <w:autoSpaceDN w:val="0"/>
              <w:adjustRightInd w:val="0"/>
              <w:rPr>
                <w:rFonts w:cstheme="minorHAnsi"/>
                <w:bCs/>
              </w:rPr>
            </w:pPr>
            <w:sdt>
              <w:sdtPr>
                <w:rPr>
                  <w:rFonts w:cstheme="minorHAnsi"/>
                  <w:bCs/>
                </w:rPr>
                <w:id w:val="-1138024150"/>
                <w14:checkbox>
                  <w14:checked w14:val="1"/>
                  <w14:checkedState w14:val="2612" w14:font="MS Gothic"/>
                  <w14:uncheckedState w14:val="2610" w14:font="MS Gothic"/>
                </w14:checkbox>
              </w:sdtPr>
              <w:sdtEndPr/>
              <w:sdtContent>
                <w:r w:rsidR="004E7E10" w:rsidRPr="002A6580">
                  <w:rPr>
                    <w:rFonts w:ascii="MS Gothic" w:eastAsia="MS Gothic" w:hAnsi="MS Gothic" w:cstheme="minorHAnsi" w:hint="eastAsia"/>
                    <w:bCs/>
                  </w:rPr>
                  <w:t>☒</w:t>
                </w:r>
              </w:sdtContent>
            </w:sdt>
            <w:r w:rsidR="000414E8" w:rsidRPr="002A6580">
              <w:rPr>
                <w:rFonts w:cstheme="minorHAnsi"/>
                <w:bCs/>
              </w:rPr>
              <w:t xml:space="preserve"> other:  </w:t>
            </w:r>
            <w:sdt>
              <w:sdtPr>
                <w:rPr>
                  <w:rStyle w:val="Style1"/>
                  <w:color w:val="FF0000"/>
                </w:rPr>
                <w:id w:val="1923679898"/>
                <w:text/>
              </w:sdtPr>
              <w:sdtEndPr>
                <w:rPr>
                  <w:rStyle w:val="DefaultParagraphFont"/>
                  <w:rFonts w:cstheme="minorHAnsi"/>
                  <w:bCs/>
                </w:rPr>
              </w:sdtEndPr>
              <w:sdtContent>
                <w:r w:rsidR="00B62549" w:rsidRPr="00F66F9C">
                  <w:rPr>
                    <w:rStyle w:val="Style1"/>
                    <w:color w:val="FF0000"/>
                  </w:rPr>
                  <w:t>Accountable Care Organization</w:t>
                </w:r>
              </w:sdtContent>
            </w:sdt>
          </w:p>
        </w:tc>
        <w:tc>
          <w:tcPr>
            <w:tcW w:w="5028" w:type="dxa"/>
          </w:tcPr>
          <w:p w14:paraId="2AE9B162" w14:textId="681F7DD4" w:rsidR="000414E8" w:rsidRPr="002A6580" w:rsidRDefault="00E85A92" w:rsidP="00D61410">
            <w:pPr>
              <w:autoSpaceDE w:val="0"/>
              <w:autoSpaceDN w:val="0"/>
              <w:adjustRightInd w:val="0"/>
              <w:rPr>
                <w:rFonts w:cstheme="minorHAnsi"/>
                <w:bCs/>
              </w:rPr>
            </w:pPr>
            <w:sdt>
              <w:sdtPr>
                <w:rPr>
                  <w:rFonts w:cstheme="minorHAnsi"/>
                  <w:bCs/>
                </w:rPr>
                <w:id w:val="-417333514"/>
                <w14:checkbox>
                  <w14:checked w14:val="1"/>
                  <w14:checkedState w14:val="2612" w14:font="MS Gothic"/>
                  <w14:uncheckedState w14:val="2610" w14:font="MS Gothic"/>
                </w14:checkbox>
              </w:sdtPr>
              <w:sdtEndPr/>
              <w:sdtContent>
                <w:r w:rsidR="004E7E10" w:rsidRPr="002A6580">
                  <w:rPr>
                    <w:rFonts w:ascii="MS Gothic" w:eastAsia="MS Gothic" w:hAnsi="MS Gothic" w:cstheme="minorHAnsi" w:hint="eastAsia"/>
                    <w:bCs/>
                  </w:rPr>
                  <w:t>☒</w:t>
                </w:r>
              </w:sdtContent>
            </w:sdt>
            <w:r w:rsidR="000414E8" w:rsidRPr="002A6580">
              <w:rPr>
                <w:rFonts w:cstheme="minorHAnsi"/>
                <w:bCs/>
              </w:rPr>
              <w:t xml:space="preserve"> other:  </w:t>
            </w:r>
            <w:sdt>
              <w:sdtPr>
                <w:rPr>
                  <w:rStyle w:val="Style1"/>
                  <w:color w:val="FF0000"/>
                </w:rPr>
                <w:id w:val="2034217519"/>
                <w:text/>
              </w:sdtPr>
              <w:sdtEndPr>
                <w:rPr>
                  <w:rStyle w:val="DefaultParagraphFont"/>
                  <w:rFonts w:cstheme="minorHAnsi"/>
                  <w:bCs/>
                </w:rPr>
              </w:sdtEndPr>
              <w:sdtContent>
                <w:r w:rsidR="00B62549" w:rsidRPr="00F66F9C">
                  <w:rPr>
                    <w:rStyle w:val="Style1"/>
                    <w:color w:val="FF0000"/>
                  </w:rPr>
                  <w:t>Accountable Care Organization</w:t>
                </w:r>
              </w:sdtContent>
            </w:sdt>
          </w:p>
        </w:tc>
      </w:tr>
    </w:tbl>
    <w:p w14:paraId="2AE9B164" w14:textId="77777777" w:rsidR="000414E8" w:rsidRPr="00A25024" w:rsidRDefault="000414E8" w:rsidP="00DB3627">
      <w:pPr>
        <w:autoSpaceDE w:val="0"/>
        <w:autoSpaceDN w:val="0"/>
        <w:adjustRightInd w:val="0"/>
        <w:spacing w:after="0" w:line="240" w:lineRule="auto"/>
        <w:rPr>
          <w:rFonts w:cstheme="minorHAnsi"/>
          <w:bCs/>
        </w:rPr>
      </w:pPr>
    </w:p>
    <w:p w14:paraId="2AE9B165" w14:textId="7ADBF63B"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382320A" w14:textId="77777777" w:rsidR="00773896" w:rsidRDefault="00773896" w:rsidP="00DB3627">
      <w:pPr>
        <w:autoSpaceDE w:val="0"/>
        <w:autoSpaceDN w:val="0"/>
        <w:adjustRightInd w:val="0"/>
        <w:spacing w:after="0" w:line="240" w:lineRule="auto"/>
        <w:rPr>
          <w:rFonts w:cstheme="minorHAnsi"/>
          <w:bCs/>
        </w:rPr>
      </w:pPr>
    </w:p>
    <w:p w14:paraId="221B717F" w14:textId="01AFAAF6" w:rsidR="00773896" w:rsidRPr="000A0467"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000000" w:themeColor="text1"/>
        </w:rPr>
      </w:pPr>
      <w:r w:rsidRPr="000A0467">
        <w:rPr>
          <w:color w:val="000000" w:themeColor="text1"/>
        </w:rPr>
        <w:t>For th</w:t>
      </w:r>
      <w:r w:rsidR="002C3C0B" w:rsidRPr="000A0467">
        <w:rPr>
          <w:color w:val="000000" w:themeColor="text1"/>
        </w:rPr>
        <w:t>e HWR</w:t>
      </w:r>
      <w:r w:rsidRPr="000A0467">
        <w:rPr>
          <w:color w:val="000000" w:themeColor="text1"/>
        </w:rPr>
        <w:t xml:space="preserve"> measure, hospitals are the measured entities. All non-federal, acute care inpatient US hospitals (including territories) with Medicare fee-for-service (FFS) beneficiaries aged 65 years and older are included. </w:t>
      </w:r>
      <w:r w:rsidRPr="000A0467">
        <w:rPr>
          <w:rFonts w:cstheme="minorHAnsi"/>
          <w:bCs/>
          <w:color w:val="000000" w:themeColor="text1"/>
        </w:rPr>
        <w:t>The number of measured entities (hospitals) varies by testing type; see Section 1.7 for details.</w:t>
      </w:r>
    </w:p>
    <w:p w14:paraId="7C82201F" w14:textId="77777777" w:rsidR="002C3C0B" w:rsidRDefault="002C3C0B"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2717483D" w14:textId="78E77F83" w:rsidR="002C3C0B" w:rsidRPr="008E3DAC" w:rsidRDefault="002C3C0B"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E3DAC">
        <w:rPr>
          <w:rFonts w:cstheme="minorHAnsi"/>
          <w:bCs/>
          <w:color w:val="FF0000"/>
        </w:rPr>
        <w:t>For the ACR measure, ACO’s are the measured entities.</w:t>
      </w:r>
      <w:r w:rsidRPr="008E3DAC">
        <w:rPr>
          <w:color w:val="FF0000"/>
        </w:rPr>
        <w:t xml:space="preserve"> </w:t>
      </w:r>
      <w:r w:rsidRPr="008E3DAC">
        <w:rPr>
          <w:rFonts w:cstheme="minorHAnsi"/>
          <w:bCs/>
          <w:color w:val="FF0000"/>
        </w:rPr>
        <w:t>All non-federal, acute care inpatient US hospitals (including territories) with Medicare fee-for-service (FFS) assigned ACO beneficiaries aged 65 years and older are included. The number of measured entities (hospitals) varies by testing type; see Section 1.7 for details.</w:t>
      </w:r>
    </w:p>
    <w:p w14:paraId="2AE9B166" w14:textId="0CC517DD" w:rsidR="002B5016" w:rsidRDefault="002B5016" w:rsidP="00DB3627">
      <w:pPr>
        <w:autoSpaceDE w:val="0"/>
        <w:autoSpaceDN w:val="0"/>
        <w:adjustRightInd w:val="0"/>
        <w:spacing w:after="0" w:line="240" w:lineRule="auto"/>
        <w:rPr>
          <w:rFonts w:cstheme="minorHAnsi"/>
          <w:bCs/>
        </w:rPr>
      </w:pPr>
    </w:p>
    <w:p w14:paraId="2AE9B167" w14:textId="5E43E859"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CDA327E" w14:textId="77777777" w:rsidR="00773896" w:rsidRPr="008D2BD7"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iCs/>
        </w:rPr>
      </w:pPr>
      <w:r w:rsidRPr="008D2BD7">
        <w:rPr>
          <w:rFonts w:cstheme="minorHAnsi"/>
          <w:iCs/>
        </w:rPr>
        <w:t>The number of admissions/patients varies by testing type: see Section 1.7 for details</w:t>
      </w:r>
    </w:p>
    <w:p w14:paraId="088E1498" w14:textId="77777777" w:rsidR="004E7E10" w:rsidRDefault="004E7E10" w:rsidP="00DB3627">
      <w:pPr>
        <w:autoSpaceDE w:val="0"/>
        <w:autoSpaceDN w:val="0"/>
        <w:adjustRightInd w:val="0"/>
        <w:spacing w:after="0" w:line="240" w:lineRule="auto"/>
        <w:rPr>
          <w:rFonts w:cstheme="minorHAnsi"/>
          <w:bCs/>
        </w:rPr>
      </w:pPr>
    </w:p>
    <w:p w14:paraId="2AE9B16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AE9B169" w14:textId="686A0B2B" w:rsidR="00E37E1B" w:rsidRDefault="00E37E1B" w:rsidP="00E37E1B">
      <w:pPr>
        <w:autoSpaceDE w:val="0"/>
        <w:autoSpaceDN w:val="0"/>
        <w:adjustRightInd w:val="0"/>
        <w:spacing w:after="0" w:line="240" w:lineRule="auto"/>
        <w:rPr>
          <w:rFonts w:cstheme="minorHAnsi"/>
          <w:bCs/>
        </w:rPr>
      </w:pPr>
    </w:p>
    <w:p w14:paraId="6A60EF00" w14:textId="4AD8067C" w:rsidR="00076C82" w:rsidRPr="003D6ACD" w:rsidRDefault="004B4D89"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u w:val="single"/>
        </w:rPr>
      </w:pPr>
      <w:r>
        <w:rPr>
          <w:rFonts w:cstheme="minorHAnsi"/>
          <w:b/>
          <w:bCs/>
          <w:u w:val="single"/>
        </w:rPr>
        <w:t>D</w:t>
      </w:r>
      <w:r w:rsidR="00076C82" w:rsidRPr="003D6ACD">
        <w:rPr>
          <w:rFonts w:cstheme="minorHAnsi"/>
          <w:b/>
          <w:bCs/>
          <w:u w:val="single"/>
        </w:rPr>
        <w:t xml:space="preserve">ata for the </w:t>
      </w:r>
      <w:r w:rsidR="002C3C0B">
        <w:rPr>
          <w:rFonts w:cstheme="minorHAnsi"/>
          <w:b/>
          <w:bCs/>
          <w:u w:val="single"/>
        </w:rPr>
        <w:t>HWR</w:t>
      </w:r>
      <w:r w:rsidR="002C3C0B" w:rsidRPr="003D6ACD">
        <w:rPr>
          <w:rFonts w:cstheme="minorHAnsi"/>
          <w:b/>
          <w:bCs/>
          <w:u w:val="single"/>
        </w:rPr>
        <w:t xml:space="preserve"> </w:t>
      </w:r>
      <w:r w:rsidR="00076C82" w:rsidRPr="003D6ACD">
        <w:rPr>
          <w:rFonts w:cstheme="minorHAnsi"/>
          <w:b/>
          <w:bCs/>
          <w:u w:val="single"/>
        </w:rPr>
        <w:t>measure</w:t>
      </w:r>
    </w:p>
    <w:p w14:paraId="7C29A3AA" w14:textId="77777777" w:rsidR="00076C82" w:rsidRDefault="00076C82"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22443127" w14:textId="1E2E957D"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 xml:space="preserve">The datasets, dates, number of measured entities and number of admissions used in each type of testing are as follows: </w:t>
      </w:r>
    </w:p>
    <w:p w14:paraId="2D1E68E8"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02AB478E"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r w:rsidRPr="00773896">
        <w:rPr>
          <w:rFonts w:cstheme="minorHAnsi"/>
          <w:bCs/>
          <w:u w:val="single"/>
        </w:rPr>
        <w:t>For reliability testing (Section 2a2)</w:t>
      </w:r>
    </w:p>
    <w:p w14:paraId="7FE4B9B2" w14:textId="70FCB1B5"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 xml:space="preserve">The reliability of the model was tested by randomly selecting 50% of the Medicare patients aged 65 years </w:t>
      </w:r>
      <w:r w:rsidR="00F97482">
        <w:rPr>
          <w:rFonts w:cstheme="minorHAnsi"/>
          <w:bCs/>
          <w:iCs/>
        </w:rPr>
        <w:t>and</w:t>
      </w:r>
      <w:r w:rsidR="00F97482" w:rsidRPr="00773896">
        <w:rPr>
          <w:rFonts w:cstheme="minorHAnsi"/>
          <w:bCs/>
          <w:iCs/>
        </w:rPr>
        <w:t xml:space="preserve"> </w:t>
      </w:r>
      <w:r w:rsidRPr="00773896">
        <w:rPr>
          <w:rFonts w:cstheme="minorHAnsi"/>
          <w:bCs/>
          <w:iCs/>
        </w:rPr>
        <w:t>over within each hospital in the most recent 1-year measure cohort and calculating the measure results for each hospital. We then calculate</w:t>
      </w:r>
      <w:r w:rsidR="00F97482">
        <w:rPr>
          <w:rFonts w:cstheme="minorHAnsi"/>
          <w:bCs/>
          <w:iCs/>
        </w:rPr>
        <w:t>d</w:t>
      </w:r>
      <w:r w:rsidRPr="00773896">
        <w:rPr>
          <w:rFonts w:cstheme="minorHAnsi"/>
          <w:bCs/>
          <w:iCs/>
        </w:rPr>
        <w:t xml:space="preserve"> the measure results for the remaining 50% of patients within each hospital and compare the two. Thus, for reliability testing, we randomly split </w:t>
      </w:r>
      <w:r w:rsidRPr="00773896">
        <w:rPr>
          <w:rFonts w:cstheme="minorHAnsi"/>
          <w:b/>
          <w:bCs/>
          <w:iCs/>
        </w:rPr>
        <w:t>Dataset 1</w:t>
      </w:r>
      <w:r w:rsidRPr="00773896">
        <w:rPr>
          <w:rFonts w:cstheme="minorHAnsi"/>
          <w:bCs/>
          <w:iCs/>
        </w:rPr>
        <w:t xml:space="preserve"> into two samples. In each year of measure reevaluation, we re-fit the model and examine frequencies and model coefficients of risk variables (condition categories for patient comorbidities) and model fit in the new year of data (</w:t>
      </w:r>
      <w:r w:rsidRPr="00773896">
        <w:rPr>
          <w:rFonts w:cstheme="minorHAnsi"/>
          <w:b/>
          <w:bCs/>
          <w:iCs/>
        </w:rPr>
        <w:t xml:space="preserve">Dataset 1 </w:t>
      </w:r>
      <w:r w:rsidRPr="00773896">
        <w:rPr>
          <w:rFonts w:cstheme="minorHAnsi"/>
          <w:bCs/>
          <w:iCs/>
        </w:rPr>
        <w:t>below).</w:t>
      </w:r>
    </w:p>
    <w:p w14:paraId="04B4DAD4"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p>
    <w:p w14:paraId="293BB67B"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
          <w:bCs/>
        </w:rPr>
        <w:t>Dataset 1</w:t>
      </w:r>
      <w:r w:rsidRPr="00773896">
        <w:rPr>
          <w:rFonts w:cstheme="minorHAnsi"/>
          <w:bCs/>
        </w:rPr>
        <w:t xml:space="preserve"> (2015 public reporting cohort version 4.0</w:t>
      </w:r>
      <w:r w:rsidRPr="00773896">
        <w:rPr>
          <w:rFonts w:cstheme="minorHAnsi"/>
          <w:bCs/>
          <w:iCs/>
        </w:rPr>
        <w:t>): Medicare Part A Inpatient Claims and Medicare Enrollment Database</w:t>
      </w:r>
    </w:p>
    <w:p w14:paraId="72D460C0" w14:textId="79E5DCF3" w:rsidR="00773896" w:rsidRPr="00773896" w:rsidRDefault="00773896" w:rsidP="001C2366">
      <w:pPr>
        <w:pBdr>
          <w:top w:val="single" w:sz="4" w:space="1" w:color="auto"/>
          <w:left w:val="single" w:sz="4" w:space="1" w:color="auto"/>
          <w:bottom w:val="single" w:sz="4" w:space="1" w:color="auto"/>
          <w:right w:val="single" w:sz="4" w:space="1" w:color="auto"/>
        </w:pBdr>
        <w:tabs>
          <w:tab w:val="left" w:pos="5325"/>
        </w:tabs>
        <w:autoSpaceDE w:val="0"/>
        <w:autoSpaceDN w:val="0"/>
        <w:adjustRightInd w:val="0"/>
        <w:spacing w:after="0" w:line="240" w:lineRule="auto"/>
        <w:rPr>
          <w:rFonts w:cstheme="minorHAnsi"/>
          <w:bCs/>
          <w:iCs/>
        </w:rPr>
      </w:pPr>
      <w:r w:rsidRPr="00773896">
        <w:rPr>
          <w:rFonts w:cstheme="minorHAnsi"/>
          <w:bCs/>
          <w:iCs/>
        </w:rPr>
        <w:t>Dates of Data: July 1,</w:t>
      </w:r>
      <w:r w:rsidRPr="00773896">
        <w:rPr>
          <w:rFonts w:cstheme="minorHAnsi"/>
          <w:bCs/>
          <w:iCs/>
          <w:vertAlign w:val="superscript"/>
        </w:rPr>
        <w:t xml:space="preserve"> </w:t>
      </w:r>
      <w:r w:rsidRPr="00773896">
        <w:rPr>
          <w:rFonts w:cstheme="minorHAnsi"/>
          <w:bCs/>
          <w:iCs/>
        </w:rPr>
        <w:t xml:space="preserve">2013 – June 30, 2014 </w:t>
      </w:r>
      <w:r w:rsidR="0029281F">
        <w:rPr>
          <w:rFonts w:cstheme="minorHAnsi"/>
          <w:bCs/>
          <w:iCs/>
        </w:rPr>
        <w:tab/>
      </w:r>
    </w:p>
    <w:p w14:paraId="58909E4F"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Number of index admissions: 6,843,808</w:t>
      </w:r>
    </w:p>
    <w:p w14:paraId="3F162094"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p>
    <w:p w14:paraId="4EECAC79"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Number of hospitals: 4,772</w:t>
      </w:r>
    </w:p>
    <w:p w14:paraId="68A18E92"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Average age of patients: 78.3</w:t>
      </w:r>
    </w:p>
    <w:p w14:paraId="18E77778"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p>
    <w:p w14:paraId="02DEF6D0"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r w:rsidRPr="00773896">
        <w:rPr>
          <w:rFonts w:cstheme="minorHAnsi"/>
          <w:bCs/>
          <w:u w:val="single"/>
        </w:rPr>
        <w:t>For testing of measure exclusions (Section 2b3)</w:t>
      </w:r>
    </w:p>
    <w:p w14:paraId="3EAF303A"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
          <w:bCs/>
        </w:rPr>
        <w:t xml:space="preserve">Dataset 1 </w:t>
      </w:r>
      <w:r w:rsidRPr="00773896">
        <w:rPr>
          <w:rFonts w:cstheme="minorHAnsi"/>
          <w:bCs/>
        </w:rPr>
        <w:t>(2015 public reporting cohort version 4.0</w:t>
      </w:r>
      <w:r w:rsidRPr="00773896">
        <w:rPr>
          <w:rFonts w:cstheme="minorHAnsi"/>
          <w:bCs/>
          <w:iCs/>
        </w:rPr>
        <w:t>): Medicare Part A Inpatient Claims and Medicare Enrollment Database</w:t>
      </w:r>
    </w:p>
    <w:p w14:paraId="61D9F06C"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Dates of Data: July 1,</w:t>
      </w:r>
      <w:r w:rsidRPr="00773896">
        <w:rPr>
          <w:rFonts w:cstheme="minorHAnsi"/>
          <w:bCs/>
          <w:iCs/>
          <w:vertAlign w:val="superscript"/>
        </w:rPr>
        <w:t xml:space="preserve"> </w:t>
      </w:r>
      <w:r w:rsidRPr="00773896">
        <w:rPr>
          <w:rFonts w:cstheme="minorHAnsi"/>
          <w:bCs/>
          <w:iCs/>
        </w:rPr>
        <w:t xml:space="preserve">2013 – June 30, 2014 </w:t>
      </w:r>
    </w:p>
    <w:p w14:paraId="00E9376E"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Number of index admissions: 6,843,808</w:t>
      </w:r>
    </w:p>
    <w:p w14:paraId="0E00226C"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p>
    <w:p w14:paraId="36354A33"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Number of hospitals: 4,772</w:t>
      </w:r>
    </w:p>
    <w:p w14:paraId="356C5803"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Cs/>
        </w:rPr>
      </w:pPr>
      <w:r w:rsidRPr="00773896">
        <w:rPr>
          <w:rFonts w:cstheme="minorHAnsi"/>
          <w:bCs/>
          <w:iCs/>
        </w:rPr>
        <w:t>Average age of patients: 78.3</w:t>
      </w:r>
    </w:p>
    <w:p w14:paraId="7F870DEE"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rPr>
      </w:pPr>
    </w:p>
    <w:p w14:paraId="7B2E69E1"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r w:rsidRPr="00773896">
        <w:rPr>
          <w:rFonts w:cstheme="minorHAnsi"/>
          <w:bCs/>
          <w:u w:val="single"/>
        </w:rPr>
        <w:t>For testing of measure risk adjustment (Section 2b4)</w:t>
      </w:r>
    </w:p>
    <w:p w14:paraId="3EA0D7D9" w14:textId="47B6370F"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
          <w:bCs/>
        </w:rPr>
        <w:t>Dataset 2</w:t>
      </w:r>
      <w:r w:rsidRPr="00773896">
        <w:rPr>
          <w:rFonts w:cstheme="minorHAnsi"/>
          <w:bCs/>
        </w:rPr>
        <w:t>: Medicare Part A claims data for calendar years 2007 and 2008 were combined and then randomly split into two equal subsets (development sample and validation sample). Risk variable selection was done using the development sample, the risk models for each of the five specialty cohorts in the measure were applied to the validation sample and the models’ performance was compared. In addition</w:t>
      </w:r>
      <w:r w:rsidR="00F97482">
        <w:rPr>
          <w:rFonts w:cstheme="minorHAnsi"/>
          <w:bCs/>
        </w:rPr>
        <w:t>,</w:t>
      </w:r>
      <w:r w:rsidRPr="00773896">
        <w:rPr>
          <w:rFonts w:cstheme="minorHAnsi"/>
          <w:bCs/>
        </w:rPr>
        <w:t xml:space="preserve"> we re-tested the models in Medicare Part A claims data from calendar year 2009 to look for temporal stability in the models’ performance. The number of measured entities and index admissions are listed below by specialty cohort.</w:t>
      </w:r>
    </w:p>
    <w:p w14:paraId="3B856418"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rPr>
      </w:pPr>
    </w:p>
    <w:p w14:paraId="075DB268"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Medicine model:</w:t>
      </w:r>
    </w:p>
    <w:p w14:paraId="3091F069"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Development sample: 3,085,962 admissions to 4,954 hospitals</w:t>
      </w:r>
    </w:p>
    <w:p w14:paraId="69C0C190"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Validation sample: 3,082,357 admissions to 4,946 hospitals</w:t>
      </w:r>
    </w:p>
    <w:p w14:paraId="22CE8DDA"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2009 sample: 3,032, 518 admissions to 4,908 hospitals</w:t>
      </w:r>
    </w:p>
    <w:p w14:paraId="6924A42F"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 xml:space="preserve">Surgery/gynecology model: </w:t>
      </w:r>
    </w:p>
    <w:p w14:paraId="3DBB7D8F"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ab/>
        <w:t>Development sample: 2, 208753 admissions to 4,354 hospitals</w:t>
      </w:r>
    </w:p>
    <w:p w14:paraId="5CCCB2A9" w14:textId="7065A60F" w:rsidR="00773896" w:rsidRPr="00773896" w:rsidRDefault="002C3C0B"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Pr>
          <w:rFonts w:cstheme="minorHAnsi"/>
          <w:bCs/>
        </w:rPr>
        <w:t xml:space="preserve">              </w:t>
      </w:r>
      <w:r w:rsidR="00773896" w:rsidRPr="00773896">
        <w:rPr>
          <w:rFonts w:cstheme="minorHAnsi"/>
          <w:bCs/>
        </w:rPr>
        <w:t>Validation sample: 2,208,482 admissions to 4,353 hospitals</w:t>
      </w:r>
    </w:p>
    <w:p w14:paraId="33EEE3D3"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2009 sample: 2,109,292 admissions to 4,232 hospitals</w:t>
      </w:r>
    </w:p>
    <w:p w14:paraId="6EA6D4BD"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 xml:space="preserve">Cardiorespiratory model: </w:t>
      </w:r>
    </w:p>
    <w:p w14:paraId="113C549E"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ab/>
        <w:t>Development sample: 1,396562 admissions to 4,810 hospitals</w:t>
      </w:r>
    </w:p>
    <w:p w14:paraId="5286F1E9" w14:textId="06A07A40" w:rsidR="00773896" w:rsidRPr="00773896" w:rsidRDefault="002C3C0B"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Pr>
          <w:rFonts w:cstheme="minorHAnsi"/>
          <w:bCs/>
        </w:rPr>
        <w:t xml:space="preserve">               </w:t>
      </w:r>
      <w:r w:rsidR="00773896" w:rsidRPr="00773896">
        <w:rPr>
          <w:rFonts w:cstheme="minorHAnsi"/>
          <w:bCs/>
        </w:rPr>
        <w:t>Validation sample: 1,396,855 admissions to 4,806 hospitals</w:t>
      </w:r>
    </w:p>
    <w:p w14:paraId="1DFB608C"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2009 sample: 1,331,539 admissions to 4,718 hospitals</w:t>
      </w:r>
    </w:p>
    <w:p w14:paraId="4FB399B9"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 xml:space="preserve">Cardiovascular model: </w:t>
      </w:r>
    </w:p>
    <w:p w14:paraId="381D3742"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ab/>
        <w:t>Development sample: 860,485 admissions to 4,702 hospitals</w:t>
      </w:r>
    </w:p>
    <w:p w14:paraId="53DDABC7" w14:textId="557E92D6" w:rsidR="00773896" w:rsidRPr="00773896" w:rsidRDefault="002C3C0B"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Pr>
          <w:rFonts w:cstheme="minorHAnsi"/>
          <w:bCs/>
        </w:rPr>
        <w:t xml:space="preserve">               </w:t>
      </w:r>
      <w:r w:rsidR="00773896" w:rsidRPr="00773896">
        <w:rPr>
          <w:rFonts w:cstheme="minorHAnsi"/>
          <w:bCs/>
        </w:rPr>
        <w:t>Validation sample: 861,925 admissions to 4,703 hospitals</w:t>
      </w:r>
    </w:p>
    <w:p w14:paraId="7A13D219"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2009 sample: 809,520 admissions to 4,641 hospitals</w:t>
      </w:r>
    </w:p>
    <w:p w14:paraId="656FFCFF"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 xml:space="preserve">Neurology model: </w:t>
      </w:r>
    </w:p>
    <w:p w14:paraId="14499C7B"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ab/>
        <w:t>Development sample: 461,225 admissions to 4,699 hospitals</w:t>
      </w:r>
    </w:p>
    <w:p w14:paraId="6704C5FD" w14:textId="73D3EE4F" w:rsidR="00773896" w:rsidRPr="00773896" w:rsidRDefault="002C3C0B"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Pr>
          <w:rFonts w:cstheme="minorHAnsi"/>
          <w:bCs/>
        </w:rPr>
        <w:t xml:space="preserve">               </w:t>
      </w:r>
      <w:r w:rsidR="00773896" w:rsidRPr="00773896">
        <w:rPr>
          <w:rFonts w:cstheme="minorHAnsi"/>
          <w:bCs/>
        </w:rPr>
        <w:t>Validation sample: 461,262 admissions to 4,686 hospitals</w:t>
      </w:r>
    </w:p>
    <w:p w14:paraId="3D2C7AAA"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2009 sample: 452,743 admissions to 4,609 hospitals</w:t>
      </w:r>
    </w:p>
    <w:p w14:paraId="6E6A99FB"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0AA2244E"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r w:rsidRPr="00773896">
        <w:rPr>
          <w:rFonts w:cstheme="minorHAnsi"/>
          <w:bCs/>
          <w:u w:val="single"/>
        </w:rPr>
        <w:t>For testing to identify meaningful differences in performance (Section 2b5)</w:t>
      </w:r>
    </w:p>
    <w:p w14:paraId="09576A07"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rPr>
      </w:pPr>
      <w:r w:rsidRPr="00773896">
        <w:rPr>
          <w:rFonts w:cstheme="minorHAnsi"/>
          <w:b/>
          <w:bCs/>
        </w:rPr>
        <w:t xml:space="preserve">Dataset 1 </w:t>
      </w:r>
    </w:p>
    <w:p w14:paraId="798B5007"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708A134D"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u w:val="single"/>
        </w:rPr>
      </w:pPr>
      <w:r w:rsidRPr="00773896">
        <w:rPr>
          <w:rFonts w:cstheme="minorHAnsi"/>
          <w:bCs/>
          <w:u w:val="single"/>
        </w:rPr>
        <w:t>For testing of socioeconomic status (SES) factors and race in risk models (Section 2b4.3)</w:t>
      </w:r>
    </w:p>
    <w:p w14:paraId="7C136D6D"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
          <w:bCs/>
        </w:rPr>
        <w:t>Dataset 1</w:t>
      </w:r>
      <w:r w:rsidRPr="00773896">
        <w:rPr>
          <w:rFonts w:cstheme="minorHAnsi"/>
          <w:bCs/>
        </w:rPr>
        <w:t xml:space="preserve"> and </w:t>
      </w:r>
      <w:r w:rsidRPr="00773896">
        <w:rPr>
          <w:rFonts w:cstheme="minorHAnsi"/>
          <w:b/>
          <w:bCs/>
        </w:rPr>
        <w:t>Dataset 3</w:t>
      </w:r>
      <w:r w:rsidRPr="00773896">
        <w:rPr>
          <w:rFonts w:cstheme="minorHAnsi"/>
          <w:bCs/>
        </w:rPr>
        <w:t>: The American Community Survey (2008-2012)</w:t>
      </w:r>
    </w:p>
    <w:p w14:paraId="1059E390"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637BD39E" w14:textId="2FB6E2E4"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We examined disparities in performance according to the proportion of patients in each hospital who were of African</w:t>
      </w:r>
      <w:r w:rsidR="001129C4">
        <w:rPr>
          <w:rFonts w:cstheme="minorHAnsi"/>
          <w:bCs/>
        </w:rPr>
        <w:t xml:space="preserve"> </w:t>
      </w:r>
      <w:r w:rsidRPr="00773896">
        <w:rPr>
          <w:rFonts w:cstheme="minorHAnsi"/>
          <w:bCs/>
        </w:rPr>
        <w:t xml:space="preserve">American race and the proportion who were dual-eligible for both Medicare and </w:t>
      </w:r>
      <w:r w:rsidRPr="00773896">
        <w:rPr>
          <w:rFonts w:cstheme="minorHAnsi"/>
          <w:bCs/>
        </w:rPr>
        <w:lastRenderedPageBreak/>
        <w:t>Medicaid insurances. We also used the AHRQ SES index score to study the association between performance measures and socioeconomic status.</w:t>
      </w:r>
    </w:p>
    <w:p w14:paraId="2072391B"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p>
    <w:p w14:paraId="59057914" w14:textId="77777777" w:rsidR="00773896" w:rsidRPr="00773896" w:rsidRDefault="00773896"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i/>
        </w:rPr>
      </w:pPr>
      <w:r w:rsidRPr="00773896">
        <w:rPr>
          <w:rFonts w:cstheme="minorHAnsi"/>
          <w:bCs/>
          <w:i/>
        </w:rPr>
        <w:t xml:space="preserve">Data Elements </w:t>
      </w:r>
    </w:p>
    <w:p w14:paraId="4202DDEA" w14:textId="78F0DD08" w:rsidR="00773896" w:rsidRPr="00773896" w:rsidRDefault="00773896" w:rsidP="00773896">
      <w:pPr>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African</w:t>
      </w:r>
      <w:r w:rsidR="001129C4">
        <w:rPr>
          <w:rFonts w:cstheme="minorHAnsi"/>
          <w:bCs/>
        </w:rPr>
        <w:t xml:space="preserve"> </w:t>
      </w:r>
      <w:r w:rsidRPr="00773896">
        <w:rPr>
          <w:rFonts w:cstheme="minorHAnsi"/>
          <w:bCs/>
        </w:rPr>
        <w:t>American race and dual-eligible status (i.e., enrolled in both Medicare and Medicaid) patient-level data are obtained from CMS enrollment data (</w:t>
      </w:r>
      <w:r w:rsidRPr="00773896">
        <w:rPr>
          <w:rFonts w:cstheme="minorHAnsi"/>
          <w:b/>
          <w:bCs/>
        </w:rPr>
        <w:t>Dataset 1</w:t>
      </w:r>
      <w:r w:rsidRPr="00773896">
        <w:rPr>
          <w:rFonts w:cstheme="minorHAnsi"/>
          <w:bCs/>
        </w:rPr>
        <w:t>)</w:t>
      </w:r>
    </w:p>
    <w:p w14:paraId="03083832" w14:textId="77777777" w:rsidR="00773896" w:rsidRPr="00773896" w:rsidRDefault="00773896" w:rsidP="00773896">
      <w:pPr>
        <w:numPr>
          <w:ilvl w:val="0"/>
          <w:numId w:val="31"/>
        </w:num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773896">
        <w:rPr>
          <w:rFonts w:cstheme="minorHAnsi"/>
          <w:bCs/>
        </w:rPr>
        <w:t>Validated AHRQ SES index score is a composite of 7 different variables found in the census data (</w:t>
      </w:r>
      <w:r w:rsidRPr="00773896">
        <w:rPr>
          <w:rFonts w:cstheme="minorHAnsi"/>
          <w:b/>
          <w:bCs/>
        </w:rPr>
        <w:t>Dataset 3</w:t>
      </w:r>
      <w:r w:rsidRPr="00773896">
        <w:rPr>
          <w:rFonts w:cstheme="minorHAnsi"/>
          <w:bCs/>
        </w:rPr>
        <w:t xml:space="preserve">) </w:t>
      </w:r>
    </w:p>
    <w:p w14:paraId="4BFE717D" w14:textId="5A1A5AD9" w:rsidR="00773896" w:rsidRDefault="0077389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highlight w:val="lightGray"/>
        </w:rPr>
      </w:pPr>
    </w:p>
    <w:p w14:paraId="473B6848" w14:textId="292DDB1D" w:rsidR="007F5AC7" w:rsidRPr="008E3DAC" w:rsidRDefault="00ED366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u w:val="single"/>
        </w:rPr>
      </w:pPr>
      <w:r w:rsidRPr="008E3DAC">
        <w:rPr>
          <w:rFonts w:cstheme="minorHAnsi"/>
          <w:b/>
          <w:bCs/>
          <w:color w:val="FF0000"/>
          <w:u w:val="single"/>
        </w:rPr>
        <w:t>D</w:t>
      </w:r>
      <w:r w:rsidR="007F5AC7" w:rsidRPr="008E3DAC">
        <w:rPr>
          <w:rFonts w:cstheme="minorHAnsi"/>
          <w:b/>
          <w:bCs/>
          <w:color w:val="FF0000"/>
          <w:u w:val="single"/>
        </w:rPr>
        <w:t>ata for the ACR measure</w:t>
      </w:r>
    </w:p>
    <w:p w14:paraId="152C7FB8" w14:textId="77777777" w:rsidR="007F5AC7" w:rsidRPr="008E3DAC" w:rsidRDefault="007F5AC7"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34239F5A" w14:textId="6C5C1B4F"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r w:rsidRPr="008E3DAC">
        <w:rPr>
          <w:rFonts w:cstheme="minorHAnsi"/>
          <w:bCs/>
          <w:color w:val="FF0000"/>
          <w:u w:val="single"/>
        </w:rPr>
        <w:t>For reliability testing</w:t>
      </w:r>
      <w:r w:rsidR="002A653D" w:rsidRPr="008E3DAC">
        <w:rPr>
          <w:rFonts w:cstheme="minorHAnsi"/>
          <w:bCs/>
          <w:color w:val="FF0000"/>
          <w:u w:val="single"/>
        </w:rPr>
        <w:t xml:space="preserve"> (Section 2a2)</w:t>
      </w:r>
    </w:p>
    <w:p w14:paraId="5EE11222" w14:textId="06CB0A5F" w:rsidR="00B830DC" w:rsidRPr="008E3DAC" w:rsidRDefault="00485C5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Dataset 6: </w:t>
      </w:r>
      <w:r w:rsidR="00B830DC" w:rsidRPr="008E3DAC">
        <w:rPr>
          <w:rFonts w:cstheme="minorHAnsi"/>
          <w:bCs/>
          <w:color w:val="FF0000"/>
        </w:rPr>
        <w:t xml:space="preserve">For </w:t>
      </w:r>
      <w:r w:rsidR="00B9154C" w:rsidRPr="008E3DAC">
        <w:rPr>
          <w:rFonts w:cstheme="minorHAnsi"/>
          <w:bCs/>
          <w:color w:val="FF0000"/>
        </w:rPr>
        <w:t xml:space="preserve">reliability testing, we </w:t>
      </w:r>
      <w:r w:rsidR="003224E1" w:rsidRPr="008E3DAC">
        <w:rPr>
          <w:rFonts w:cstheme="minorHAnsi"/>
          <w:bCs/>
          <w:color w:val="FF0000"/>
        </w:rPr>
        <w:t>performed stratified random sampling w</w:t>
      </w:r>
      <w:r w:rsidR="00B9154C" w:rsidRPr="008E3DAC">
        <w:rPr>
          <w:rFonts w:cstheme="minorHAnsi"/>
          <w:bCs/>
          <w:color w:val="FF0000"/>
        </w:rPr>
        <w:t xml:space="preserve">ith the </w:t>
      </w:r>
      <w:r w:rsidR="00DD37BC" w:rsidRPr="008E3DAC">
        <w:rPr>
          <w:rFonts w:cstheme="minorHAnsi"/>
          <w:b/>
          <w:bCs/>
          <w:color w:val="FF0000"/>
        </w:rPr>
        <w:t>2015 Data</w:t>
      </w:r>
      <w:r w:rsidR="002E0227" w:rsidRPr="008E3DAC">
        <w:rPr>
          <w:rFonts w:cstheme="minorHAnsi"/>
          <w:b/>
          <w:bCs/>
          <w:color w:val="FF0000"/>
        </w:rPr>
        <w:t>.</w:t>
      </w:r>
      <w:r w:rsidR="002E0227" w:rsidRPr="008E3DAC">
        <w:rPr>
          <w:rFonts w:cstheme="minorHAnsi"/>
          <w:bCs/>
          <w:color w:val="FF0000"/>
        </w:rPr>
        <w:t xml:space="preserve"> </w:t>
      </w:r>
      <w:r w:rsidR="00B9154C" w:rsidRPr="008E3DAC">
        <w:rPr>
          <w:rFonts w:cstheme="minorHAnsi"/>
          <w:bCs/>
          <w:color w:val="FF0000"/>
        </w:rPr>
        <w:t xml:space="preserve">We </w:t>
      </w:r>
      <w:r w:rsidR="00B830DC" w:rsidRPr="008E3DAC">
        <w:rPr>
          <w:rFonts w:cstheme="minorHAnsi"/>
          <w:bCs/>
          <w:color w:val="FF0000"/>
        </w:rPr>
        <w:t xml:space="preserve">randomly split this dataset into two samples; half of each ACO’s assigned/aligned beneficiaries were </w:t>
      </w:r>
      <w:r w:rsidR="003224E1" w:rsidRPr="008E3DAC">
        <w:rPr>
          <w:rFonts w:cstheme="minorHAnsi"/>
          <w:bCs/>
          <w:color w:val="FF0000"/>
        </w:rPr>
        <w:t>assigned to</w:t>
      </w:r>
      <w:r w:rsidR="00B830DC" w:rsidRPr="008E3DAC">
        <w:rPr>
          <w:rFonts w:cstheme="minorHAnsi"/>
          <w:bCs/>
          <w:color w:val="FF0000"/>
        </w:rPr>
        <w:t xml:space="preserve"> </w:t>
      </w:r>
      <w:r w:rsidR="00B830DC" w:rsidRPr="008E3DAC">
        <w:rPr>
          <w:rFonts w:cstheme="minorHAnsi"/>
          <w:b/>
          <w:bCs/>
          <w:color w:val="FF0000"/>
        </w:rPr>
        <w:t>Subset 1</w:t>
      </w:r>
      <w:r w:rsidR="00B830DC" w:rsidRPr="008E3DAC">
        <w:rPr>
          <w:rFonts w:cstheme="minorHAnsi"/>
          <w:bCs/>
          <w:color w:val="FF0000"/>
        </w:rPr>
        <w:t xml:space="preserve"> and the other half </w:t>
      </w:r>
      <w:r w:rsidR="003224E1" w:rsidRPr="008E3DAC">
        <w:rPr>
          <w:rFonts w:cstheme="minorHAnsi"/>
          <w:bCs/>
          <w:color w:val="FF0000"/>
        </w:rPr>
        <w:t>were assigned to</w:t>
      </w:r>
      <w:r w:rsidR="00B830DC" w:rsidRPr="008E3DAC">
        <w:rPr>
          <w:rFonts w:cstheme="minorHAnsi"/>
          <w:bCs/>
          <w:color w:val="FF0000"/>
        </w:rPr>
        <w:t xml:space="preserve"> </w:t>
      </w:r>
      <w:r w:rsidR="00B830DC" w:rsidRPr="008E3DAC">
        <w:rPr>
          <w:rFonts w:cstheme="minorHAnsi"/>
          <w:b/>
          <w:bCs/>
          <w:color w:val="FF0000"/>
        </w:rPr>
        <w:t>Subset 2</w:t>
      </w:r>
      <w:r w:rsidRPr="008E3DAC">
        <w:rPr>
          <w:rFonts w:cstheme="minorHAnsi"/>
          <w:bCs/>
          <w:color w:val="FF0000"/>
        </w:rPr>
        <w:t>.</w:t>
      </w:r>
    </w:p>
    <w:p w14:paraId="7477BF43"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30F1581D"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Dataset 6: </w:t>
      </w:r>
      <w:r w:rsidRPr="008E3DAC">
        <w:rPr>
          <w:rFonts w:cstheme="minorHAnsi"/>
          <w:bCs/>
          <w:color w:val="FF0000"/>
        </w:rPr>
        <w:t>We used the Medicare Part A and Part B claims for the 2015 assigned/aligned SSP and Pioneer beneficiaries (</w:t>
      </w:r>
      <w:r w:rsidRPr="008E3DAC">
        <w:rPr>
          <w:rFonts w:cstheme="minorHAnsi"/>
          <w:b/>
          <w:bCs/>
          <w:color w:val="FF0000"/>
        </w:rPr>
        <w:t>2015 Data</w:t>
      </w:r>
      <w:r w:rsidRPr="008E3DAC">
        <w:rPr>
          <w:rFonts w:cstheme="minorHAnsi"/>
          <w:bCs/>
          <w:color w:val="FF0000"/>
        </w:rPr>
        <w:t xml:space="preserve">, reported in 2016) for the majority of the analyses. The differences are detailed below. </w:t>
      </w:r>
    </w:p>
    <w:p w14:paraId="1733DD11" w14:textId="77777777" w:rsidR="003460C3" w:rsidRPr="008E3DAC" w:rsidRDefault="003460C3"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p>
    <w:p w14:paraId="35CE243B"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2015 Data: </w:t>
      </w:r>
      <w:r w:rsidRPr="008E3DAC">
        <w:rPr>
          <w:rFonts w:cstheme="minorHAnsi"/>
          <w:bCs/>
          <w:color w:val="FF0000"/>
        </w:rPr>
        <w:t>416 ACOs</w:t>
      </w:r>
    </w:p>
    <w:p w14:paraId="4050C127"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Dates of data: Jan 1, 2015- Dec 31, 2015</w:t>
      </w:r>
    </w:p>
    <w:p w14:paraId="750EC736"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Mean age: 78.37</w:t>
      </w:r>
    </w:p>
    <w:p w14:paraId="52FD5ED9"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Index admissions: 1,721,598</w:t>
      </w:r>
    </w:p>
    <w:p w14:paraId="564D2C93" w14:textId="77777777"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7B90B009" w14:textId="716FFAB5"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Subset 1: </w:t>
      </w:r>
      <w:r w:rsidRPr="008E3DAC">
        <w:rPr>
          <w:rFonts w:cstheme="minorHAnsi"/>
          <w:bCs/>
          <w:color w:val="FF0000"/>
        </w:rPr>
        <w:t>416 ACOs</w:t>
      </w:r>
    </w:p>
    <w:p w14:paraId="6FF1F5DA" w14:textId="79CBF701" w:rsidR="002E0227" w:rsidRPr="008E3DAC" w:rsidRDefault="002E0227"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r w:rsidRPr="008E3DAC">
        <w:rPr>
          <w:rFonts w:cstheme="minorHAnsi"/>
          <w:bCs/>
          <w:color w:val="FF0000"/>
        </w:rPr>
        <w:t xml:space="preserve">Dates of data: Jan 1, 2015- </w:t>
      </w:r>
      <w:r w:rsidR="00BC4962" w:rsidRPr="008E3DAC">
        <w:rPr>
          <w:rFonts w:cstheme="minorHAnsi"/>
          <w:bCs/>
          <w:color w:val="FF0000"/>
        </w:rPr>
        <w:t>Dec</w:t>
      </w:r>
      <w:r w:rsidRPr="008E3DAC">
        <w:rPr>
          <w:rFonts w:cstheme="minorHAnsi"/>
          <w:bCs/>
          <w:color w:val="FF0000"/>
        </w:rPr>
        <w:t xml:space="preserve"> </w:t>
      </w:r>
      <w:r w:rsidR="00BC4962" w:rsidRPr="008E3DAC">
        <w:rPr>
          <w:rFonts w:cstheme="minorHAnsi"/>
          <w:bCs/>
          <w:color w:val="FF0000"/>
        </w:rPr>
        <w:t>31</w:t>
      </w:r>
      <w:r w:rsidRPr="008E3DAC">
        <w:rPr>
          <w:rFonts w:cstheme="minorHAnsi"/>
          <w:bCs/>
          <w:color w:val="FF0000"/>
        </w:rPr>
        <w:t>, 201</w:t>
      </w:r>
      <w:r w:rsidR="00BC4962" w:rsidRPr="008E3DAC">
        <w:rPr>
          <w:rFonts w:cstheme="minorHAnsi"/>
          <w:bCs/>
          <w:color w:val="FF0000"/>
        </w:rPr>
        <w:t>5</w:t>
      </w:r>
    </w:p>
    <w:p w14:paraId="7F2B4F9E" w14:textId="0F1AC81D"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Index admissions: 860</w:t>
      </w:r>
      <w:r w:rsidR="00B9154C" w:rsidRPr="008E3DAC">
        <w:rPr>
          <w:rFonts w:cstheme="minorHAnsi"/>
          <w:bCs/>
          <w:color w:val="FF0000"/>
        </w:rPr>
        <w:t>,</w:t>
      </w:r>
      <w:r w:rsidRPr="008E3DAC">
        <w:rPr>
          <w:rFonts w:cstheme="minorHAnsi"/>
          <w:bCs/>
          <w:color w:val="FF0000"/>
        </w:rPr>
        <w:t>149</w:t>
      </w:r>
    </w:p>
    <w:p w14:paraId="117BA7E0" w14:textId="1F6DB6E8" w:rsidR="00096A8B" w:rsidRPr="008E3DAC" w:rsidRDefault="00096A8B"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Average age of patients: 78.4</w:t>
      </w:r>
    </w:p>
    <w:p w14:paraId="5385920A" w14:textId="77777777"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6BE9F6F1" w14:textId="00A7E8BB"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Subset 2: </w:t>
      </w:r>
      <w:r w:rsidRPr="008E3DAC">
        <w:rPr>
          <w:rFonts w:cstheme="minorHAnsi"/>
          <w:bCs/>
          <w:color w:val="FF0000"/>
        </w:rPr>
        <w:t>416 ACOs</w:t>
      </w:r>
    </w:p>
    <w:p w14:paraId="4498109F" w14:textId="6FA07D47" w:rsidR="002E0227" w:rsidRPr="008E3DAC" w:rsidRDefault="002E0227"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r w:rsidRPr="008E3DAC">
        <w:rPr>
          <w:rFonts w:cstheme="minorHAnsi"/>
          <w:bCs/>
          <w:color w:val="FF0000"/>
        </w:rPr>
        <w:t xml:space="preserve">Dates of data: Jan 1, 2015- </w:t>
      </w:r>
      <w:r w:rsidR="0041303F" w:rsidRPr="008E3DAC">
        <w:rPr>
          <w:rFonts w:cstheme="minorHAnsi"/>
          <w:bCs/>
          <w:color w:val="FF0000"/>
        </w:rPr>
        <w:t>Dec 31, 2015</w:t>
      </w:r>
    </w:p>
    <w:p w14:paraId="28B786E3" w14:textId="69D7EE4A" w:rsidR="00B830DC" w:rsidRPr="008E3DAC" w:rsidRDefault="00B830D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Index admissions: 861</w:t>
      </w:r>
      <w:r w:rsidR="00B9154C" w:rsidRPr="008E3DAC">
        <w:rPr>
          <w:rFonts w:cstheme="minorHAnsi"/>
          <w:bCs/>
          <w:color w:val="FF0000"/>
        </w:rPr>
        <w:t>,</w:t>
      </w:r>
      <w:r w:rsidRPr="008E3DAC">
        <w:rPr>
          <w:rFonts w:cstheme="minorHAnsi"/>
          <w:bCs/>
          <w:color w:val="FF0000"/>
        </w:rPr>
        <w:t>449</w:t>
      </w:r>
    </w:p>
    <w:p w14:paraId="1BDD8D9D" w14:textId="37EC4129" w:rsidR="00096A8B" w:rsidRPr="008E3DAC" w:rsidRDefault="00096A8B"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Average age of patients: 78.5</w:t>
      </w:r>
    </w:p>
    <w:p w14:paraId="7D8CA4DF" w14:textId="0D534F96" w:rsidR="00332AA0"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5020F174" w14:textId="1C9F842A" w:rsidR="00332AA0"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r w:rsidRPr="008E3DAC">
        <w:rPr>
          <w:rFonts w:cstheme="minorHAnsi"/>
          <w:bCs/>
          <w:color w:val="FF0000"/>
          <w:u w:val="single"/>
        </w:rPr>
        <w:t>For testing of measure exclusions (Section 2b3)</w:t>
      </w:r>
    </w:p>
    <w:p w14:paraId="7A1404F5" w14:textId="36599762" w:rsidR="00332AA0" w:rsidRPr="008E3DAC" w:rsidRDefault="00485C5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Dataset 6: </w:t>
      </w:r>
      <w:r w:rsidRPr="008E3DAC">
        <w:rPr>
          <w:rFonts w:cstheme="minorHAnsi"/>
          <w:bCs/>
          <w:color w:val="FF0000"/>
        </w:rPr>
        <w:t>We used the</w:t>
      </w:r>
      <w:r w:rsidR="00332AA0" w:rsidRPr="008E3DAC">
        <w:rPr>
          <w:rFonts w:cstheme="minorHAnsi"/>
          <w:bCs/>
          <w:color w:val="FF0000"/>
        </w:rPr>
        <w:t xml:space="preserve"> Medicare Part A and Part B claims for the 2015 assigned/aligned SSP and Pioneer beneficiaries (</w:t>
      </w:r>
      <w:r w:rsidRPr="008E3DAC">
        <w:rPr>
          <w:rFonts w:cstheme="minorHAnsi"/>
          <w:b/>
          <w:bCs/>
          <w:color w:val="FF0000"/>
        </w:rPr>
        <w:t>2015 Data</w:t>
      </w:r>
      <w:r w:rsidRPr="008E3DAC">
        <w:rPr>
          <w:rFonts w:cstheme="minorHAnsi"/>
          <w:bCs/>
          <w:color w:val="FF0000"/>
        </w:rPr>
        <w:t xml:space="preserve">, </w:t>
      </w:r>
      <w:r w:rsidR="00332AA0" w:rsidRPr="008E3DAC">
        <w:rPr>
          <w:rFonts w:cstheme="minorHAnsi"/>
          <w:bCs/>
          <w:color w:val="FF0000"/>
        </w:rPr>
        <w:t>reported in 2016)</w:t>
      </w:r>
      <w:r w:rsidRPr="008E3DAC">
        <w:rPr>
          <w:rFonts w:cstheme="minorHAnsi"/>
          <w:bCs/>
          <w:color w:val="FF0000"/>
        </w:rPr>
        <w:t>.</w:t>
      </w:r>
    </w:p>
    <w:p w14:paraId="718774B7" w14:textId="77777777" w:rsidR="00332AA0"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p>
    <w:p w14:paraId="784E065A" w14:textId="36DDE7D7" w:rsidR="00EB5DCA" w:rsidRPr="008E3DAC" w:rsidRDefault="00EB5DCA"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r w:rsidRPr="008E3DAC">
        <w:rPr>
          <w:rFonts w:cstheme="minorHAnsi"/>
          <w:bCs/>
          <w:color w:val="FF0000"/>
          <w:u w:val="single"/>
        </w:rPr>
        <w:t>For validity testing (Section 2b2)</w:t>
      </w:r>
    </w:p>
    <w:p w14:paraId="64BA7661" w14:textId="2BF2D11E" w:rsidR="00EB5DCA" w:rsidRPr="002A6580" w:rsidRDefault="00485C5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rPr>
      </w:pPr>
      <w:r w:rsidRPr="008E3DAC">
        <w:rPr>
          <w:rFonts w:cstheme="minorHAnsi"/>
          <w:b/>
          <w:bCs/>
          <w:color w:val="FF0000"/>
        </w:rPr>
        <w:t xml:space="preserve">Dataset 5 and Dataset 6: </w:t>
      </w:r>
      <w:r w:rsidR="003224E1" w:rsidRPr="008E3DAC">
        <w:rPr>
          <w:rFonts w:cstheme="minorHAnsi"/>
          <w:bCs/>
          <w:color w:val="FF0000"/>
        </w:rPr>
        <w:t>We assessed measure validity e</w:t>
      </w:r>
      <w:r w:rsidR="00EB5DCA" w:rsidRPr="008E3DAC">
        <w:rPr>
          <w:rFonts w:cstheme="minorHAnsi"/>
          <w:bCs/>
          <w:color w:val="FF0000"/>
        </w:rPr>
        <w:t xml:space="preserve">mpirically using the </w:t>
      </w:r>
      <w:r w:rsidR="00EB5DCA" w:rsidRPr="008E3DAC">
        <w:rPr>
          <w:rFonts w:cstheme="minorHAnsi"/>
          <w:b/>
          <w:bCs/>
          <w:color w:val="FF0000"/>
        </w:rPr>
        <w:t>2014 scoring and 2015 scoring datasets</w:t>
      </w:r>
      <w:r w:rsidR="00EB5DCA" w:rsidRPr="008E3DAC">
        <w:rPr>
          <w:rFonts w:cstheme="minorHAnsi"/>
          <w:bCs/>
          <w:color w:val="FF0000"/>
        </w:rPr>
        <w:t xml:space="preserve">. The scoring datasets include calculated measure rates and performance scores, using the ACO program scoring methodology, for each measure in the ACO measure set. </w:t>
      </w:r>
      <w:r w:rsidR="002E0227" w:rsidRPr="008E3DAC">
        <w:rPr>
          <w:rFonts w:cstheme="minorHAnsi"/>
          <w:bCs/>
          <w:color w:val="FF0000"/>
        </w:rPr>
        <w:t xml:space="preserve">There are </w:t>
      </w:r>
      <w:r w:rsidR="003224E1" w:rsidRPr="008E3DAC">
        <w:rPr>
          <w:rFonts w:cstheme="minorHAnsi"/>
          <w:bCs/>
          <w:color w:val="FF0000"/>
        </w:rPr>
        <w:t xml:space="preserve">three fewer ACOs included in </w:t>
      </w:r>
      <w:r w:rsidR="00933533" w:rsidRPr="008E3DAC">
        <w:rPr>
          <w:rFonts w:cstheme="minorHAnsi"/>
          <w:bCs/>
          <w:color w:val="FF0000"/>
        </w:rPr>
        <w:t>the 2014</w:t>
      </w:r>
      <w:r w:rsidR="003224E1" w:rsidRPr="008E3DAC">
        <w:rPr>
          <w:rFonts w:cstheme="minorHAnsi"/>
          <w:bCs/>
          <w:color w:val="FF0000"/>
        </w:rPr>
        <w:t xml:space="preserve"> scoring data set and </w:t>
      </w:r>
      <w:r w:rsidR="002E0227" w:rsidRPr="008E3DAC">
        <w:rPr>
          <w:rFonts w:cstheme="minorHAnsi"/>
          <w:bCs/>
          <w:color w:val="FF0000"/>
        </w:rPr>
        <w:t xml:space="preserve">six fewer ACOs included in the </w:t>
      </w:r>
      <w:r w:rsidR="003224E1" w:rsidRPr="008E3DAC">
        <w:rPr>
          <w:rFonts w:cstheme="minorHAnsi"/>
          <w:bCs/>
          <w:color w:val="FF0000"/>
        </w:rPr>
        <w:t xml:space="preserve">2015 </w:t>
      </w:r>
      <w:r w:rsidR="002E0227" w:rsidRPr="008E3DAC">
        <w:rPr>
          <w:rFonts w:cstheme="minorHAnsi"/>
          <w:bCs/>
          <w:color w:val="FF0000"/>
        </w:rPr>
        <w:t xml:space="preserve">scoring data set </w:t>
      </w:r>
      <w:r w:rsidR="003224E1" w:rsidRPr="008E3DAC">
        <w:rPr>
          <w:rFonts w:cstheme="minorHAnsi"/>
          <w:bCs/>
          <w:color w:val="FF0000"/>
        </w:rPr>
        <w:t>due to program terminations</w:t>
      </w:r>
      <w:r w:rsidR="002E0227" w:rsidRPr="008E3DAC">
        <w:rPr>
          <w:rFonts w:cstheme="minorHAnsi"/>
          <w:bCs/>
          <w:color w:val="FF0000"/>
        </w:rPr>
        <w:t xml:space="preserve">. </w:t>
      </w:r>
      <w:r w:rsidR="00CE284E" w:rsidRPr="008E3DAC">
        <w:rPr>
          <w:rFonts w:cstheme="minorHAnsi"/>
          <w:bCs/>
          <w:color w:val="FF0000"/>
        </w:rPr>
        <w:t>The correlation analysis for ACO reported measures (i.e. Web Interface measures)</w:t>
      </w:r>
      <w:r w:rsidR="008034C0" w:rsidRPr="008E3DAC">
        <w:rPr>
          <w:rFonts w:cstheme="minorHAnsi"/>
          <w:bCs/>
          <w:color w:val="FF0000"/>
        </w:rPr>
        <w:t xml:space="preserve"> included </w:t>
      </w:r>
      <w:r w:rsidR="00CE284E" w:rsidRPr="008E3DAC">
        <w:rPr>
          <w:rFonts w:cstheme="minorHAnsi"/>
          <w:bCs/>
          <w:color w:val="FF0000"/>
        </w:rPr>
        <w:t xml:space="preserve">only </w:t>
      </w:r>
      <w:r w:rsidR="008034C0" w:rsidRPr="008E3DAC">
        <w:rPr>
          <w:rFonts w:cstheme="minorHAnsi"/>
          <w:bCs/>
          <w:color w:val="FF0000"/>
        </w:rPr>
        <w:t>ACOs that completely repor</w:t>
      </w:r>
      <w:r w:rsidR="00CE284E" w:rsidRPr="008E3DAC">
        <w:rPr>
          <w:rFonts w:cstheme="minorHAnsi"/>
          <w:bCs/>
          <w:color w:val="FF0000"/>
        </w:rPr>
        <w:t xml:space="preserve">ted and excluded 2015 starters (ACOs receive full points in their first performance year) (n=313). </w:t>
      </w:r>
    </w:p>
    <w:p w14:paraId="3A15872C" w14:textId="77777777" w:rsidR="002C3C0B" w:rsidRPr="002A6580"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rPr>
      </w:pPr>
    </w:p>
    <w:p w14:paraId="3519EDEF"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lastRenderedPageBreak/>
        <w:t xml:space="preserve">Dataset 5: </w:t>
      </w:r>
      <w:r w:rsidRPr="008E3DAC">
        <w:rPr>
          <w:rFonts w:cstheme="minorHAnsi"/>
          <w:bCs/>
          <w:color w:val="FF0000"/>
        </w:rPr>
        <w:t xml:space="preserve">The 2014 Data includes Medicare Part A and Part B claims for the 2014 assigned/aligned SSP and Pioneer beneficiaries (reported in 2015) </w:t>
      </w:r>
    </w:p>
    <w:p w14:paraId="3EC9CAB5"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2014 Data: 360 ACOs</w:t>
      </w:r>
    </w:p>
    <w:p w14:paraId="5E725646"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Dates of data: Jan 1, 2014- Dec 31, 2014</w:t>
      </w:r>
    </w:p>
    <w:p w14:paraId="63649112"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Index admissions: 1,311,746</w:t>
      </w:r>
    </w:p>
    <w:p w14:paraId="185359CD" w14:textId="241E50FC" w:rsidR="002E0227"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Average age of patients: 78.61</w:t>
      </w:r>
    </w:p>
    <w:p w14:paraId="66EF8297" w14:textId="77777777" w:rsidR="002C3C0B" w:rsidRPr="008E3DAC" w:rsidRDefault="002C3C0B"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p>
    <w:p w14:paraId="60A4879C" w14:textId="3829028B" w:rsidR="00972F44" w:rsidRPr="008E3DAC" w:rsidRDefault="00972F4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2014 Scoring Dataset: </w:t>
      </w:r>
      <w:r w:rsidRPr="008E3DAC">
        <w:rPr>
          <w:rFonts w:cstheme="minorHAnsi"/>
          <w:bCs/>
          <w:color w:val="FF0000"/>
        </w:rPr>
        <w:t>357 ACOs</w:t>
      </w:r>
    </w:p>
    <w:p w14:paraId="1B8BE56A" w14:textId="1B9A9D5D" w:rsidR="00C939DA" w:rsidRPr="008E3DAC" w:rsidRDefault="00C939DA"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Dates of data: Jan 1, 2014</w:t>
      </w:r>
      <w:r w:rsidR="00456E74" w:rsidRPr="008E3DAC">
        <w:rPr>
          <w:rFonts w:cstheme="minorHAnsi"/>
          <w:bCs/>
          <w:color w:val="FF0000"/>
        </w:rPr>
        <w:t xml:space="preserve"> </w:t>
      </w:r>
      <w:r w:rsidRPr="008E3DAC">
        <w:rPr>
          <w:rFonts w:cstheme="minorHAnsi"/>
          <w:bCs/>
          <w:color w:val="FF0000"/>
        </w:rPr>
        <w:t xml:space="preserve">- </w:t>
      </w:r>
      <w:r w:rsidR="00C3655F" w:rsidRPr="008E3DAC">
        <w:rPr>
          <w:rFonts w:cstheme="minorHAnsi"/>
          <w:bCs/>
          <w:color w:val="FF0000"/>
        </w:rPr>
        <w:t>Dec 31, 2014</w:t>
      </w:r>
    </w:p>
    <w:p w14:paraId="6CCA4BB0" w14:textId="4B25409D" w:rsidR="00972F44" w:rsidRPr="008E3DAC" w:rsidRDefault="0025473D"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Index</w:t>
      </w:r>
      <w:r w:rsidR="00C939DA" w:rsidRPr="008E3DAC">
        <w:rPr>
          <w:rFonts w:cstheme="minorHAnsi"/>
          <w:bCs/>
          <w:color w:val="FF0000"/>
        </w:rPr>
        <w:t xml:space="preserve"> admissions: 1,311,642</w:t>
      </w:r>
    </w:p>
    <w:p w14:paraId="5BDFFDDC" w14:textId="0EA7640F" w:rsidR="00972F44" w:rsidRPr="008E3DAC" w:rsidRDefault="00972F4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p>
    <w:p w14:paraId="57B9C430" w14:textId="39E99824" w:rsidR="00EB5DCA" w:rsidRPr="008E3DAC" w:rsidRDefault="00EB5DCA"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201</w:t>
      </w:r>
      <w:r w:rsidR="00972F44" w:rsidRPr="008E3DAC">
        <w:rPr>
          <w:rFonts w:cstheme="minorHAnsi"/>
          <w:b/>
          <w:bCs/>
          <w:color w:val="FF0000"/>
        </w:rPr>
        <w:t>5</w:t>
      </w:r>
      <w:r w:rsidRPr="008E3DAC">
        <w:rPr>
          <w:rFonts w:cstheme="minorHAnsi"/>
          <w:b/>
          <w:bCs/>
          <w:color w:val="FF0000"/>
        </w:rPr>
        <w:t xml:space="preserve"> Scoring Dataset</w:t>
      </w:r>
      <w:r w:rsidR="002C3C0B" w:rsidRPr="008E3DAC">
        <w:rPr>
          <w:rFonts w:cstheme="minorHAnsi"/>
          <w:b/>
          <w:bCs/>
          <w:color w:val="FF0000"/>
        </w:rPr>
        <w:t xml:space="preserve"> </w:t>
      </w:r>
      <w:r w:rsidR="002C3C0B" w:rsidRPr="008E3DAC">
        <w:rPr>
          <w:rFonts w:cstheme="minorHAnsi"/>
          <w:bCs/>
          <w:color w:val="FF0000"/>
        </w:rPr>
        <w:t>(From</w:t>
      </w:r>
      <w:r w:rsidR="002C3C0B" w:rsidRPr="008E3DAC">
        <w:rPr>
          <w:rFonts w:cstheme="minorHAnsi"/>
          <w:b/>
          <w:bCs/>
          <w:color w:val="FF0000"/>
        </w:rPr>
        <w:t xml:space="preserve"> Dataset 6</w:t>
      </w:r>
      <w:r w:rsidR="002C3C0B" w:rsidRPr="008E3DAC">
        <w:rPr>
          <w:rFonts w:cstheme="minorHAnsi"/>
          <w:bCs/>
          <w:color w:val="FF0000"/>
        </w:rPr>
        <w:t>)</w:t>
      </w:r>
      <w:r w:rsidRPr="008E3DAC">
        <w:rPr>
          <w:rFonts w:cstheme="minorHAnsi"/>
          <w:b/>
          <w:bCs/>
          <w:color w:val="FF0000"/>
        </w:rPr>
        <w:t xml:space="preserve">: </w:t>
      </w:r>
      <w:r w:rsidR="00972F44" w:rsidRPr="008E3DAC">
        <w:rPr>
          <w:rFonts w:cstheme="minorHAnsi"/>
          <w:bCs/>
          <w:color w:val="FF0000"/>
        </w:rPr>
        <w:t>410</w:t>
      </w:r>
      <w:r w:rsidRPr="008E3DAC">
        <w:rPr>
          <w:rFonts w:cstheme="minorHAnsi"/>
          <w:bCs/>
          <w:color w:val="FF0000"/>
        </w:rPr>
        <w:t xml:space="preserve"> ACOs</w:t>
      </w:r>
    </w:p>
    <w:p w14:paraId="09504D7F" w14:textId="1593BE8C" w:rsidR="007F78A4" w:rsidRPr="008E3DAC" w:rsidRDefault="007F78A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Dates of data:</w:t>
      </w:r>
      <w:r w:rsidR="00910296" w:rsidRPr="008E3DAC">
        <w:rPr>
          <w:rFonts w:cstheme="minorHAnsi"/>
          <w:bCs/>
          <w:color w:val="FF0000"/>
        </w:rPr>
        <w:t xml:space="preserve"> Jan 1, 201</w:t>
      </w:r>
      <w:r w:rsidR="00972F44" w:rsidRPr="008E3DAC">
        <w:rPr>
          <w:rFonts w:cstheme="minorHAnsi"/>
          <w:bCs/>
          <w:color w:val="FF0000"/>
        </w:rPr>
        <w:t>5</w:t>
      </w:r>
      <w:r w:rsidR="00456E74" w:rsidRPr="008E3DAC">
        <w:rPr>
          <w:rFonts w:cstheme="minorHAnsi"/>
          <w:bCs/>
          <w:color w:val="FF0000"/>
        </w:rPr>
        <w:t xml:space="preserve"> </w:t>
      </w:r>
      <w:r w:rsidRPr="008E3DAC">
        <w:rPr>
          <w:rFonts w:cstheme="minorHAnsi"/>
          <w:bCs/>
          <w:color w:val="FF0000"/>
        </w:rPr>
        <w:t xml:space="preserve">- </w:t>
      </w:r>
      <w:r w:rsidR="00C3655F" w:rsidRPr="008E3DAC">
        <w:rPr>
          <w:rFonts w:cstheme="minorHAnsi"/>
          <w:bCs/>
          <w:color w:val="FF0000"/>
        </w:rPr>
        <w:t>Dec 31, 2015</w:t>
      </w:r>
    </w:p>
    <w:p w14:paraId="367E1B64" w14:textId="16AF50AA" w:rsidR="007F78A4" w:rsidRPr="008E3DAC" w:rsidRDefault="007F78A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Number of index admissions: 1,678,654</w:t>
      </w:r>
    </w:p>
    <w:p w14:paraId="759550BE" w14:textId="30414B0D" w:rsidR="00910296" w:rsidRPr="008E3DAC" w:rsidRDefault="0091029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Average age of patients: 78.3</w:t>
      </w:r>
    </w:p>
    <w:p w14:paraId="53E90830" w14:textId="498172AA" w:rsidR="00CF0126" w:rsidRPr="008E3DAC" w:rsidRDefault="00CF012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0618C911" w14:textId="42B304CD" w:rsidR="00CF0126" w:rsidRPr="008E3DAC" w:rsidRDefault="00CF012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r w:rsidRPr="008E3DAC">
        <w:rPr>
          <w:rFonts w:cstheme="minorHAnsi"/>
          <w:bCs/>
          <w:color w:val="FF0000"/>
          <w:u w:val="single"/>
        </w:rPr>
        <w:t>For testing of measure risk adjustment (</w:t>
      </w:r>
      <w:r w:rsidR="002A653D" w:rsidRPr="008E3DAC">
        <w:rPr>
          <w:rFonts w:cstheme="minorHAnsi"/>
          <w:bCs/>
          <w:color w:val="FF0000"/>
          <w:u w:val="single"/>
        </w:rPr>
        <w:t>S</w:t>
      </w:r>
      <w:r w:rsidRPr="008E3DAC">
        <w:rPr>
          <w:rFonts w:cstheme="minorHAnsi"/>
          <w:bCs/>
          <w:color w:val="FF0000"/>
          <w:u w:val="single"/>
        </w:rPr>
        <w:t>ection 2b4)</w:t>
      </w:r>
    </w:p>
    <w:p w14:paraId="65C8BC2F" w14:textId="726167FF" w:rsidR="00CF0126" w:rsidRPr="008E3DAC" w:rsidRDefault="00485C5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Dataset 5 and Dataset 6:</w:t>
      </w:r>
      <w:r w:rsidRPr="008E3DAC">
        <w:rPr>
          <w:rFonts w:cstheme="minorHAnsi"/>
          <w:bCs/>
          <w:color w:val="FF0000"/>
        </w:rPr>
        <w:t xml:space="preserve"> </w:t>
      </w:r>
      <w:r w:rsidR="00CF0126" w:rsidRPr="008E3DAC">
        <w:rPr>
          <w:rFonts w:cstheme="minorHAnsi"/>
          <w:bCs/>
          <w:color w:val="FF0000"/>
        </w:rPr>
        <w:t xml:space="preserve">We </w:t>
      </w:r>
      <w:r w:rsidR="00BB5E5E" w:rsidRPr="008E3DAC">
        <w:rPr>
          <w:rFonts w:cstheme="minorHAnsi"/>
          <w:bCs/>
          <w:color w:val="FF0000"/>
        </w:rPr>
        <w:t>combined</w:t>
      </w:r>
      <w:r w:rsidR="00CF0126" w:rsidRPr="008E3DAC">
        <w:rPr>
          <w:rFonts w:cstheme="minorHAnsi"/>
          <w:bCs/>
          <w:color w:val="FF0000"/>
        </w:rPr>
        <w:t xml:space="preserve"> the Medicare Part A and Part B claims for the 2014</w:t>
      </w:r>
      <w:r w:rsidR="00BB5E5E" w:rsidRPr="008E3DAC">
        <w:rPr>
          <w:rFonts w:cstheme="minorHAnsi"/>
          <w:bCs/>
          <w:color w:val="FF0000"/>
        </w:rPr>
        <w:t xml:space="preserve"> and 2015</w:t>
      </w:r>
      <w:r w:rsidR="00CF0126" w:rsidRPr="008E3DAC">
        <w:rPr>
          <w:rFonts w:cstheme="minorHAnsi"/>
          <w:bCs/>
          <w:color w:val="FF0000"/>
        </w:rPr>
        <w:t xml:space="preserve"> assigned/aligned SSP and Pioneer </w:t>
      </w:r>
      <w:r w:rsidR="00BB5E5E" w:rsidRPr="008E3DAC">
        <w:rPr>
          <w:rFonts w:cstheme="minorHAnsi"/>
          <w:bCs/>
          <w:color w:val="FF0000"/>
        </w:rPr>
        <w:t>and then ra</w:t>
      </w:r>
      <w:r w:rsidR="00916755" w:rsidRPr="008E3DAC">
        <w:rPr>
          <w:rFonts w:cstheme="minorHAnsi"/>
          <w:bCs/>
          <w:color w:val="FF0000"/>
        </w:rPr>
        <w:t>n</w:t>
      </w:r>
      <w:r w:rsidR="00BB5E5E" w:rsidRPr="008E3DAC">
        <w:rPr>
          <w:rFonts w:cstheme="minorHAnsi"/>
          <w:bCs/>
          <w:color w:val="FF0000"/>
        </w:rPr>
        <w:t>domly split into two equal subsets (</w:t>
      </w:r>
      <w:r w:rsidR="00BB5E5E" w:rsidRPr="008E3DAC">
        <w:rPr>
          <w:rFonts w:cstheme="minorHAnsi"/>
          <w:b/>
          <w:bCs/>
          <w:color w:val="FF0000"/>
        </w:rPr>
        <w:t>Development Sample</w:t>
      </w:r>
      <w:r w:rsidR="00BB5E5E" w:rsidRPr="008E3DAC">
        <w:rPr>
          <w:rFonts w:cstheme="minorHAnsi"/>
          <w:bCs/>
          <w:color w:val="FF0000"/>
        </w:rPr>
        <w:t xml:space="preserve"> and </w:t>
      </w:r>
      <w:r w:rsidR="00BB5E5E" w:rsidRPr="008E3DAC">
        <w:rPr>
          <w:rFonts w:cstheme="minorHAnsi"/>
          <w:b/>
          <w:bCs/>
          <w:color w:val="FF0000"/>
        </w:rPr>
        <w:t>Validation Sample</w:t>
      </w:r>
      <w:r w:rsidR="00BB5E5E" w:rsidRPr="008E3DAC">
        <w:rPr>
          <w:rFonts w:cstheme="minorHAnsi"/>
          <w:bCs/>
          <w:color w:val="FF0000"/>
        </w:rPr>
        <w:t>)</w:t>
      </w:r>
      <w:r w:rsidR="00CF0126" w:rsidRPr="008E3DAC">
        <w:rPr>
          <w:rFonts w:cstheme="minorHAnsi"/>
          <w:bCs/>
          <w:color w:val="FF0000"/>
        </w:rPr>
        <w:t xml:space="preserve">. The number of measured entities and index admissions are listed below by specialty cohort. </w:t>
      </w:r>
    </w:p>
    <w:p w14:paraId="68A9C5B1" w14:textId="7A052091" w:rsidR="00CF0126" w:rsidRPr="008E3DAC" w:rsidRDefault="00CF012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Medicine model:</w:t>
      </w:r>
    </w:p>
    <w:p w14:paraId="31BF5C9A" w14:textId="41078D4A" w:rsidR="00CF0126" w:rsidRPr="008E3DAC" w:rsidRDefault="00CF0126"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 xml:space="preserve">Development </w:t>
      </w:r>
      <w:r w:rsidRPr="008E3DAC">
        <w:rPr>
          <w:rFonts w:cstheme="minorHAnsi"/>
          <w:bCs/>
          <w:color w:val="FF0000"/>
        </w:rPr>
        <w:t xml:space="preserve">Sample: </w:t>
      </w:r>
      <w:r w:rsidR="00BB5E5E" w:rsidRPr="008E3DAC">
        <w:rPr>
          <w:rFonts w:cstheme="minorHAnsi"/>
          <w:bCs/>
          <w:color w:val="FF0000"/>
        </w:rPr>
        <w:t>639,278</w:t>
      </w:r>
      <w:r w:rsidR="008A3FEC" w:rsidRPr="008E3DAC">
        <w:rPr>
          <w:rFonts w:cstheme="minorHAnsi"/>
          <w:bCs/>
          <w:color w:val="FF0000"/>
        </w:rPr>
        <w:t xml:space="preserve"> admissions for </w:t>
      </w:r>
      <w:r w:rsidR="00BB5E5E" w:rsidRPr="008E3DAC">
        <w:rPr>
          <w:rFonts w:cstheme="minorHAnsi"/>
          <w:bCs/>
          <w:color w:val="FF0000"/>
        </w:rPr>
        <w:t xml:space="preserve">449 </w:t>
      </w:r>
      <w:r w:rsidR="008A3FEC" w:rsidRPr="008E3DAC">
        <w:rPr>
          <w:rFonts w:cstheme="minorHAnsi"/>
          <w:bCs/>
          <w:color w:val="FF0000"/>
        </w:rPr>
        <w:t>ACOs</w:t>
      </w:r>
    </w:p>
    <w:p w14:paraId="21241372" w14:textId="1F6D36AF" w:rsidR="00D26D5E"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 xml:space="preserve">Validation </w:t>
      </w:r>
      <w:r w:rsidRPr="008E3DAC">
        <w:rPr>
          <w:rFonts w:cstheme="minorHAnsi"/>
          <w:bCs/>
          <w:color w:val="FF0000"/>
        </w:rPr>
        <w:t xml:space="preserve">Sample: </w:t>
      </w:r>
      <w:r w:rsidR="00BB5E5E" w:rsidRPr="008E3DAC">
        <w:rPr>
          <w:rFonts w:cstheme="minorHAnsi"/>
          <w:bCs/>
          <w:color w:val="FF0000"/>
        </w:rPr>
        <w:t>639,625</w:t>
      </w:r>
      <w:r w:rsidRPr="008E3DAC">
        <w:rPr>
          <w:rFonts w:cstheme="minorHAnsi"/>
          <w:bCs/>
          <w:color w:val="FF0000"/>
        </w:rPr>
        <w:t xml:space="preserve"> admissions for </w:t>
      </w:r>
      <w:r w:rsidR="00BB5E5E" w:rsidRPr="008E3DAC">
        <w:rPr>
          <w:rFonts w:cstheme="minorHAnsi"/>
          <w:bCs/>
          <w:color w:val="FF0000"/>
        </w:rPr>
        <w:t xml:space="preserve">449 </w:t>
      </w:r>
      <w:r w:rsidRPr="008E3DAC">
        <w:rPr>
          <w:rFonts w:cstheme="minorHAnsi"/>
          <w:bCs/>
          <w:color w:val="FF0000"/>
        </w:rPr>
        <w:t>ACOs</w:t>
      </w:r>
    </w:p>
    <w:p w14:paraId="118BF9AF" w14:textId="6001B874"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Surgical Cohort</w:t>
      </w:r>
      <w:r w:rsidR="00456E74" w:rsidRPr="008E3DAC">
        <w:rPr>
          <w:rFonts w:cstheme="minorHAnsi"/>
          <w:bCs/>
          <w:color w:val="FF0000"/>
        </w:rPr>
        <w:t>:</w:t>
      </w:r>
    </w:p>
    <w:p w14:paraId="4F50EF2E" w14:textId="2FAF92E9"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Development</w:t>
      </w:r>
      <w:r w:rsidRPr="008E3DAC">
        <w:rPr>
          <w:rFonts w:cstheme="minorHAnsi"/>
          <w:bCs/>
          <w:color w:val="FF0000"/>
        </w:rPr>
        <w:t xml:space="preserve"> Sample: </w:t>
      </w:r>
      <w:r w:rsidR="00BB5E5E" w:rsidRPr="008E3DAC">
        <w:rPr>
          <w:rFonts w:cstheme="minorHAnsi"/>
          <w:bCs/>
          <w:color w:val="FF0000"/>
        </w:rPr>
        <w:t>383,190</w:t>
      </w:r>
      <w:r w:rsidRPr="008E3DAC">
        <w:rPr>
          <w:rFonts w:cstheme="minorHAnsi"/>
          <w:bCs/>
          <w:color w:val="FF0000"/>
        </w:rPr>
        <w:t xml:space="preserve"> admissions for </w:t>
      </w:r>
      <w:r w:rsidR="00BB5E5E" w:rsidRPr="008E3DAC">
        <w:rPr>
          <w:rFonts w:cstheme="minorHAnsi"/>
          <w:bCs/>
          <w:color w:val="FF0000"/>
        </w:rPr>
        <w:t xml:space="preserve">449 </w:t>
      </w:r>
      <w:r w:rsidRPr="008E3DAC">
        <w:rPr>
          <w:rFonts w:cstheme="minorHAnsi"/>
          <w:bCs/>
          <w:color w:val="FF0000"/>
        </w:rPr>
        <w:t>ACOs</w:t>
      </w:r>
    </w:p>
    <w:p w14:paraId="5B639051" w14:textId="7EF1DA13"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Validation</w:t>
      </w:r>
      <w:r w:rsidRPr="008E3DAC">
        <w:rPr>
          <w:rFonts w:cstheme="minorHAnsi"/>
          <w:bCs/>
          <w:color w:val="FF0000"/>
        </w:rPr>
        <w:t xml:space="preserve"> Sample: </w:t>
      </w:r>
      <w:r w:rsidR="00BB5E5E" w:rsidRPr="008E3DAC">
        <w:rPr>
          <w:rFonts w:cstheme="minorHAnsi"/>
          <w:bCs/>
          <w:color w:val="FF0000"/>
        </w:rPr>
        <w:t>382,190</w:t>
      </w:r>
      <w:r w:rsidRPr="008E3DAC">
        <w:rPr>
          <w:rFonts w:cstheme="minorHAnsi"/>
          <w:bCs/>
          <w:color w:val="FF0000"/>
        </w:rPr>
        <w:t xml:space="preserve"> admissions for </w:t>
      </w:r>
      <w:r w:rsidR="00BB5E5E" w:rsidRPr="008E3DAC">
        <w:rPr>
          <w:rFonts w:cstheme="minorHAnsi"/>
          <w:bCs/>
          <w:color w:val="FF0000"/>
        </w:rPr>
        <w:t xml:space="preserve">448 </w:t>
      </w:r>
      <w:r w:rsidRPr="008E3DAC">
        <w:rPr>
          <w:rFonts w:cstheme="minorHAnsi"/>
          <w:bCs/>
          <w:color w:val="FF0000"/>
        </w:rPr>
        <w:t>ACOs</w:t>
      </w:r>
    </w:p>
    <w:p w14:paraId="3F44D19A" w14:textId="3D0E31CD"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Cardiorespiratory Cohort</w:t>
      </w:r>
      <w:r w:rsidR="00456E74" w:rsidRPr="008E3DAC">
        <w:rPr>
          <w:rFonts w:cstheme="minorHAnsi"/>
          <w:bCs/>
          <w:color w:val="FF0000"/>
        </w:rPr>
        <w:t>:</w:t>
      </w:r>
    </w:p>
    <w:p w14:paraId="19452845" w14:textId="4E16774D"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Development</w:t>
      </w:r>
      <w:r w:rsidRPr="008E3DAC">
        <w:rPr>
          <w:rFonts w:cstheme="minorHAnsi"/>
          <w:bCs/>
          <w:color w:val="FF0000"/>
        </w:rPr>
        <w:t xml:space="preserve"> Sample: </w:t>
      </w:r>
      <w:r w:rsidR="00BB5E5E" w:rsidRPr="008E3DAC">
        <w:rPr>
          <w:rFonts w:cstheme="minorHAnsi"/>
          <w:bCs/>
          <w:color w:val="FF0000"/>
        </w:rPr>
        <w:t>249,649</w:t>
      </w:r>
      <w:r w:rsidRPr="008E3DAC">
        <w:rPr>
          <w:rFonts w:cstheme="minorHAnsi"/>
          <w:bCs/>
          <w:color w:val="FF0000"/>
        </w:rPr>
        <w:t xml:space="preserve"> admissions for </w:t>
      </w:r>
      <w:r w:rsidR="00BB5E5E" w:rsidRPr="008E3DAC">
        <w:rPr>
          <w:rFonts w:cstheme="minorHAnsi"/>
          <w:bCs/>
          <w:color w:val="FF0000"/>
        </w:rPr>
        <w:t xml:space="preserve">449 </w:t>
      </w:r>
      <w:r w:rsidRPr="008E3DAC">
        <w:rPr>
          <w:rFonts w:cstheme="minorHAnsi"/>
          <w:bCs/>
          <w:color w:val="FF0000"/>
        </w:rPr>
        <w:t>ACOs</w:t>
      </w:r>
    </w:p>
    <w:p w14:paraId="4C9AA8B2" w14:textId="3B587529"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Validation</w:t>
      </w:r>
      <w:r w:rsidRPr="008E3DAC">
        <w:rPr>
          <w:rFonts w:cstheme="minorHAnsi"/>
          <w:bCs/>
          <w:color w:val="FF0000"/>
        </w:rPr>
        <w:t xml:space="preserve"> Sample: </w:t>
      </w:r>
      <w:r w:rsidR="00BB5E5E" w:rsidRPr="008E3DAC">
        <w:rPr>
          <w:rFonts w:cstheme="minorHAnsi"/>
          <w:bCs/>
          <w:color w:val="FF0000"/>
        </w:rPr>
        <w:t>249,992</w:t>
      </w:r>
      <w:r w:rsidRPr="008E3DAC">
        <w:rPr>
          <w:rFonts w:cstheme="minorHAnsi"/>
          <w:bCs/>
          <w:color w:val="FF0000"/>
        </w:rPr>
        <w:t xml:space="preserve"> admissions for </w:t>
      </w:r>
      <w:r w:rsidR="00BB5E5E" w:rsidRPr="008E3DAC">
        <w:rPr>
          <w:rFonts w:cstheme="minorHAnsi"/>
          <w:bCs/>
          <w:color w:val="FF0000"/>
        </w:rPr>
        <w:t xml:space="preserve">449 </w:t>
      </w:r>
      <w:r w:rsidRPr="008E3DAC">
        <w:rPr>
          <w:rFonts w:cstheme="minorHAnsi"/>
          <w:bCs/>
          <w:color w:val="FF0000"/>
        </w:rPr>
        <w:t>ACOs</w:t>
      </w:r>
    </w:p>
    <w:p w14:paraId="038AA6EA" w14:textId="64996262"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Cardiovascular Cohort</w:t>
      </w:r>
      <w:r w:rsidR="00456E74" w:rsidRPr="008E3DAC">
        <w:rPr>
          <w:rFonts w:cstheme="minorHAnsi"/>
          <w:bCs/>
          <w:color w:val="FF0000"/>
        </w:rPr>
        <w:t>:</w:t>
      </w:r>
    </w:p>
    <w:p w14:paraId="460B1552" w14:textId="59A250AB"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Development</w:t>
      </w:r>
      <w:r w:rsidRPr="008E3DAC">
        <w:rPr>
          <w:rFonts w:cstheme="minorHAnsi"/>
          <w:bCs/>
          <w:color w:val="FF0000"/>
        </w:rPr>
        <w:t xml:space="preserve"> Sample: </w:t>
      </w:r>
      <w:r w:rsidR="00BB5E5E" w:rsidRPr="008E3DAC">
        <w:rPr>
          <w:rFonts w:cstheme="minorHAnsi"/>
          <w:bCs/>
          <w:color w:val="FF0000"/>
        </w:rPr>
        <w:t>151,907</w:t>
      </w:r>
      <w:r w:rsidRPr="008E3DAC">
        <w:rPr>
          <w:rFonts w:cstheme="minorHAnsi"/>
          <w:bCs/>
          <w:color w:val="FF0000"/>
        </w:rPr>
        <w:t xml:space="preserve"> admissions for </w:t>
      </w:r>
      <w:r w:rsidR="00BB5E5E" w:rsidRPr="008E3DAC">
        <w:rPr>
          <w:rFonts w:cstheme="minorHAnsi"/>
          <w:bCs/>
          <w:color w:val="FF0000"/>
        </w:rPr>
        <w:t xml:space="preserve">449 </w:t>
      </w:r>
      <w:r w:rsidRPr="008E3DAC">
        <w:rPr>
          <w:rFonts w:cstheme="minorHAnsi"/>
          <w:bCs/>
          <w:color w:val="FF0000"/>
        </w:rPr>
        <w:t>ACOs</w:t>
      </w:r>
    </w:p>
    <w:p w14:paraId="2012D0F4" w14:textId="07A16071"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Validation</w:t>
      </w:r>
      <w:r w:rsidRPr="008E3DAC">
        <w:rPr>
          <w:rFonts w:cstheme="minorHAnsi"/>
          <w:bCs/>
          <w:color w:val="FF0000"/>
        </w:rPr>
        <w:t xml:space="preserve"> Sample: </w:t>
      </w:r>
      <w:r w:rsidR="00BB5E5E" w:rsidRPr="008E3DAC">
        <w:rPr>
          <w:rFonts w:cstheme="minorHAnsi"/>
          <w:bCs/>
          <w:color w:val="FF0000"/>
        </w:rPr>
        <w:t>151,790</w:t>
      </w:r>
      <w:r w:rsidRPr="008E3DAC">
        <w:rPr>
          <w:rFonts w:cstheme="minorHAnsi"/>
          <w:bCs/>
          <w:color w:val="FF0000"/>
        </w:rPr>
        <w:t xml:space="preserve"> admissions for </w:t>
      </w:r>
      <w:r w:rsidR="00BB5E5E" w:rsidRPr="008E3DAC">
        <w:rPr>
          <w:rFonts w:cstheme="minorHAnsi"/>
          <w:bCs/>
          <w:color w:val="FF0000"/>
        </w:rPr>
        <w:t xml:space="preserve">448 </w:t>
      </w:r>
      <w:r w:rsidRPr="008E3DAC">
        <w:rPr>
          <w:rFonts w:cstheme="minorHAnsi"/>
          <w:bCs/>
          <w:color w:val="FF0000"/>
        </w:rPr>
        <w:t>ACOs</w:t>
      </w:r>
    </w:p>
    <w:p w14:paraId="0EC8ABDF" w14:textId="1CD86F70"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Neurology Cohort</w:t>
      </w:r>
    </w:p>
    <w:p w14:paraId="22F49E73" w14:textId="284A375B"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Development</w:t>
      </w:r>
      <w:r w:rsidRPr="008E3DAC">
        <w:rPr>
          <w:rFonts w:cstheme="minorHAnsi"/>
          <w:bCs/>
          <w:color w:val="FF0000"/>
        </w:rPr>
        <w:t xml:space="preserve"> Sample: </w:t>
      </w:r>
      <w:r w:rsidR="00BB5E5E" w:rsidRPr="008E3DAC">
        <w:rPr>
          <w:rFonts w:cstheme="minorHAnsi"/>
          <w:bCs/>
          <w:color w:val="FF0000"/>
        </w:rPr>
        <w:t>92,759</w:t>
      </w:r>
      <w:r w:rsidRPr="008E3DAC">
        <w:rPr>
          <w:rFonts w:cstheme="minorHAnsi"/>
          <w:bCs/>
          <w:color w:val="FF0000"/>
        </w:rPr>
        <w:t xml:space="preserve"> </w:t>
      </w:r>
      <w:r w:rsidR="003224E1" w:rsidRPr="008E3DAC">
        <w:rPr>
          <w:rFonts w:cstheme="minorHAnsi"/>
          <w:bCs/>
          <w:color w:val="FF0000"/>
        </w:rPr>
        <w:t xml:space="preserve">admissions </w:t>
      </w:r>
      <w:r w:rsidRPr="008E3DAC">
        <w:rPr>
          <w:rFonts w:cstheme="minorHAnsi"/>
          <w:bCs/>
          <w:color w:val="FF0000"/>
        </w:rPr>
        <w:t xml:space="preserve">for </w:t>
      </w:r>
      <w:r w:rsidR="00BB5E5E" w:rsidRPr="008E3DAC">
        <w:rPr>
          <w:rFonts w:cstheme="minorHAnsi"/>
          <w:bCs/>
          <w:color w:val="FF0000"/>
        </w:rPr>
        <w:t xml:space="preserve">448 </w:t>
      </w:r>
      <w:r w:rsidRPr="008E3DAC">
        <w:rPr>
          <w:rFonts w:cstheme="minorHAnsi"/>
          <w:bCs/>
          <w:color w:val="FF0000"/>
        </w:rPr>
        <w:t>ACOs</w:t>
      </w:r>
    </w:p>
    <w:p w14:paraId="782403CE" w14:textId="37DAF2D6" w:rsidR="008A3FEC" w:rsidRPr="008E3DAC" w:rsidRDefault="008A3FEC"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b/>
      </w:r>
      <w:r w:rsidR="00BB5E5E" w:rsidRPr="008E3DAC">
        <w:rPr>
          <w:rFonts w:cstheme="minorHAnsi"/>
          <w:bCs/>
          <w:color w:val="FF0000"/>
        </w:rPr>
        <w:t>Validation</w:t>
      </w:r>
      <w:r w:rsidRPr="008E3DAC">
        <w:rPr>
          <w:rFonts w:cstheme="minorHAnsi"/>
          <w:bCs/>
          <w:color w:val="FF0000"/>
        </w:rPr>
        <w:t xml:space="preserve"> Sample: </w:t>
      </w:r>
      <w:r w:rsidR="00BB5E5E" w:rsidRPr="008E3DAC">
        <w:rPr>
          <w:rFonts w:cstheme="minorHAnsi"/>
          <w:bCs/>
          <w:color w:val="FF0000"/>
        </w:rPr>
        <w:t>92,503</w:t>
      </w:r>
      <w:r w:rsidRPr="008E3DAC">
        <w:rPr>
          <w:rFonts w:cstheme="minorHAnsi"/>
          <w:bCs/>
          <w:color w:val="FF0000"/>
        </w:rPr>
        <w:t xml:space="preserve"> </w:t>
      </w:r>
      <w:r w:rsidR="003224E1" w:rsidRPr="008E3DAC">
        <w:rPr>
          <w:rFonts w:cstheme="minorHAnsi"/>
          <w:bCs/>
          <w:color w:val="FF0000"/>
        </w:rPr>
        <w:t xml:space="preserve">admissions </w:t>
      </w:r>
      <w:r w:rsidRPr="008E3DAC">
        <w:rPr>
          <w:rFonts w:cstheme="minorHAnsi"/>
          <w:bCs/>
          <w:color w:val="FF0000"/>
        </w:rPr>
        <w:t xml:space="preserve">for </w:t>
      </w:r>
      <w:r w:rsidR="00BB5E5E" w:rsidRPr="008E3DAC">
        <w:rPr>
          <w:rFonts w:cstheme="minorHAnsi"/>
          <w:bCs/>
          <w:color w:val="FF0000"/>
        </w:rPr>
        <w:t xml:space="preserve">448 </w:t>
      </w:r>
      <w:r w:rsidRPr="008E3DAC">
        <w:rPr>
          <w:rFonts w:cstheme="minorHAnsi"/>
          <w:bCs/>
          <w:color w:val="FF0000"/>
        </w:rPr>
        <w:t>ACOs</w:t>
      </w:r>
    </w:p>
    <w:p w14:paraId="0D898CB8" w14:textId="12C003D2" w:rsidR="00D26D5E" w:rsidRPr="008E3DAC" w:rsidRDefault="00D26D5E"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1F66C423" w14:textId="6ED03038" w:rsidR="00EB5DCA"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r w:rsidRPr="008E3DAC">
        <w:rPr>
          <w:rFonts w:cstheme="minorHAnsi"/>
          <w:bCs/>
          <w:color w:val="FF0000"/>
          <w:u w:val="single"/>
        </w:rPr>
        <w:t>For testing to identify meaningful differences in performance (</w:t>
      </w:r>
      <w:r w:rsidR="00605AED" w:rsidRPr="008E3DAC">
        <w:rPr>
          <w:rFonts w:cstheme="minorHAnsi"/>
          <w:bCs/>
          <w:color w:val="FF0000"/>
          <w:u w:val="single"/>
        </w:rPr>
        <w:t>Section</w:t>
      </w:r>
      <w:r w:rsidRPr="008E3DAC">
        <w:rPr>
          <w:rFonts w:cstheme="minorHAnsi"/>
          <w:bCs/>
          <w:color w:val="FF0000"/>
          <w:u w:val="single"/>
        </w:rPr>
        <w:t xml:space="preserve"> 2b5)</w:t>
      </w:r>
    </w:p>
    <w:p w14:paraId="7D457AC4" w14:textId="3AF8A45E" w:rsidR="00332AA0" w:rsidRPr="008E3DAC" w:rsidRDefault="00485C5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r w:rsidRPr="008E3DAC">
        <w:rPr>
          <w:rFonts w:cstheme="minorHAnsi"/>
          <w:b/>
          <w:bCs/>
          <w:color w:val="FF0000"/>
        </w:rPr>
        <w:t xml:space="preserve">Dataset 4, Dataset 5, and Dataset 6: </w:t>
      </w:r>
      <w:r w:rsidR="00DD37BC" w:rsidRPr="008E3DAC">
        <w:rPr>
          <w:rFonts w:cstheme="minorHAnsi"/>
          <w:b/>
          <w:bCs/>
          <w:color w:val="FF0000"/>
        </w:rPr>
        <w:t>2013 Data</w:t>
      </w:r>
      <w:r w:rsidR="00332AA0" w:rsidRPr="008E3DAC">
        <w:rPr>
          <w:rFonts w:cstheme="minorHAnsi"/>
          <w:b/>
          <w:bCs/>
          <w:color w:val="FF0000"/>
        </w:rPr>
        <w:t xml:space="preserve">, </w:t>
      </w:r>
      <w:r w:rsidR="00DD37BC" w:rsidRPr="008E3DAC">
        <w:rPr>
          <w:rFonts w:cstheme="minorHAnsi"/>
          <w:b/>
          <w:bCs/>
          <w:color w:val="FF0000"/>
        </w:rPr>
        <w:t>2014 Data</w:t>
      </w:r>
      <w:r w:rsidR="00332AA0" w:rsidRPr="008E3DAC">
        <w:rPr>
          <w:rFonts w:cstheme="minorHAnsi"/>
          <w:b/>
          <w:bCs/>
          <w:color w:val="FF0000"/>
        </w:rPr>
        <w:t xml:space="preserve">, </w:t>
      </w:r>
      <w:r w:rsidR="00332AA0" w:rsidRPr="008E3DAC">
        <w:rPr>
          <w:rFonts w:cstheme="minorHAnsi"/>
          <w:bCs/>
          <w:color w:val="FF0000"/>
        </w:rPr>
        <w:t xml:space="preserve">and </w:t>
      </w:r>
      <w:r w:rsidR="00DD37BC" w:rsidRPr="008E3DAC">
        <w:rPr>
          <w:rFonts w:cstheme="minorHAnsi"/>
          <w:b/>
          <w:bCs/>
          <w:color w:val="FF0000"/>
        </w:rPr>
        <w:t>2015 Data</w:t>
      </w:r>
    </w:p>
    <w:p w14:paraId="5A72695E"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p>
    <w:p w14:paraId="3F0DAF36"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t xml:space="preserve">Dataset 4: </w:t>
      </w:r>
      <w:r w:rsidRPr="008E3DAC">
        <w:rPr>
          <w:rFonts w:cstheme="minorHAnsi"/>
          <w:bCs/>
          <w:color w:val="FF0000"/>
        </w:rPr>
        <w:t xml:space="preserve">The </w:t>
      </w:r>
      <w:r w:rsidRPr="008E3DAC">
        <w:rPr>
          <w:rFonts w:cstheme="minorHAnsi"/>
          <w:b/>
          <w:bCs/>
          <w:color w:val="FF0000"/>
        </w:rPr>
        <w:t>2013 Data</w:t>
      </w:r>
      <w:r w:rsidRPr="008E3DAC">
        <w:rPr>
          <w:rFonts w:cstheme="minorHAnsi"/>
          <w:bCs/>
          <w:color w:val="FF0000"/>
        </w:rPr>
        <w:t xml:space="preserve"> includes Medicare Part A and Part B claims for the 2013 assigned/aligned SSP and Pioneer beneficiaries (reported in 2014) </w:t>
      </w:r>
    </w:p>
    <w:p w14:paraId="0B078E6D"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r w:rsidRPr="008E3DAC">
        <w:rPr>
          <w:rFonts w:cstheme="minorHAnsi"/>
          <w:b/>
          <w:bCs/>
          <w:color w:val="FF0000"/>
        </w:rPr>
        <w:t xml:space="preserve">2013 Data: </w:t>
      </w:r>
      <w:r w:rsidRPr="008E3DAC">
        <w:rPr>
          <w:rFonts w:cstheme="minorHAnsi"/>
          <w:bCs/>
          <w:color w:val="FF0000"/>
        </w:rPr>
        <w:t>243 ACOs</w:t>
      </w:r>
    </w:p>
    <w:p w14:paraId="3BEF9CFA"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Dates of data: Jan 1, 2013- Dec 31, 2013</w:t>
      </w:r>
    </w:p>
    <w:p w14:paraId="7265F131"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Index admissions: 915,855</w:t>
      </w:r>
    </w:p>
    <w:p w14:paraId="4BE2E4DA" w14:textId="77777777" w:rsidR="002C3C0B" w:rsidRPr="008E3DAC" w:rsidRDefault="002C3C0B" w:rsidP="002C3C0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Average age of patients: 78.80</w:t>
      </w:r>
    </w:p>
    <w:p w14:paraId="508E30E4" w14:textId="469A5CE2" w:rsidR="00332AA0"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
          <w:bCs/>
          <w:color w:val="FF0000"/>
        </w:rPr>
      </w:pPr>
    </w:p>
    <w:p w14:paraId="2AEA19AD" w14:textId="130A027D" w:rsidR="00332AA0"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u w:val="single"/>
        </w:rPr>
      </w:pPr>
      <w:r w:rsidRPr="008E3DAC">
        <w:rPr>
          <w:rFonts w:cstheme="minorHAnsi"/>
          <w:bCs/>
          <w:color w:val="FF0000"/>
          <w:u w:val="single"/>
        </w:rPr>
        <w:t xml:space="preserve">For testing of </w:t>
      </w:r>
      <w:r w:rsidR="00605AED" w:rsidRPr="008E3DAC">
        <w:rPr>
          <w:rFonts w:cstheme="minorHAnsi"/>
          <w:bCs/>
          <w:color w:val="FF0000"/>
          <w:u w:val="single"/>
        </w:rPr>
        <w:t>socioeconomic</w:t>
      </w:r>
      <w:r w:rsidRPr="008E3DAC">
        <w:rPr>
          <w:rFonts w:cstheme="minorHAnsi"/>
          <w:bCs/>
          <w:color w:val="FF0000"/>
          <w:u w:val="single"/>
        </w:rPr>
        <w:t xml:space="preserve"> status factors</w:t>
      </w:r>
      <w:r w:rsidR="004E7E10" w:rsidRPr="008E3DAC">
        <w:rPr>
          <w:rFonts w:cstheme="minorHAnsi"/>
          <w:bCs/>
          <w:color w:val="FF0000"/>
          <w:u w:val="single"/>
        </w:rPr>
        <w:t>,</w:t>
      </w:r>
      <w:r w:rsidRPr="008E3DAC">
        <w:rPr>
          <w:rFonts w:cstheme="minorHAnsi"/>
          <w:bCs/>
          <w:color w:val="FF0000"/>
          <w:u w:val="single"/>
        </w:rPr>
        <w:t xml:space="preserve"> </w:t>
      </w:r>
      <w:r w:rsidR="004E7E10" w:rsidRPr="008E3DAC">
        <w:rPr>
          <w:rFonts w:cstheme="minorHAnsi"/>
          <w:bCs/>
          <w:color w:val="FF0000"/>
          <w:u w:val="single"/>
        </w:rPr>
        <w:t xml:space="preserve">including </w:t>
      </w:r>
      <w:r w:rsidRPr="008E3DAC">
        <w:rPr>
          <w:rFonts w:cstheme="minorHAnsi"/>
          <w:bCs/>
          <w:color w:val="FF0000"/>
          <w:u w:val="single"/>
        </w:rPr>
        <w:t>dual eligibility</w:t>
      </w:r>
      <w:r w:rsidR="004E7E10" w:rsidRPr="008E3DAC">
        <w:rPr>
          <w:rFonts w:cstheme="minorHAnsi"/>
          <w:bCs/>
          <w:color w:val="FF0000"/>
          <w:u w:val="single"/>
        </w:rPr>
        <w:t>,</w:t>
      </w:r>
      <w:r w:rsidRPr="008E3DAC">
        <w:rPr>
          <w:rFonts w:cstheme="minorHAnsi"/>
          <w:bCs/>
          <w:color w:val="FF0000"/>
          <w:u w:val="single"/>
        </w:rPr>
        <w:t xml:space="preserve"> in risk models </w:t>
      </w:r>
      <w:r w:rsidR="00624CEB" w:rsidRPr="008E3DAC">
        <w:rPr>
          <w:rFonts w:cstheme="minorHAnsi"/>
          <w:bCs/>
          <w:color w:val="FF0000"/>
          <w:u w:val="single"/>
        </w:rPr>
        <w:t xml:space="preserve"> (Section 2b4.3)</w:t>
      </w:r>
    </w:p>
    <w:p w14:paraId="08BE1DAF" w14:textId="69AB9B0F" w:rsidR="00332AA0" w:rsidRPr="008E3DAC" w:rsidRDefault="00485C54"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
          <w:bCs/>
          <w:color w:val="FF0000"/>
        </w:rPr>
        <w:lastRenderedPageBreak/>
        <w:t xml:space="preserve">Dataset 6 and Dataset 7: </w:t>
      </w:r>
      <w:r w:rsidR="00624CEB" w:rsidRPr="008E3DAC">
        <w:rPr>
          <w:rFonts w:cstheme="minorHAnsi"/>
          <w:bCs/>
          <w:color w:val="FF0000"/>
        </w:rPr>
        <w:t>T</w:t>
      </w:r>
      <w:r w:rsidR="00332AA0" w:rsidRPr="008E3DAC">
        <w:rPr>
          <w:rFonts w:cstheme="minorHAnsi"/>
          <w:bCs/>
          <w:color w:val="FF0000"/>
        </w:rPr>
        <w:t xml:space="preserve">he </w:t>
      </w:r>
      <w:r w:rsidR="00624CEB" w:rsidRPr="008E3DAC">
        <w:rPr>
          <w:rFonts w:cstheme="minorHAnsi"/>
          <w:bCs/>
          <w:color w:val="FF0000"/>
        </w:rPr>
        <w:t>American Community Survey (2010-2014)</w:t>
      </w:r>
      <w:r w:rsidRPr="008E3DAC">
        <w:rPr>
          <w:rFonts w:cstheme="minorHAnsi"/>
          <w:bCs/>
          <w:color w:val="FF0000"/>
        </w:rPr>
        <w:t xml:space="preserve"> (</w:t>
      </w:r>
      <w:r w:rsidRPr="008E3DAC">
        <w:rPr>
          <w:rFonts w:cstheme="minorHAnsi"/>
          <w:b/>
          <w:bCs/>
          <w:color w:val="FF0000"/>
        </w:rPr>
        <w:t>2015 Data</w:t>
      </w:r>
      <w:r w:rsidRPr="008E3DAC">
        <w:rPr>
          <w:rFonts w:cstheme="minorHAnsi"/>
          <w:bCs/>
          <w:color w:val="FF0000"/>
        </w:rPr>
        <w:t xml:space="preserve"> and </w:t>
      </w:r>
      <w:r w:rsidRPr="008E3DAC">
        <w:rPr>
          <w:rFonts w:cstheme="minorHAnsi"/>
          <w:b/>
          <w:bCs/>
          <w:color w:val="FF0000"/>
        </w:rPr>
        <w:t>SES Dataset)</w:t>
      </w:r>
      <w:r w:rsidRPr="008E3DAC">
        <w:rPr>
          <w:rFonts w:cstheme="minorHAnsi"/>
          <w:bCs/>
          <w:color w:val="FF0000"/>
        </w:rPr>
        <w:t xml:space="preserve"> </w:t>
      </w:r>
    </w:p>
    <w:p w14:paraId="09B5CC10" w14:textId="08BBAAC8" w:rsidR="00332AA0" w:rsidRPr="008E3DAC" w:rsidRDefault="00332AA0" w:rsidP="0012205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p>
    <w:p w14:paraId="6428F16E" w14:textId="556200E8" w:rsidR="00773896" w:rsidRPr="008E3DAC" w:rsidRDefault="00624CEB" w:rsidP="00773896">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cstheme="minorHAnsi"/>
          <w:bCs/>
          <w:color w:val="FF0000"/>
        </w:rPr>
      </w:pPr>
      <w:r w:rsidRPr="008E3DAC">
        <w:rPr>
          <w:rFonts w:cstheme="minorHAnsi"/>
          <w:bCs/>
          <w:color w:val="FF0000"/>
        </w:rPr>
        <w:t>We examined disparities in performance based on the proportion of patients in each ACO who were dual-eligible for both Medicare and Medicaid programs. We also examined the association between performance and socioeconomic status, measured by the AHRQ SES index score.</w:t>
      </w:r>
    </w:p>
    <w:p w14:paraId="79459C4D" w14:textId="77777777" w:rsidR="001E63F4" w:rsidRDefault="001E63F4" w:rsidP="00773896">
      <w:pPr>
        <w:autoSpaceDE w:val="0"/>
        <w:autoSpaceDN w:val="0"/>
        <w:adjustRightInd w:val="0"/>
        <w:spacing w:after="0" w:line="240" w:lineRule="auto"/>
        <w:rPr>
          <w:rFonts w:cstheme="minorHAnsi"/>
          <w:b/>
          <w:bCs/>
          <w:highlight w:val="green"/>
        </w:rPr>
      </w:pPr>
    </w:p>
    <w:p w14:paraId="70599434" w14:textId="2065B7B7" w:rsidR="00773896" w:rsidRDefault="00773896" w:rsidP="00773896">
      <w:pPr>
        <w:autoSpaceDE w:val="0"/>
        <w:autoSpaceDN w:val="0"/>
        <w:adjustRightInd w:val="0"/>
        <w:spacing w:after="0" w:line="240" w:lineRule="auto"/>
        <w:rPr>
          <w:rFonts w:cstheme="minorHAnsi"/>
          <w:bCs/>
        </w:rPr>
      </w:pPr>
      <w:r w:rsidRPr="002A6580">
        <w:rPr>
          <w:rFonts w:cstheme="minorHAnsi"/>
          <w:b/>
          <w:bCs/>
        </w:rPr>
        <w:t>1.8 What were the patient-level sociodemographic (SDS) variables that were available and analyzed in the data or sample used?</w:t>
      </w:r>
      <w:r w:rsidRPr="00A23C93">
        <w:rPr>
          <w:rFonts w:cstheme="minorHAnsi"/>
          <w:b/>
          <w:bCs/>
        </w:rPr>
        <w:t xml:space="preserve"> </w:t>
      </w:r>
      <w:r>
        <w:rPr>
          <w:rFonts w:cstheme="minorHAnsi"/>
          <w:bCs/>
        </w:rPr>
        <w:t xml:space="preserve">For example, patient-reported data (e.g., income, education, language), proxy variables when SDS data are not collected from each patient (e.g. census tract), or patient community characteristics (e.g. percent vacant housing, crime rate). </w:t>
      </w:r>
    </w:p>
    <w:p w14:paraId="379782E1" w14:textId="77777777" w:rsidR="00773896" w:rsidRDefault="00773896" w:rsidP="00773896">
      <w:pPr>
        <w:autoSpaceDE w:val="0"/>
        <w:autoSpaceDN w:val="0"/>
        <w:adjustRightInd w:val="0"/>
        <w:spacing w:after="0" w:line="240" w:lineRule="auto"/>
        <w:rPr>
          <w:rFonts w:cstheme="minorHAnsi"/>
          <w:bCs/>
        </w:rPr>
      </w:pPr>
    </w:p>
    <w:p w14:paraId="4A84D278" w14:textId="6EABBA58"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D423F2">
        <w:t>Sociodemographic status incorporates socioeconomic variables as well as race into a more concise term. However, given the fact that socioeconomic risk factors are distinct from race and should be interpreted differently, we have decided to keep “socioeconomic status</w:t>
      </w:r>
      <w:r>
        <w:t xml:space="preserve"> (SES)</w:t>
      </w:r>
      <w:r w:rsidR="00AF690D">
        <w:t>”</w:t>
      </w:r>
      <w:r>
        <w:t xml:space="preserve"> </w:t>
      </w:r>
      <w:r w:rsidRPr="00D423F2">
        <w:t>and “race” as separate terms</w:t>
      </w:r>
      <w:r>
        <w:t>.</w:t>
      </w:r>
    </w:p>
    <w:p w14:paraId="648B328A"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B1EB605" w14:textId="0F35CAF3"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8D2BD7">
        <w:t>We selected S</w:t>
      </w:r>
      <w:r>
        <w:t>E</w:t>
      </w:r>
      <w:r w:rsidRPr="008D2BD7">
        <w:t xml:space="preserve">S </w:t>
      </w:r>
      <w:r>
        <w:t xml:space="preserve">and race </w:t>
      </w:r>
      <w:r w:rsidRPr="008D2BD7">
        <w:t xml:space="preserve">variables to analyze after reviewing the literature and examining available national data sources. There is a large body of literature linking various </w:t>
      </w:r>
      <w:r>
        <w:t>SE</w:t>
      </w:r>
      <w:r w:rsidRPr="008D2BD7">
        <w:t xml:space="preserve">S factors </w:t>
      </w:r>
      <w:r>
        <w:t>and African</w:t>
      </w:r>
      <w:r w:rsidR="002B1E55">
        <w:t xml:space="preserve"> </w:t>
      </w:r>
      <w:r>
        <w:t>American race</w:t>
      </w:r>
      <w:r w:rsidRPr="008D2BD7" w:rsidDel="007517AD">
        <w:t xml:space="preserve"> </w:t>
      </w:r>
      <w:r w:rsidRPr="008D2BD7">
        <w:t>to worse health status and h</w:t>
      </w:r>
      <w:r>
        <w:t>igher readmission risk (Blum AB et al., 2014; Eapen ZJ et al. 2015; Gilman M et al., 2014; Hu J et al., 2014; Joynt KE and Jha AK, 2013).</w:t>
      </w:r>
      <w:r w:rsidRPr="008D2BD7">
        <w:t xml:space="preserve"> Income, education, and occupational level are the most commonly examined variables. However, </w:t>
      </w:r>
      <w:r>
        <w:t xml:space="preserve">while </w:t>
      </w:r>
      <w:r w:rsidRPr="008D2BD7">
        <w:t xml:space="preserve">literature directly examining how different </w:t>
      </w:r>
      <w:r>
        <w:t>SE</w:t>
      </w:r>
      <w:r w:rsidRPr="008D2BD7">
        <w:t>S factors</w:t>
      </w:r>
      <w:r>
        <w:t xml:space="preserve"> or race</w:t>
      </w:r>
      <w:r w:rsidRPr="008D2BD7">
        <w:t xml:space="preserve"> might influence the likelihood of older, insured, Medicare patients of </w:t>
      </w:r>
      <w:r>
        <w:t>being readmitted</w:t>
      </w:r>
      <w:r w:rsidRPr="008D2BD7">
        <w:t xml:space="preserve"> within 30 days of an admission </w:t>
      </w:r>
      <w:r>
        <w:t>across multiple conditions</w:t>
      </w:r>
      <w:r w:rsidRPr="008D2BD7">
        <w:t xml:space="preserve"> is more limited</w:t>
      </w:r>
      <w:r>
        <w:t xml:space="preserve">, available studies suggest a consistent association between SES/race variables and risk of readmission </w:t>
      </w:r>
      <w:r w:rsidRPr="0018169F">
        <w:t xml:space="preserve">(Aseltine </w:t>
      </w:r>
      <w:r>
        <w:t xml:space="preserve">RH </w:t>
      </w:r>
      <w:r w:rsidRPr="0018169F">
        <w:t>et al., 2015; Gu</w:t>
      </w:r>
      <w:r>
        <w:t xml:space="preserve"> Q</w:t>
      </w:r>
      <w:r w:rsidRPr="0018169F">
        <w:t xml:space="preserve"> et al., 2014; Arbaje </w:t>
      </w:r>
      <w:r>
        <w:t xml:space="preserve">AI </w:t>
      </w:r>
      <w:r w:rsidRPr="0018169F">
        <w:t>et al., 2008)</w:t>
      </w:r>
      <w:r>
        <w:t xml:space="preserve">. </w:t>
      </w:r>
      <w:r w:rsidRPr="008D4580">
        <w:t xml:space="preserve">The </w:t>
      </w:r>
      <w:r w:rsidRPr="008D4580">
        <w:rPr>
          <w:rFonts w:cstheme="minorHAnsi"/>
          <w:bCs/>
        </w:rPr>
        <w:t xml:space="preserve">causal pathways for </w:t>
      </w:r>
      <w:r>
        <w:rPr>
          <w:rFonts w:cstheme="minorHAnsi"/>
          <w:bCs/>
        </w:rPr>
        <w:t>SES</w:t>
      </w:r>
      <w:r w:rsidRPr="007F50C5">
        <w:rPr>
          <w:rFonts w:cstheme="minorHAnsi"/>
          <w:bCs/>
        </w:rPr>
        <w:t xml:space="preserve"> a</w:t>
      </w:r>
      <w:r w:rsidRPr="008D4580">
        <w:rPr>
          <w:rFonts w:cstheme="minorHAnsi"/>
          <w:bCs/>
        </w:rPr>
        <w:t>nd race v</w:t>
      </w:r>
      <w:r w:rsidRPr="007F50C5">
        <w:rPr>
          <w:rFonts w:cstheme="minorHAnsi"/>
          <w:bCs/>
        </w:rPr>
        <w:t xml:space="preserve">ariable </w:t>
      </w:r>
      <w:r w:rsidRPr="008D4580">
        <w:rPr>
          <w:rFonts w:cstheme="minorHAnsi"/>
          <w:bCs/>
        </w:rPr>
        <w:t>s</w:t>
      </w:r>
      <w:r w:rsidRPr="007F50C5">
        <w:rPr>
          <w:rFonts w:cstheme="minorHAnsi"/>
          <w:bCs/>
        </w:rPr>
        <w:t>election</w:t>
      </w:r>
      <w:r>
        <w:rPr>
          <w:rFonts w:cstheme="minorHAnsi"/>
          <w:bCs/>
        </w:rPr>
        <w:t xml:space="preserve"> are described below in Section 2b4.3.</w:t>
      </w:r>
    </w:p>
    <w:p w14:paraId="7439A824"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2F47479" w14:textId="05055EF3" w:rsidR="00773896"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rFonts w:cstheme="minorHAnsi"/>
          <w:bCs/>
        </w:rPr>
        <w:t xml:space="preserve">For the </w:t>
      </w:r>
      <w:r w:rsidR="00BE2FAF">
        <w:rPr>
          <w:rFonts w:cstheme="minorHAnsi"/>
          <w:bCs/>
        </w:rPr>
        <w:t>HWR</w:t>
      </w:r>
      <w:r w:rsidR="002B1E55">
        <w:rPr>
          <w:rFonts w:cstheme="minorHAnsi"/>
          <w:bCs/>
        </w:rPr>
        <w:t xml:space="preserve"> measure</w:t>
      </w:r>
      <w:r>
        <w:rPr>
          <w:rFonts w:cstheme="minorHAnsi"/>
          <w:bCs/>
        </w:rPr>
        <w:t>, t</w:t>
      </w:r>
      <w:r w:rsidR="00773896">
        <w:rPr>
          <w:rFonts w:cstheme="minorHAnsi"/>
          <w:bCs/>
        </w:rPr>
        <w:t>he SES and race variables used for analysis were:</w:t>
      </w:r>
    </w:p>
    <w:p w14:paraId="5725287D" w14:textId="77777777" w:rsidR="00773896" w:rsidRDefault="00773896" w:rsidP="00773896">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Dual eligible status (</w:t>
      </w:r>
      <w:r w:rsidRPr="00C86038">
        <w:rPr>
          <w:b/>
        </w:rPr>
        <w:t xml:space="preserve">Dataset </w:t>
      </w:r>
      <w:r>
        <w:rPr>
          <w:b/>
        </w:rPr>
        <w:t>1</w:t>
      </w:r>
      <w:r>
        <w:t>)</w:t>
      </w:r>
    </w:p>
    <w:p w14:paraId="478F17C7" w14:textId="77777777" w:rsidR="00773896" w:rsidRDefault="00773896" w:rsidP="00773896">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African-American race (</w:t>
      </w:r>
      <w:r w:rsidRPr="00C86038">
        <w:rPr>
          <w:b/>
        </w:rPr>
        <w:t xml:space="preserve">Dataset </w:t>
      </w:r>
      <w:r>
        <w:rPr>
          <w:b/>
        </w:rPr>
        <w:t>1</w:t>
      </w:r>
      <w:r>
        <w:t>)</w:t>
      </w:r>
    </w:p>
    <w:p w14:paraId="57901B5D" w14:textId="77777777" w:rsidR="00773896" w:rsidRDefault="00773896" w:rsidP="00773896">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FC1AE9">
        <w:rPr>
          <w:rFonts w:cstheme="minorHAnsi"/>
          <w:bCs/>
        </w:rPr>
        <w:t>AHRQ-validated SES index score</w:t>
      </w:r>
      <w:r w:rsidRPr="00FC1AE9">
        <w:t xml:space="preserve"> (</w:t>
      </w:r>
      <w:r w:rsidRPr="007F50C5">
        <w:rPr>
          <w:rFonts w:cs="Times New Roman"/>
          <w:color w:val="191919"/>
          <w:shd w:val="clear" w:color="auto" w:fill="FFFFFF"/>
        </w:rPr>
        <w:t>percentage of people in the labor force who are unemployed, percentage of people living below poverty level, median household income, median value of owner-occupied dwellings, percentage of people ≥25 years of age with less than a 12th-grade education, percentage of people ≥25 years of age completing ≥4 years of college, and percentage of households that avera</w:t>
      </w:r>
      <w:r w:rsidRPr="00FC1AE9">
        <w:rPr>
          <w:rFonts w:cs="Times New Roman"/>
          <w:color w:val="191919"/>
          <w:shd w:val="clear" w:color="auto" w:fill="FFFFFF"/>
        </w:rPr>
        <w:t>ge ≥1 people per room)</w:t>
      </w:r>
      <w:r>
        <w:t xml:space="preserve"> (</w:t>
      </w:r>
      <w:r w:rsidRPr="00191342">
        <w:rPr>
          <w:b/>
        </w:rPr>
        <w:t>Dataset 3</w:t>
      </w:r>
      <w:r>
        <w:t>)</w:t>
      </w:r>
    </w:p>
    <w:p w14:paraId="4E76921B" w14:textId="14ADD379"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7D5CC1FD" w14:textId="163A5F6E" w:rsidR="00BA657F" w:rsidRPr="00A329B7"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A329B7">
        <w:rPr>
          <w:rFonts w:cstheme="minorHAnsi"/>
          <w:bCs/>
          <w:color w:val="FF0000"/>
        </w:rPr>
        <w:t>For the ACR measure, the SES variables used for analysis were:</w:t>
      </w:r>
    </w:p>
    <w:p w14:paraId="6A8B04B6" w14:textId="0D1EF52D" w:rsidR="00BA657F" w:rsidRPr="00A329B7" w:rsidRDefault="00BA657F" w:rsidP="00BA657F">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color w:val="FF0000"/>
        </w:rPr>
      </w:pPr>
      <w:r w:rsidRPr="00A329B7">
        <w:rPr>
          <w:color w:val="FF0000"/>
        </w:rPr>
        <w:t>Dual</w:t>
      </w:r>
      <w:r w:rsidR="005F3BBA">
        <w:rPr>
          <w:color w:val="FF0000"/>
        </w:rPr>
        <w:t>-</w:t>
      </w:r>
      <w:r w:rsidRPr="00A329B7">
        <w:rPr>
          <w:color w:val="FF0000"/>
        </w:rPr>
        <w:t>eligible status (</w:t>
      </w:r>
      <w:r w:rsidRPr="00A329B7">
        <w:rPr>
          <w:b/>
          <w:color w:val="FF0000"/>
        </w:rPr>
        <w:t xml:space="preserve">Dataset </w:t>
      </w:r>
      <w:r w:rsidR="004B0129" w:rsidRPr="00A329B7">
        <w:rPr>
          <w:b/>
          <w:color w:val="FF0000"/>
        </w:rPr>
        <w:t>6</w:t>
      </w:r>
      <w:r w:rsidRPr="00A329B7">
        <w:rPr>
          <w:color w:val="FF0000"/>
        </w:rPr>
        <w:t>)</w:t>
      </w:r>
    </w:p>
    <w:p w14:paraId="38162F03" w14:textId="292BC9E2" w:rsidR="00BA657F" w:rsidRPr="00A329B7" w:rsidRDefault="00BA657F" w:rsidP="00BA657F">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color w:val="FF0000"/>
        </w:rPr>
      </w:pPr>
      <w:r w:rsidRPr="00A329B7">
        <w:rPr>
          <w:rFonts w:cstheme="minorHAnsi"/>
          <w:bCs/>
          <w:color w:val="FF0000"/>
        </w:rPr>
        <w:t>AHRQ-validated SES index score</w:t>
      </w:r>
      <w:r w:rsidRPr="00A329B7">
        <w:rPr>
          <w:color w:val="FF0000"/>
        </w:rPr>
        <w:t xml:space="preserve"> (</w:t>
      </w:r>
      <w:r w:rsidRPr="00A329B7">
        <w:rPr>
          <w:rFonts w:cs="Times New Roman"/>
          <w:color w:val="FF0000"/>
          <w:shd w:val="clear" w:color="auto" w:fill="FFFFFF"/>
        </w:rPr>
        <w:t>percentage of people in the labor force who are unemployed, percentage of people living below poverty level, median household income, median value of owner-occupied dwellings, percentage of people ≥25 years of age with less than a 12th-grade education, percentage of people ≥25 years of age completing ≥4 years of college, and percentage of households that average ≥1 people per room)</w:t>
      </w:r>
      <w:r w:rsidRPr="00A329B7">
        <w:rPr>
          <w:color w:val="FF0000"/>
        </w:rPr>
        <w:t xml:space="preserve"> (</w:t>
      </w:r>
      <w:r w:rsidRPr="00A329B7">
        <w:rPr>
          <w:b/>
          <w:color w:val="FF0000"/>
        </w:rPr>
        <w:t xml:space="preserve">Dataset </w:t>
      </w:r>
      <w:r w:rsidR="004B0129" w:rsidRPr="00A329B7">
        <w:rPr>
          <w:b/>
          <w:color w:val="FF0000"/>
        </w:rPr>
        <w:t>7</w:t>
      </w:r>
      <w:r w:rsidRPr="00A329B7">
        <w:rPr>
          <w:color w:val="FF0000"/>
        </w:rPr>
        <w:t>)</w:t>
      </w:r>
    </w:p>
    <w:p w14:paraId="6B96874C" w14:textId="77777777" w:rsidR="00BA657F"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5CFEF0D" w14:textId="1EB71BDD"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AD1539">
        <w:rPr>
          <w:rFonts w:cstheme="minorHAnsi"/>
          <w:bCs/>
        </w:rPr>
        <w:t>In selecting variables, our intent was to be responsive to the NQF guidelines for measure developers in the context of the SDS Trial Period. Our approach has been to examine all patient-level indicators of both SES and race/ethnicity that are reliably available for all Medicare beneficiaries and linkable to claims data and select</w:t>
      </w:r>
      <w:r w:rsidR="004D23E5">
        <w:rPr>
          <w:rFonts w:cstheme="minorHAnsi"/>
          <w:bCs/>
        </w:rPr>
        <w:t>ed</w:t>
      </w:r>
      <w:r w:rsidRPr="00AD1539">
        <w:rPr>
          <w:rFonts w:cstheme="minorHAnsi"/>
          <w:bCs/>
        </w:rPr>
        <w:t xml:space="preserve"> those that are most valid. </w:t>
      </w:r>
    </w:p>
    <w:p w14:paraId="05128604" w14:textId="77777777" w:rsidR="00773896" w:rsidRPr="00AD1539"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2ABF516" w14:textId="207C772D"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AD1539">
        <w:rPr>
          <w:rFonts w:cstheme="minorHAnsi"/>
          <w:bCs/>
        </w:rPr>
        <w:t>Previous studies examining the validity of data on patients' race and ethnicity collected by CMS have shown that only the data identifying African</w:t>
      </w:r>
      <w:r w:rsidR="004D23E5">
        <w:rPr>
          <w:rFonts w:cstheme="minorHAnsi"/>
          <w:bCs/>
        </w:rPr>
        <w:t xml:space="preserve"> </w:t>
      </w:r>
      <w:r w:rsidRPr="00AD1539">
        <w:rPr>
          <w:rFonts w:cstheme="minorHAnsi"/>
          <w:bCs/>
        </w:rPr>
        <w:t>American beneficiaries have adequate sensitivity and specificity to be applied broadly in research or measures of quality. While using this variable is not ideal because it groups all non-African</w:t>
      </w:r>
      <w:r w:rsidR="004D23E5">
        <w:rPr>
          <w:rFonts w:cstheme="minorHAnsi"/>
          <w:bCs/>
        </w:rPr>
        <w:t xml:space="preserve"> </w:t>
      </w:r>
      <w:r w:rsidRPr="00AD1539">
        <w:rPr>
          <w:rFonts w:cstheme="minorHAnsi"/>
          <w:bCs/>
        </w:rPr>
        <w:t xml:space="preserve">American beneficiaries together, it is currently the only race variable available on all beneficiaries across the nation that is linkable to claims data. </w:t>
      </w:r>
    </w:p>
    <w:p w14:paraId="09E61839" w14:textId="77777777" w:rsidR="00773896" w:rsidRPr="00AD1539"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B3C0445" w14:textId="78C50F26"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AD1539">
        <w:rPr>
          <w:rFonts w:cstheme="minorHAnsi"/>
          <w:bCs/>
        </w:rPr>
        <w:t xml:space="preserve">We similarly recognize that Medicare-Medicaid dual eligibility has limitations as a proxy for patients' income or assets because it does not provide a range of results and is only a dichotomous outcome. However, the threshold for over 65-year-old Medicare patients is valuable as it takes into account both income and assets </w:t>
      </w:r>
      <w:r w:rsidR="00C3746E">
        <w:rPr>
          <w:rFonts w:cstheme="minorHAnsi"/>
          <w:bCs/>
        </w:rPr>
        <w:t>which</w:t>
      </w:r>
      <w:r w:rsidR="004D23E5" w:rsidRPr="00AD1539">
        <w:rPr>
          <w:rFonts w:cstheme="minorHAnsi"/>
          <w:bCs/>
        </w:rPr>
        <w:t xml:space="preserve"> </w:t>
      </w:r>
      <w:r w:rsidRPr="00AD1539">
        <w:rPr>
          <w:rFonts w:cstheme="minorHAnsi"/>
          <w:bCs/>
        </w:rPr>
        <w:t xml:space="preserve">is consistently applied across states. For both our race and the dual-eligible variables, there is a body of literature demonstrating differential health care and health outcomes among beneficiaries indicating that these variables, allow us to examine some of the pathways of interest. </w:t>
      </w:r>
    </w:p>
    <w:p w14:paraId="287CA26F" w14:textId="77777777" w:rsidR="00773896" w:rsidRPr="00AD1539"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2BFE096" w14:textId="7F891BA8"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AD1539">
        <w:rPr>
          <w:rFonts w:cstheme="minorHAnsi"/>
          <w:bCs/>
        </w:rPr>
        <w:t>Finally, we selected the AHRQ-validated SES index score because it is a well-validated and widely-used variable that describes the average socioeconomic status of people living in defined geographic areas. Its value as a proxy for patient-level information is dependent on having the most granular level data with respect to communities that patients live in. Currently, the individual data elements used to calculate the score are available at the 5</w:t>
      </w:r>
      <w:r w:rsidR="00332075">
        <w:rPr>
          <w:rFonts w:cstheme="minorHAnsi"/>
          <w:bCs/>
        </w:rPr>
        <w:t>-digit zip code</w:t>
      </w:r>
      <w:r w:rsidR="0000736B">
        <w:rPr>
          <w:rFonts w:cstheme="minorHAnsi"/>
          <w:bCs/>
        </w:rPr>
        <w:t xml:space="preserve"> level</w:t>
      </w:r>
      <w:r w:rsidRPr="00AD1539">
        <w:rPr>
          <w:rFonts w:cstheme="minorHAnsi"/>
          <w:bCs/>
        </w:rPr>
        <w:t xml:space="preserve">. The data are not currently available at the 9-digit zip code level. </w:t>
      </w:r>
    </w:p>
    <w:p w14:paraId="45B55AA6"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5FD35D70"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100" w:afterAutospacing="1" w:line="240" w:lineRule="auto"/>
        <w:rPr>
          <w:u w:val="single"/>
        </w:rPr>
      </w:pPr>
      <w:r w:rsidRPr="00343EE6">
        <w:rPr>
          <w:u w:val="single"/>
        </w:rPr>
        <w:t>References:</w:t>
      </w:r>
    </w:p>
    <w:p w14:paraId="4AB48500" w14:textId="77777777" w:rsidR="00773896" w:rsidRPr="00257F8F"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100" w:afterAutospacing="1" w:line="240" w:lineRule="auto"/>
      </w:pPr>
      <w:r w:rsidRPr="00257F8F">
        <w:t>Arbaje AI, Wolff JL, Yu Q, Powe NR, Anderson GF, Boult C. Post discharge environmental and socioeconomic factors and the likelihood of early hospital readmission among community-dwelling Medicare beneficiaries. The Gerontologist. 2008;48(4):495-504.</w:t>
      </w:r>
    </w:p>
    <w:p w14:paraId="0A5F3FBF" w14:textId="77777777" w:rsidR="00773896" w:rsidRPr="00257F8F"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100" w:afterAutospacing="1" w:line="240" w:lineRule="auto"/>
      </w:pPr>
      <w:r w:rsidRPr="00257F8F">
        <w:t>Aseltine RH, Jr., Yan J, Gruss CB, Wagner C, Katz M. Connecticut Hospital Readmissions Related to Chest Pain and Heart Failure: Differences by Race, Ethnicity, and Payer. Connecticut medicine. 2015;79(2):69-76.</w:t>
      </w:r>
    </w:p>
    <w:p w14:paraId="031D47B3"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pPr>
      <w:r>
        <w:t>Blum AB, Egorova NN, Sosunov EA, et al. Impact of socioeconomic status measures on hospital profiling in New York City. Circulation. Cardiovascular quality and outcomes. May 2014; 7(3):391-397.</w:t>
      </w:r>
    </w:p>
    <w:p w14:paraId="1554522E"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pPr>
      <w:r>
        <w:t>Eapen ZJ, McCoy LA, Fonarow GC, Yancy CW, Miranda ML, Peterson ED, Califf RM, HernandezAF. Utility of socioeconomic status in predicting 30-day outcomes after heart failure hospitalization. Circ Heart Fail. May 2015; 8(3):473-80.</w:t>
      </w:r>
    </w:p>
    <w:p w14:paraId="5EE1725F"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pPr>
      <w:r>
        <w:t>Gilman M, Adams EK, Hockenberry JM, Wilson IB, Milstein AS, Becker ER. California safety-net hospitals likely to be penalized by ACA value, readmission, and meaningful-use programs. Health Aff (Millwood). Aug 2014; 33(8):1314-22.</w:t>
      </w:r>
    </w:p>
    <w:p w14:paraId="09ED982E"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pPr>
      <w:r w:rsidRPr="00BD3DC9">
        <w:t>Gu Q, Koenig L, Faerberg J, Steinberg CR, Vaz C, Wheatley MP. The Medicare Hospital Readmissions Reduction Program: potential unintended consequences for hospitals serving vulnerable populations. Health services research. 2014;49(3):818-837.</w:t>
      </w:r>
    </w:p>
    <w:p w14:paraId="7AF3E53D"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pPr>
      <w:r w:rsidRPr="00E62C27">
        <w:t>Hu J, Gonsahn MD, Nerenz DR. Socioeconomic status and readmissions: evidence from an urban teaching hospital. Health affairs (Project Hope). 2014;</w:t>
      </w:r>
      <w:r>
        <w:t xml:space="preserve"> </w:t>
      </w:r>
      <w:r w:rsidRPr="00E62C27">
        <w:t>33(5):778-785.</w:t>
      </w:r>
    </w:p>
    <w:p w14:paraId="79AE4EC4" w14:textId="77777777"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40" w:lineRule="auto"/>
      </w:pPr>
      <w:r w:rsidRPr="00E62C27">
        <w:lastRenderedPageBreak/>
        <w:t>Joynt KE, Jha AK. Characteristics of hospitals receiving penalties under the Hospital Readmissions Reduction Program.</w:t>
      </w:r>
      <w:r w:rsidRPr="00D52577">
        <w:t xml:space="preserve"> </w:t>
      </w:r>
      <w:r w:rsidRPr="00E62C27">
        <w:t>JAMA. Jan 23</w:t>
      </w:r>
      <w:r>
        <w:t xml:space="preserve"> </w:t>
      </w:r>
      <w:r w:rsidRPr="00E62C27">
        <w:t>2013;</w:t>
      </w:r>
      <w:r>
        <w:t xml:space="preserve"> </w:t>
      </w:r>
      <w:r w:rsidRPr="00E62C27">
        <w:t>309(4):342-3.</w:t>
      </w:r>
    </w:p>
    <w:p w14:paraId="5E5FFC7E" w14:textId="4372CCAB" w:rsidR="00773896" w:rsidRPr="00773896" w:rsidRDefault="00483E94" w:rsidP="00DB3627">
      <w:pPr>
        <w:autoSpaceDE w:val="0"/>
        <w:autoSpaceDN w:val="0"/>
        <w:adjustRightInd w:val="0"/>
        <w:spacing w:after="0" w:line="240" w:lineRule="auto"/>
        <w:rPr>
          <w:rFonts w:cstheme="minorHAnsi"/>
          <w:bCs/>
        </w:rPr>
      </w:pPr>
      <w:r>
        <w:rPr>
          <w:rFonts w:cstheme="minorHAnsi"/>
          <w:noProof/>
        </w:rPr>
        <w:t>_</w:t>
      </w:r>
      <w:r w:rsidR="00E37E1B">
        <w:rPr>
          <w:rFonts w:cstheme="minorHAnsi"/>
          <w:noProof/>
        </w:rPr>
        <w:t>______________</w:t>
      </w:r>
      <w:r w:rsidR="003755CB">
        <w:rPr>
          <w:rFonts w:cstheme="minorHAnsi"/>
          <w:noProof/>
        </w:rPr>
        <w:t>_________</w:t>
      </w:r>
    </w:p>
    <w:p w14:paraId="2AE9B16C" w14:textId="37EB7122"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AE9B16D"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AE9B16E" w14:textId="77777777" w:rsidR="008C54A9" w:rsidRPr="00A25024" w:rsidRDefault="008C54A9" w:rsidP="00DB3627">
      <w:pPr>
        <w:autoSpaceDE w:val="0"/>
        <w:autoSpaceDN w:val="0"/>
        <w:adjustRightInd w:val="0"/>
        <w:spacing w:after="0" w:line="240" w:lineRule="auto"/>
        <w:rPr>
          <w:rFonts w:cstheme="minorHAnsi"/>
          <w:b/>
          <w:bCs/>
        </w:rPr>
      </w:pPr>
    </w:p>
    <w:p w14:paraId="1DA91B41" w14:textId="6E23DDA5" w:rsidR="002E0227"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rPr>
          <w:id w:val="423926269"/>
          <w14:checkbox>
            <w14:checked w14:val="1"/>
            <w14:checkedState w14:val="2612" w14:font="MS Gothic"/>
            <w14:uncheckedState w14:val="2610" w14:font="MS Gothic"/>
          </w14:checkbox>
        </w:sdtPr>
        <w:sdtEndPr/>
        <w:sdtContent>
          <w:r w:rsidR="00773896" w:rsidRPr="002A6580">
            <w:rPr>
              <w:rFonts w:ascii="MS Gothic" w:eastAsia="MS Gothic" w:hAnsi="MS Gothic" w:cstheme="minorHAnsi" w:hint="eastAsia"/>
              <w:bCs/>
            </w:rPr>
            <w:t>☒</w:t>
          </w:r>
        </w:sdtContent>
      </w:sdt>
      <w:r w:rsidR="00A25024" w:rsidRPr="002A6580">
        <w:rPr>
          <w:rFonts w:eastAsia="MS Mincho" w:cstheme="minorHAnsi"/>
          <w:b/>
          <w:bCs/>
        </w:rPr>
        <w:t xml:space="preserve"> </w:t>
      </w:r>
      <w:r w:rsidR="001F7A20" w:rsidRPr="002A6580">
        <w:rPr>
          <w:b/>
        </w:rPr>
        <w:t>Critical data elements used in the measure</w:t>
      </w:r>
      <w:r w:rsidR="001F7A20" w:rsidRPr="002A6580">
        <w:rPr>
          <w:rFonts w:cstheme="minorHAnsi"/>
          <w:bCs/>
        </w:rPr>
        <w:t xml:space="preserve"> (</w:t>
      </w:r>
      <w:r w:rsidR="001F7A20" w:rsidRPr="002A6580">
        <w:rPr>
          <w:rFonts w:cstheme="minorHAnsi"/>
          <w:bCs/>
          <w:i/>
        </w:rPr>
        <w:t>e.g., inter-abstractor reliability; data element reliability must address ALL critical data elements</w:t>
      </w:r>
      <w:r w:rsidR="001F7A20" w:rsidRPr="002A6580">
        <w:rPr>
          <w:rFonts w:cstheme="minorHAnsi"/>
          <w:bCs/>
        </w:rPr>
        <w:t>)</w:t>
      </w:r>
      <w:r w:rsidR="001F7A20" w:rsidRPr="002A6580">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040E1C" w:rsidRPr="002A6580">
            <w:rPr>
              <w:rFonts w:ascii="MS Gothic" w:eastAsia="MS Gothic" w:hAnsi="MS Gothic" w:cstheme="minorHAnsi" w:hint="eastAsia"/>
              <w:bCs/>
            </w:rPr>
            <w:t>☒</w:t>
          </w:r>
        </w:sdtContent>
      </w:sdt>
      <w:r w:rsidR="001F7A20" w:rsidRPr="002A6580">
        <w:rPr>
          <w:rFonts w:eastAsia="MS Mincho" w:cstheme="minorHAnsi"/>
          <w:b/>
          <w:bCs/>
        </w:rPr>
        <w:t xml:space="preserve"> </w:t>
      </w:r>
      <w:r w:rsidR="001F7A20" w:rsidRPr="002A6580">
        <w:rPr>
          <w:rFonts w:cstheme="minorHAnsi"/>
          <w:b/>
          <w:bCs/>
        </w:rPr>
        <w:t>Performance measure score</w:t>
      </w:r>
      <w:r w:rsidR="001F7A20" w:rsidRPr="002A6580">
        <w:rPr>
          <w:rFonts w:cstheme="minorHAnsi"/>
          <w:bCs/>
        </w:rPr>
        <w:t xml:space="preserve"> (e.g., </w:t>
      </w:r>
      <w:r w:rsidR="001F7A20" w:rsidRPr="002A6580">
        <w:rPr>
          <w:rFonts w:cstheme="minorHAnsi"/>
          <w:bCs/>
          <w:i/>
        </w:rPr>
        <w:t>signal-to-noise analysis</w:t>
      </w:r>
      <w:r w:rsidR="001F7A20" w:rsidRPr="002A6580">
        <w:rPr>
          <w:rFonts w:cstheme="minorHAnsi"/>
          <w:bCs/>
        </w:rPr>
        <w:t>)</w:t>
      </w:r>
    </w:p>
    <w:p w14:paraId="2AE9B16F" w14:textId="1612CDD4" w:rsidR="001969C5" w:rsidRPr="00A25024" w:rsidRDefault="001F7A20" w:rsidP="008C54A9">
      <w:pPr>
        <w:autoSpaceDE w:val="0"/>
        <w:autoSpaceDN w:val="0"/>
        <w:adjustRightInd w:val="0"/>
        <w:spacing w:after="0" w:line="240" w:lineRule="auto"/>
        <w:rPr>
          <w:rFonts w:cstheme="minorHAnsi"/>
          <w:bCs/>
        </w:rPr>
      </w:pPr>
      <w:r w:rsidRPr="00A25024">
        <w:rPr>
          <w:rFonts w:cstheme="minorHAnsi"/>
          <w:bCs/>
        </w:rPr>
        <w:br/>
      </w:r>
      <w:r w:rsidRPr="00A25024">
        <w:rPr>
          <w:rFonts w:cstheme="minorHAnsi"/>
          <w:bCs/>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AE9B170" w14:textId="4E641152" w:rsidR="008C54A9" w:rsidRDefault="008C54A9" w:rsidP="008C54A9">
      <w:pPr>
        <w:autoSpaceDE w:val="0"/>
        <w:autoSpaceDN w:val="0"/>
        <w:adjustRightInd w:val="0"/>
        <w:spacing w:after="0" w:line="240" w:lineRule="auto"/>
        <w:rPr>
          <w:rFonts w:cstheme="minorHAnsi"/>
          <w:bCs/>
        </w:rPr>
      </w:pPr>
    </w:p>
    <w:p w14:paraId="696A6439"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u w:val="single"/>
        </w:rPr>
      </w:pPr>
      <w:r w:rsidRPr="008D2BD7">
        <w:rPr>
          <w:rFonts w:asciiTheme="minorHAnsi" w:hAnsiTheme="minorHAnsi" w:cstheme="minorHAnsi"/>
          <w:iCs/>
          <w:sz w:val="22"/>
          <w:szCs w:val="20"/>
          <w:u w:val="single"/>
        </w:rPr>
        <w:t>Data Element Reliability</w:t>
      </w:r>
    </w:p>
    <w:p w14:paraId="3193D099" w14:textId="77777777" w:rsidR="00773896"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 xml:space="preserve">In constructing the measure, we aim to utilize only those data elements from the claims that have both face validity and reliability. We avoid the use of fields that are thought to be coded inconsistently across hospitals or providers. Specifically, we use fields that are consequential for payment and which are audited. We identify such variables through empiric analyses and our understanding of CMS auditing and billing policies and seek to avoid variables which do not meet this standard. For example, “discharge disposition” is a variable in Medicare claims data that is not thought to be a reliable variable for identifying a transfer between two acute care facilities. Thus, we derive a variable using admission and discharge dates as a surrogate for “discharge disposition” to identify hospital admissions involving transfers. This allows us to identify these admissions using variables in the claims data which have greater reliability than the “discharge disposition” variable. </w:t>
      </w:r>
    </w:p>
    <w:p w14:paraId="0EB65B05"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In addition, CMS has in place several hospital auditing programs used to assess overall claims code accuracy, to ensure appropriate billing, and for overpayment recoupment. CMS routinely conducts data analysis to identify potential problem areas</w:t>
      </w:r>
      <w:r>
        <w:rPr>
          <w:rFonts w:asciiTheme="minorHAnsi" w:hAnsiTheme="minorHAnsi" w:cstheme="minorHAnsi"/>
          <w:iCs/>
          <w:sz w:val="22"/>
          <w:szCs w:val="20"/>
        </w:rPr>
        <w:t>,</w:t>
      </w:r>
      <w:r w:rsidRPr="008D2BD7">
        <w:rPr>
          <w:rFonts w:asciiTheme="minorHAnsi" w:hAnsiTheme="minorHAnsi" w:cstheme="minorHAnsi"/>
          <w:iCs/>
          <w:sz w:val="22"/>
          <w:szCs w:val="20"/>
        </w:rPr>
        <w:t xml:space="preserve"> detect fraud, and audits important data fields used in our measures, including diagnosis and procedure codes and other elements that are consequential to payment.</w:t>
      </w:r>
    </w:p>
    <w:p w14:paraId="04CE95B4"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Finally, we assess the reliability of the data elements by comparing model variable frequencies and odds ratios from logistic regression models</w:t>
      </w:r>
      <w:r>
        <w:rPr>
          <w:rFonts w:asciiTheme="minorHAnsi" w:hAnsiTheme="minorHAnsi" w:cstheme="minorHAnsi"/>
          <w:iCs/>
          <w:sz w:val="22"/>
          <w:szCs w:val="20"/>
        </w:rPr>
        <w:t xml:space="preserve"> in each new data year.</w:t>
      </w:r>
    </w:p>
    <w:p w14:paraId="0451C76D"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u w:val="single"/>
        </w:rPr>
      </w:pPr>
      <w:r w:rsidRPr="008D2BD7">
        <w:rPr>
          <w:rFonts w:asciiTheme="minorHAnsi" w:hAnsiTheme="minorHAnsi" w:cstheme="minorHAnsi"/>
          <w:iCs/>
          <w:sz w:val="22"/>
          <w:szCs w:val="20"/>
          <w:u w:val="single"/>
        </w:rPr>
        <w:t xml:space="preserve">Measure Score </w:t>
      </w:r>
      <w:r>
        <w:rPr>
          <w:rFonts w:asciiTheme="minorHAnsi" w:hAnsiTheme="minorHAnsi" w:cstheme="minorHAnsi"/>
          <w:iCs/>
          <w:sz w:val="22"/>
          <w:szCs w:val="20"/>
          <w:u w:val="single"/>
        </w:rPr>
        <w:t>R</w:t>
      </w:r>
      <w:r w:rsidRPr="008D2BD7">
        <w:rPr>
          <w:rFonts w:asciiTheme="minorHAnsi" w:hAnsiTheme="minorHAnsi" w:cstheme="minorHAnsi"/>
          <w:iCs/>
          <w:sz w:val="22"/>
          <w:szCs w:val="20"/>
          <w:u w:val="single"/>
        </w:rPr>
        <w:t>eliability</w:t>
      </w:r>
    </w:p>
    <w:p w14:paraId="505C5A71" w14:textId="77777777" w:rsidR="00773896"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 xml:space="preserve">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In line with this thinking, our approach to assessing reliability is to consider the extent to which assessments of a hospital using different but randomly selected subsets of patients produces similar measures of hospital performance. That is, we take a "test-retest" approach in which hospital performance is measured once using a random subset of patients, then measured again using a second </w:t>
      </w:r>
      <w:r w:rsidRPr="008D2BD7">
        <w:rPr>
          <w:rFonts w:asciiTheme="minorHAnsi" w:hAnsiTheme="minorHAnsi" w:cstheme="minorHAnsi"/>
          <w:iCs/>
          <w:sz w:val="22"/>
          <w:szCs w:val="20"/>
        </w:rPr>
        <w:lastRenderedPageBreak/>
        <w:t xml:space="preserve">random subset exclusive of the first, and finally comparing the agreement between the two resulting performance measures across hospitals (Rousson </w:t>
      </w:r>
      <w:r>
        <w:rPr>
          <w:rFonts w:asciiTheme="minorHAnsi" w:hAnsiTheme="minorHAnsi" w:cstheme="minorHAnsi"/>
          <w:iCs/>
          <w:sz w:val="22"/>
          <w:szCs w:val="20"/>
        </w:rPr>
        <w:t xml:space="preserve">V, </w:t>
      </w:r>
      <w:r w:rsidRPr="008D2BD7">
        <w:rPr>
          <w:rFonts w:asciiTheme="minorHAnsi" w:hAnsiTheme="minorHAnsi" w:cstheme="minorHAnsi"/>
          <w:iCs/>
          <w:sz w:val="22"/>
          <w:szCs w:val="20"/>
        </w:rPr>
        <w:t>et al., 2002).</w:t>
      </w:r>
    </w:p>
    <w:p w14:paraId="02068396"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For test-retest reliability, we randomly sampled half of patients within each hospital</w:t>
      </w:r>
      <w:r>
        <w:rPr>
          <w:rFonts w:asciiTheme="minorHAnsi" w:hAnsiTheme="minorHAnsi" w:cstheme="minorHAnsi"/>
          <w:iCs/>
          <w:sz w:val="22"/>
          <w:szCs w:val="20"/>
        </w:rPr>
        <w:t xml:space="preserve"> in the most recent year of data</w:t>
      </w:r>
      <w:r w:rsidRPr="008D2BD7">
        <w:rPr>
          <w:rFonts w:asciiTheme="minorHAnsi" w:hAnsiTheme="minorHAnsi" w:cstheme="minorHAnsi"/>
          <w:iCs/>
          <w:sz w:val="22"/>
          <w:szCs w:val="20"/>
        </w:rPr>
        <w:t xml:space="preserve">, calculated the measure for each hospital, and repeated the calculation using the second half. Thus, each hospital is measured twice, but each measurement is made using an entirely distinct set of patients. To the extent that the calculated measures of these two subsets agree, we have evidence that the measure is assessing an attribute of the hospital, not of the patients. As a metric of agreement we calculated the intra-class correlation coefficient (ICC) (Shrout </w:t>
      </w:r>
      <w:r>
        <w:rPr>
          <w:rFonts w:asciiTheme="minorHAnsi" w:hAnsiTheme="minorHAnsi" w:cstheme="minorHAnsi"/>
          <w:iCs/>
          <w:sz w:val="22"/>
          <w:szCs w:val="20"/>
        </w:rPr>
        <w:t xml:space="preserve">P </w:t>
      </w:r>
      <w:r w:rsidRPr="008D2BD7">
        <w:rPr>
          <w:rFonts w:asciiTheme="minorHAnsi" w:hAnsiTheme="minorHAnsi" w:cstheme="minorHAnsi"/>
          <w:iCs/>
          <w:sz w:val="22"/>
          <w:szCs w:val="20"/>
        </w:rPr>
        <w:t>and Fleiss</w:t>
      </w:r>
      <w:r>
        <w:rPr>
          <w:rFonts w:asciiTheme="minorHAnsi" w:hAnsiTheme="minorHAnsi" w:cstheme="minorHAnsi"/>
          <w:iCs/>
          <w:sz w:val="22"/>
          <w:szCs w:val="20"/>
        </w:rPr>
        <w:t xml:space="preserve"> J</w:t>
      </w:r>
      <w:r w:rsidRPr="008D2BD7">
        <w:rPr>
          <w:rFonts w:asciiTheme="minorHAnsi" w:hAnsiTheme="minorHAnsi" w:cstheme="minorHAnsi"/>
          <w:iCs/>
          <w:sz w:val="22"/>
          <w:szCs w:val="20"/>
        </w:rPr>
        <w:t xml:space="preserve">, 1979), and assessed the values according to conventional standards (Landis and Koch, 1977). Specifically, we used </w:t>
      </w:r>
      <w:r w:rsidRPr="00855C0F">
        <w:rPr>
          <w:rFonts w:asciiTheme="minorHAnsi" w:hAnsiTheme="minorHAnsi" w:cstheme="minorHAnsi"/>
          <w:b/>
          <w:iCs/>
          <w:sz w:val="22"/>
          <w:szCs w:val="20"/>
        </w:rPr>
        <w:t>Dataset 1</w:t>
      </w:r>
      <w:r w:rsidRPr="008D2BD7">
        <w:rPr>
          <w:rFonts w:asciiTheme="minorHAnsi" w:hAnsiTheme="minorHAnsi" w:cstheme="minorHAnsi"/>
          <w:iCs/>
          <w:sz w:val="22"/>
          <w:szCs w:val="20"/>
        </w:rPr>
        <w:t xml:space="preserve"> split sample and calculated the RSRR for each hospital for each sample. The agreement of the two RSRRs was quantified for hospitals using the intra-class correlation as defined by ICC by Shrout</w:t>
      </w:r>
      <w:r>
        <w:rPr>
          <w:rFonts w:asciiTheme="minorHAnsi" w:hAnsiTheme="minorHAnsi" w:cstheme="minorHAnsi"/>
          <w:iCs/>
          <w:sz w:val="22"/>
          <w:szCs w:val="20"/>
        </w:rPr>
        <w:t xml:space="preserve"> P</w:t>
      </w:r>
      <w:r w:rsidRPr="008D2BD7">
        <w:rPr>
          <w:rFonts w:asciiTheme="minorHAnsi" w:hAnsiTheme="minorHAnsi" w:cstheme="minorHAnsi"/>
          <w:iCs/>
          <w:sz w:val="22"/>
          <w:szCs w:val="20"/>
        </w:rPr>
        <w:t xml:space="preserve"> and Fleiss</w:t>
      </w:r>
      <w:r>
        <w:rPr>
          <w:rFonts w:asciiTheme="minorHAnsi" w:hAnsiTheme="minorHAnsi" w:cstheme="minorHAnsi"/>
          <w:iCs/>
          <w:sz w:val="22"/>
          <w:szCs w:val="20"/>
        </w:rPr>
        <w:t xml:space="preserve"> J</w:t>
      </w:r>
      <w:r w:rsidRPr="008D2BD7">
        <w:rPr>
          <w:rFonts w:asciiTheme="minorHAnsi" w:hAnsiTheme="minorHAnsi" w:cstheme="minorHAnsi"/>
          <w:iCs/>
          <w:sz w:val="22"/>
          <w:szCs w:val="20"/>
        </w:rPr>
        <w:t xml:space="preserve"> (1979).</w:t>
      </w:r>
    </w:p>
    <w:p w14:paraId="4EF2BF7F" w14:textId="77777777" w:rsidR="00773896" w:rsidRDefault="00773896" w:rsidP="00773896">
      <w:pPr>
        <w:pStyle w:val="CM23"/>
        <w:pBdr>
          <w:top w:val="single" w:sz="4" w:space="1" w:color="auto"/>
          <w:left w:val="single" w:sz="4" w:space="3" w:color="auto"/>
          <w:bottom w:val="single" w:sz="4" w:space="1" w:color="auto"/>
          <w:right w:val="single" w:sz="4" w:space="4" w:color="auto"/>
        </w:pBdr>
        <w:spacing w:before="240" w:after="120"/>
        <w:rPr>
          <w:rFonts w:asciiTheme="minorHAnsi" w:hAnsiTheme="minorHAnsi" w:cstheme="minorHAnsi"/>
          <w:iCs/>
          <w:sz w:val="22"/>
          <w:szCs w:val="20"/>
        </w:rPr>
      </w:pPr>
      <w:r w:rsidRPr="008D2BD7">
        <w:rPr>
          <w:rFonts w:asciiTheme="minorHAnsi" w:hAnsiTheme="minorHAnsi" w:cstheme="minorHAnsi"/>
          <w:iCs/>
          <w:sz w:val="22"/>
          <w:szCs w:val="20"/>
        </w:rPr>
        <w:t xml:space="preserve">Using two independent samples provides a stringent estimate of the measure’s reliability, compared with using two random but potentially overlapping samples which would exaggerate the agreement. </w:t>
      </w:r>
    </w:p>
    <w:p w14:paraId="022FDCE5" w14:textId="77777777" w:rsidR="00086C26" w:rsidRPr="002A6580" w:rsidRDefault="00773896" w:rsidP="00773896">
      <w:pPr>
        <w:pStyle w:val="CM23"/>
        <w:pBdr>
          <w:top w:val="single" w:sz="4" w:space="1" w:color="auto"/>
          <w:left w:val="single" w:sz="4" w:space="3" w:color="auto"/>
          <w:bottom w:val="single" w:sz="4" w:space="1" w:color="auto"/>
          <w:right w:val="single" w:sz="4" w:space="4" w:color="auto"/>
        </w:pBdr>
        <w:spacing w:before="240" w:after="120"/>
      </w:pPr>
      <w:r w:rsidRPr="008D2BD7">
        <w:rPr>
          <w:rFonts w:asciiTheme="minorHAnsi" w:hAnsiTheme="minorHAnsi" w:cstheme="minorHAnsi"/>
          <w:iCs/>
          <w:sz w:val="22"/>
          <w:szCs w:val="20"/>
        </w:rPr>
        <w:t>Moreover, because our final measure is derived using hierarchical logistic regression, and a known property of hierarchical logistic regression models is that smaller volume hospitals contribute less ´signal´, a split sample using a single measurement period would introduce extra noise. This leads to an underestimate in the actual test-retest reliability that would be achieved if the measure were reported using the full measurement period, as evidenced by the Spearman Brown prophecy formula (Spearman</w:t>
      </w:r>
      <w:r>
        <w:rPr>
          <w:rFonts w:asciiTheme="minorHAnsi" w:hAnsiTheme="minorHAnsi" w:cstheme="minorHAnsi"/>
          <w:iCs/>
          <w:sz w:val="22"/>
          <w:szCs w:val="20"/>
        </w:rPr>
        <w:t xml:space="preserve"> CC,</w:t>
      </w:r>
      <w:r w:rsidRPr="008D2BD7">
        <w:rPr>
          <w:rFonts w:asciiTheme="minorHAnsi" w:hAnsiTheme="minorHAnsi" w:cstheme="minorHAnsi"/>
          <w:iCs/>
          <w:sz w:val="22"/>
          <w:szCs w:val="20"/>
        </w:rPr>
        <w:t xml:space="preserve"> 1910</w:t>
      </w:r>
      <w:r>
        <w:rPr>
          <w:rFonts w:asciiTheme="minorHAnsi" w:hAnsiTheme="minorHAnsi" w:cstheme="minorHAnsi"/>
          <w:iCs/>
          <w:sz w:val="22"/>
          <w:szCs w:val="20"/>
        </w:rPr>
        <w:t>;</w:t>
      </w:r>
      <w:r w:rsidRPr="008D2BD7">
        <w:rPr>
          <w:rFonts w:asciiTheme="minorHAnsi" w:hAnsiTheme="minorHAnsi" w:cstheme="minorHAnsi"/>
          <w:iCs/>
          <w:sz w:val="22"/>
          <w:szCs w:val="20"/>
        </w:rPr>
        <w:t xml:space="preserve"> Brown</w:t>
      </w:r>
      <w:r>
        <w:rPr>
          <w:rFonts w:asciiTheme="minorHAnsi" w:hAnsiTheme="minorHAnsi" w:cstheme="minorHAnsi"/>
          <w:iCs/>
          <w:sz w:val="22"/>
          <w:szCs w:val="20"/>
        </w:rPr>
        <w:t>,</w:t>
      </w:r>
      <w:r w:rsidRPr="008D2BD7">
        <w:rPr>
          <w:rFonts w:asciiTheme="minorHAnsi" w:hAnsiTheme="minorHAnsi" w:cstheme="minorHAnsi"/>
          <w:iCs/>
          <w:sz w:val="22"/>
          <w:szCs w:val="20"/>
        </w:rPr>
        <w:t xml:space="preserve"> 1910). </w:t>
      </w:r>
      <w:r w:rsidRPr="00B230DD">
        <w:rPr>
          <w:rFonts w:asciiTheme="minorHAnsi" w:hAnsiTheme="minorHAnsi" w:cstheme="minorHAnsi"/>
          <w:iCs/>
          <w:sz w:val="22"/>
          <w:szCs w:val="20"/>
        </w:rPr>
        <w:t xml:space="preserve">We use this to estimate the reliability of the measure if the whole cohort were </w:t>
      </w:r>
      <w:r w:rsidRPr="002A6580">
        <w:rPr>
          <w:rFonts w:asciiTheme="minorHAnsi" w:hAnsiTheme="minorHAnsi" w:cstheme="minorHAnsi"/>
          <w:iCs/>
          <w:sz w:val="22"/>
          <w:szCs w:val="20"/>
        </w:rPr>
        <w:t>used, based on an estimate from half the cohort.</w:t>
      </w:r>
      <w:r w:rsidR="00086C26" w:rsidRPr="002A6580">
        <w:t xml:space="preserve"> </w:t>
      </w:r>
    </w:p>
    <w:p w14:paraId="79E92347" w14:textId="3EE09215" w:rsidR="00466298" w:rsidRPr="00A329B7" w:rsidRDefault="00086C26" w:rsidP="00307B45">
      <w:pPr>
        <w:pStyle w:val="CM23"/>
        <w:pBdr>
          <w:top w:val="single" w:sz="4" w:space="1" w:color="auto"/>
          <w:left w:val="single" w:sz="4" w:space="3" w:color="auto"/>
          <w:bottom w:val="single" w:sz="4" w:space="1" w:color="auto"/>
          <w:right w:val="single" w:sz="4" w:space="4" w:color="auto"/>
        </w:pBdr>
        <w:spacing w:before="240" w:after="120"/>
        <w:rPr>
          <w:color w:val="FF0000"/>
        </w:rPr>
      </w:pPr>
      <w:r w:rsidRPr="00A329B7">
        <w:rPr>
          <w:rFonts w:ascii="Calibri" w:hAnsi="Calibri"/>
          <w:color w:val="FF0000"/>
          <w:sz w:val="22"/>
          <w:szCs w:val="22"/>
        </w:rPr>
        <w:t>We use the same approach for assessing measure score reliability for the ACR measure</w:t>
      </w:r>
      <w:r w:rsidR="00307B45" w:rsidRPr="00A329B7">
        <w:rPr>
          <w:rFonts w:ascii="Calibri" w:hAnsi="Calibri"/>
          <w:color w:val="FF0000"/>
          <w:sz w:val="22"/>
          <w:szCs w:val="22"/>
        </w:rPr>
        <w:t>.</w:t>
      </w:r>
    </w:p>
    <w:p w14:paraId="25138BDB" w14:textId="77777777" w:rsidR="00466298" w:rsidRPr="00466298" w:rsidRDefault="00466298" w:rsidP="00466298"/>
    <w:p w14:paraId="68D03093" w14:textId="77777777" w:rsidR="00773896" w:rsidRPr="00BA0080"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u w:val="single"/>
        </w:rPr>
      </w:pPr>
      <w:r w:rsidRPr="00BA0080">
        <w:rPr>
          <w:rFonts w:asciiTheme="minorHAnsi" w:hAnsiTheme="minorHAnsi" w:cstheme="minorHAnsi"/>
          <w:iCs/>
          <w:sz w:val="22"/>
          <w:szCs w:val="20"/>
          <w:u w:val="single"/>
        </w:rPr>
        <w:t>References:</w:t>
      </w:r>
    </w:p>
    <w:p w14:paraId="15E46DF1"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2"/>
        </w:rPr>
      </w:pPr>
      <w:r w:rsidRPr="008D2BD7">
        <w:rPr>
          <w:rFonts w:asciiTheme="minorHAnsi" w:hAnsiTheme="minorHAnsi" w:cstheme="minorHAnsi"/>
          <w:iCs/>
          <w:sz w:val="22"/>
          <w:szCs w:val="22"/>
        </w:rPr>
        <w:t>Brown, W. (1910). Some experimental results in the correlation of mental abilities. British Journal of Psychology, 3, 296–322.</w:t>
      </w:r>
    </w:p>
    <w:p w14:paraId="775A77A9" w14:textId="77777777" w:rsidR="00773896" w:rsidRPr="00C13FED" w:rsidRDefault="00773896" w:rsidP="00773896">
      <w:pPr>
        <w:pStyle w:val="CM23"/>
        <w:pBdr>
          <w:top w:val="single" w:sz="4" w:space="1" w:color="auto"/>
          <w:left w:val="single" w:sz="4" w:space="3" w:color="auto"/>
          <w:bottom w:val="single" w:sz="4" w:space="1" w:color="auto"/>
          <w:right w:val="single" w:sz="4" w:space="4" w:color="auto"/>
        </w:pBdr>
        <w:spacing w:after="120"/>
        <w:rPr>
          <w:rFonts w:cstheme="minorHAnsi"/>
          <w:iCs/>
        </w:rPr>
      </w:pPr>
      <w:r w:rsidRPr="008D2BD7">
        <w:rPr>
          <w:rFonts w:asciiTheme="minorHAnsi" w:hAnsiTheme="minorHAnsi" w:cstheme="minorHAnsi"/>
          <w:iCs/>
          <w:sz w:val="22"/>
          <w:szCs w:val="20"/>
        </w:rPr>
        <w:t>Landis J, Koch G. The measurement of observer agreement for categorical data. Biometrics 1977;</w:t>
      </w:r>
      <w:r>
        <w:rPr>
          <w:rFonts w:asciiTheme="minorHAnsi" w:hAnsiTheme="minorHAnsi" w:cstheme="minorHAnsi"/>
          <w:iCs/>
          <w:sz w:val="22"/>
          <w:szCs w:val="20"/>
        </w:rPr>
        <w:t xml:space="preserve"> </w:t>
      </w:r>
      <w:r w:rsidRPr="008D2BD7">
        <w:rPr>
          <w:rFonts w:asciiTheme="minorHAnsi" w:hAnsiTheme="minorHAnsi" w:cstheme="minorHAnsi"/>
          <w:iCs/>
          <w:sz w:val="22"/>
          <w:szCs w:val="20"/>
        </w:rPr>
        <w:t>33:159-174.</w:t>
      </w:r>
      <w:r w:rsidRPr="008D2BD7">
        <w:rPr>
          <w:rFonts w:cstheme="minorHAnsi"/>
          <w:iCs/>
        </w:rPr>
        <w:t xml:space="preserve"> </w:t>
      </w:r>
    </w:p>
    <w:p w14:paraId="64AD88AD" w14:textId="77777777" w:rsidR="00773896" w:rsidRPr="008D2BD7"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Rousson V, Gasser T, Seifert B. Assessing intrarater, interrater and test–retest reliability of continuous measurements. Statistics in Medicine 2002;</w:t>
      </w:r>
      <w:r>
        <w:rPr>
          <w:rFonts w:asciiTheme="minorHAnsi" w:hAnsiTheme="minorHAnsi" w:cstheme="minorHAnsi"/>
          <w:iCs/>
          <w:sz w:val="22"/>
          <w:szCs w:val="20"/>
        </w:rPr>
        <w:t xml:space="preserve"> </w:t>
      </w:r>
      <w:r w:rsidRPr="008D2BD7">
        <w:rPr>
          <w:rFonts w:asciiTheme="minorHAnsi" w:hAnsiTheme="minorHAnsi" w:cstheme="minorHAnsi"/>
          <w:iCs/>
          <w:sz w:val="22"/>
          <w:szCs w:val="20"/>
        </w:rPr>
        <w:t>21:3431-3446.</w:t>
      </w:r>
    </w:p>
    <w:p w14:paraId="70613F78" w14:textId="77777777" w:rsidR="00773896" w:rsidRPr="00A27C3E"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0"/>
        </w:rPr>
        <w:t>Shrout P, Fleiss J. Intraclass correlations: uses in assessing rater reliability. Psychological Bulletin 1979;</w:t>
      </w:r>
      <w:r>
        <w:rPr>
          <w:rFonts w:asciiTheme="minorHAnsi" w:hAnsiTheme="minorHAnsi" w:cstheme="minorHAnsi"/>
          <w:iCs/>
          <w:sz w:val="22"/>
          <w:szCs w:val="20"/>
        </w:rPr>
        <w:t xml:space="preserve"> 86:420-428.</w:t>
      </w:r>
    </w:p>
    <w:p w14:paraId="5DCCCAA4" w14:textId="77777777" w:rsidR="00773896" w:rsidRPr="005354D1" w:rsidRDefault="00773896" w:rsidP="00773896">
      <w:pPr>
        <w:pStyle w:val="CM23"/>
        <w:pBdr>
          <w:top w:val="single" w:sz="4" w:space="1" w:color="auto"/>
          <w:left w:val="single" w:sz="4" w:space="3" w:color="auto"/>
          <w:bottom w:val="single" w:sz="4" w:space="1" w:color="auto"/>
          <w:right w:val="single" w:sz="4" w:space="4" w:color="auto"/>
        </w:pBdr>
        <w:spacing w:after="120"/>
        <w:rPr>
          <w:rFonts w:asciiTheme="minorHAnsi" w:hAnsiTheme="minorHAnsi" w:cstheme="minorHAnsi"/>
          <w:iCs/>
          <w:sz w:val="22"/>
          <w:szCs w:val="20"/>
        </w:rPr>
      </w:pPr>
      <w:r w:rsidRPr="008D2BD7">
        <w:rPr>
          <w:rFonts w:asciiTheme="minorHAnsi" w:hAnsiTheme="minorHAnsi" w:cstheme="minorHAnsi"/>
          <w:iCs/>
          <w:sz w:val="22"/>
          <w:szCs w:val="22"/>
        </w:rPr>
        <w:t>Spearman, Charles, C. (1910). Correlation calculated from faulty data. British Journal of Psychology, 3, 271–295.</w:t>
      </w:r>
    </w:p>
    <w:p w14:paraId="6FF9606F" w14:textId="77777777" w:rsidR="00773896" w:rsidRDefault="00773896" w:rsidP="008C54A9">
      <w:pPr>
        <w:autoSpaceDE w:val="0"/>
        <w:autoSpaceDN w:val="0"/>
        <w:adjustRightInd w:val="0"/>
        <w:spacing w:after="0" w:line="240" w:lineRule="auto"/>
        <w:rPr>
          <w:rFonts w:cstheme="minorHAnsi"/>
          <w:bCs/>
        </w:rPr>
      </w:pPr>
    </w:p>
    <w:p w14:paraId="5E71403B" w14:textId="2B5EC157" w:rsidR="002E0227"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6D2BEBC3" w14:textId="77BA4531" w:rsidR="00773896" w:rsidRDefault="00773896" w:rsidP="008C54A9">
      <w:pPr>
        <w:autoSpaceDE w:val="0"/>
        <w:autoSpaceDN w:val="0"/>
        <w:adjustRightInd w:val="0"/>
        <w:spacing w:after="0" w:line="240" w:lineRule="auto"/>
        <w:rPr>
          <w:rFonts w:cstheme="minorHAnsi"/>
          <w:bCs/>
        </w:rPr>
      </w:pPr>
    </w:p>
    <w:p w14:paraId="7AD80200" w14:textId="370EC8D5" w:rsidR="00BA657F" w:rsidRPr="00BB1678" w:rsidRDefault="00A67526"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
          <w:bCs/>
          <w:iCs/>
          <w:u w:val="single"/>
        </w:rPr>
      </w:pPr>
      <w:r>
        <w:rPr>
          <w:rFonts w:cstheme="minorHAnsi"/>
          <w:b/>
          <w:bCs/>
          <w:iCs/>
          <w:u w:val="single"/>
        </w:rPr>
        <w:t>HWR</w:t>
      </w:r>
    </w:p>
    <w:p w14:paraId="313CEF5B" w14:textId="67D2A0A7" w:rsidR="00BA657F" w:rsidRPr="00BB1678" w:rsidRDefault="00BA657F"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Cs/>
        </w:rPr>
      </w:pPr>
    </w:p>
    <w:p w14:paraId="166A14E4" w14:textId="78A3B400" w:rsidR="00BA657F" w:rsidRPr="00BB1678" w:rsidRDefault="0050349E"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Cs/>
        </w:rPr>
      </w:pPr>
      <w:r w:rsidRPr="0050349E">
        <w:rPr>
          <w:rFonts w:cstheme="minorHAnsi"/>
          <w:bCs/>
          <w:iCs/>
        </w:rPr>
        <w:lastRenderedPageBreak/>
        <w:t>The</w:t>
      </w:r>
      <w:r w:rsidR="00BA657F" w:rsidRPr="00BB1678">
        <w:rPr>
          <w:rFonts w:cstheme="minorHAnsi"/>
          <w:bCs/>
          <w:iCs/>
        </w:rPr>
        <w:t xml:space="preserve"> results</w:t>
      </w:r>
      <w:r>
        <w:rPr>
          <w:rFonts w:cstheme="minorHAnsi"/>
          <w:bCs/>
          <w:iCs/>
        </w:rPr>
        <w:t xml:space="preserve"> below</w:t>
      </w:r>
      <w:r w:rsidR="00BA657F" w:rsidRPr="00BB1678">
        <w:rPr>
          <w:rFonts w:cstheme="minorHAnsi"/>
          <w:bCs/>
          <w:iCs/>
        </w:rPr>
        <w:t xml:space="preserve"> are for the </w:t>
      </w:r>
      <w:r w:rsidR="00466298">
        <w:rPr>
          <w:rFonts w:cstheme="minorHAnsi"/>
          <w:bCs/>
          <w:iCs/>
        </w:rPr>
        <w:t xml:space="preserve">HWR </w:t>
      </w:r>
      <w:r w:rsidR="00BA657F" w:rsidRPr="00BB1678">
        <w:rPr>
          <w:rFonts w:cstheme="minorHAnsi"/>
          <w:bCs/>
          <w:iCs/>
        </w:rPr>
        <w:t>measure.</w:t>
      </w:r>
    </w:p>
    <w:p w14:paraId="63CB2AA5" w14:textId="77777777" w:rsidR="00BA657F" w:rsidRDefault="00BA657F"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Cs/>
          <w:u w:val="single"/>
        </w:rPr>
      </w:pPr>
    </w:p>
    <w:p w14:paraId="68BE7AA4" w14:textId="687D7D4D" w:rsidR="00773896" w:rsidRPr="00BB1678" w:rsidRDefault="00773896"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
          <w:iCs/>
        </w:rPr>
      </w:pPr>
      <w:r w:rsidRPr="00BB1678">
        <w:rPr>
          <w:rFonts w:cstheme="minorHAnsi"/>
          <w:bCs/>
          <w:i/>
          <w:iCs/>
        </w:rPr>
        <w:t>Data Element Reliability Results</w:t>
      </w:r>
    </w:p>
    <w:p w14:paraId="6E73C256" w14:textId="55CD44F3" w:rsidR="00773896" w:rsidRDefault="00773896"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Cs/>
        </w:rPr>
      </w:pPr>
      <w:r>
        <w:t xml:space="preserve">The frequency of some model variables are assessed in each data year. From year-to-year the frequency of individual variables may </w:t>
      </w:r>
      <w:r w:rsidRPr="00CE1A5B">
        <w:t>increase</w:t>
      </w:r>
      <w:r>
        <w:t xml:space="preserve"> or decrease slightly. These changes may reflect small changes in rates of comorbidity in the fee-for-service population.</w:t>
      </w:r>
      <w:r w:rsidRPr="00CE1A5B">
        <w:rPr>
          <w:rFonts w:cstheme="minorHAnsi"/>
          <w:bCs/>
          <w:iCs/>
        </w:rPr>
        <w:t xml:space="preserve"> </w:t>
      </w:r>
      <w:r>
        <w:rPr>
          <w:rFonts w:cstheme="minorHAnsi"/>
          <w:bCs/>
          <w:iCs/>
        </w:rPr>
        <w:t xml:space="preserve">For details please see the attached 2015 Measure Updates and Specifications Report. Reports from previous years can be found on </w:t>
      </w:r>
      <w:hyperlink r:id="rId13" w:history="1">
        <w:r w:rsidRPr="00CE1A5B">
          <w:rPr>
            <w:rStyle w:val="Hyperlink"/>
            <w:rFonts w:cstheme="minorHAnsi"/>
            <w:bCs/>
            <w:iCs/>
          </w:rPr>
          <w:t>QualityNet</w:t>
        </w:r>
      </w:hyperlink>
      <w:r>
        <w:rPr>
          <w:rFonts w:cstheme="minorHAnsi"/>
          <w:bCs/>
          <w:iCs/>
        </w:rPr>
        <w:t xml:space="preserve">. </w:t>
      </w:r>
    </w:p>
    <w:p w14:paraId="69F3587F" w14:textId="77777777" w:rsidR="00773896" w:rsidRDefault="00773896"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Cs/>
          <w:u w:val="single"/>
        </w:rPr>
      </w:pPr>
    </w:p>
    <w:p w14:paraId="3796F8B2" w14:textId="77777777" w:rsidR="00773896" w:rsidRPr="00BB1678" w:rsidRDefault="00773896"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
          <w:iCs/>
        </w:rPr>
      </w:pPr>
      <w:r w:rsidRPr="00BB1678">
        <w:rPr>
          <w:rFonts w:cstheme="minorHAnsi"/>
          <w:bCs/>
          <w:i/>
          <w:iCs/>
        </w:rPr>
        <w:t>Measure Score Reliability Results</w:t>
      </w:r>
    </w:p>
    <w:p w14:paraId="35CFA878" w14:textId="77777777" w:rsidR="00773896" w:rsidRDefault="00773896" w:rsidP="00773896">
      <w:pPr>
        <w:pBdr>
          <w:top w:val="single" w:sz="4" w:space="1" w:color="auto"/>
          <w:left w:val="single" w:sz="4" w:space="4" w:color="auto"/>
          <w:bottom w:val="single" w:sz="4" w:space="1" w:color="auto"/>
          <w:right w:val="single" w:sz="4" w:space="4" w:color="auto"/>
        </w:pBdr>
        <w:spacing w:line="240" w:lineRule="auto"/>
        <w:contextualSpacing/>
        <w:rPr>
          <w:rFonts w:cstheme="minorHAnsi"/>
          <w:bCs/>
          <w:iCs/>
        </w:rPr>
      </w:pPr>
      <w:r w:rsidRPr="00D0367A">
        <w:rPr>
          <w:rFonts w:cstheme="minorHAnsi"/>
          <w:bCs/>
          <w:iCs/>
        </w:rPr>
        <w:t xml:space="preserve">There were </w:t>
      </w:r>
      <w:r w:rsidRPr="00C026EE">
        <w:rPr>
          <w:rFonts w:cstheme="minorHAnsi"/>
          <w:bCs/>
          <w:iCs/>
        </w:rPr>
        <w:t>6</w:t>
      </w:r>
      <w:r>
        <w:rPr>
          <w:rFonts w:cstheme="minorHAnsi"/>
          <w:bCs/>
          <w:iCs/>
        </w:rPr>
        <w:t>,</w:t>
      </w:r>
      <w:r w:rsidRPr="00C026EE">
        <w:rPr>
          <w:rFonts w:cstheme="minorHAnsi"/>
          <w:bCs/>
          <w:iCs/>
        </w:rPr>
        <w:t>843</w:t>
      </w:r>
      <w:r>
        <w:rPr>
          <w:rFonts w:cstheme="minorHAnsi"/>
          <w:bCs/>
          <w:iCs/>
        </w:rPr>
        <w:t>,</w:t>
      </w:r>
      <w:r w:rsidRPr="00C026EE">
        <w:rPr>
          <w:rFonts w:cstheme="minorHAnsi"/>
          <w:bCs/>
          <w:iCs/>
        </w:rPr>
        <w:t>808</w:t>
      </w:r>
      <w:r>
        <w:rPr>
          <w:rFonts w:cstheme="minorHAnsi"/>
          <w:bCs/>
          <w:iCs/>
        </w:rPr>
        <w:t xml:space="preserve"> </w:t>
      </w:r>
      <w:r w:rsidRPr="00D0367A">
        <w:rPr>
          <w:rFonts w:cstheme="minorHAnsi"/>
          <w:bCs/>
          <w:iCs/>
        </w:rPr>
        <w:t xml:space="preserve">admissions in </w:t>
      </w:r>
      <w:r>
        <w:rPr>
          <w:rFonts w:cstheme="minorHAnsi"/>
          <w:bCs/>
          <w:iCs/>
        </w:rPr>
        <w:t>the 2015 public reported measures (</w:t>
      </w:r>
      <w:r w:rsidRPr="00F900AD">
        <w:rPr>
          <w:rFonts w:cstheme="minorHAnsi"/>
          <w:b/>
          <w:bCs/>
          <w:iCs/>
        </w:rPr>
        <w:t>Dataset 1</w:t>
      </w:r>
      <w:r>
        <w:rPr>
          <w:rFonts w:cstheme="minorHAnsi"/>
          <w:bCs/>
          <w:iCs/>
        </w:rPr>
        <w:t>)</w:t>
      </w:r>
      <w:r w:rsidRPr="00D0367A">
        <w:rPr>
          <w:rFonts w:cstheme="minorHAnsi"/>
          <w:bCs/>
          <w:iCs/>
        </w:rPr>
        <w:t xml:space="preserve">, with </w:t>
      </w:r>
      <w:r w:rsidRPr="00C026EE">
        <w:rPr>
          <w:rFonts w:cstheme="minorHAnsi"/>
          <w:bCs/>
          <w:iCs/>
        </w:rPr>
        <w:t>3</w:t>
      </w:r>
      <w:r>
        <w:rPr>
          <w:rFonts w:cstheme="minorHAnsi"/>
          <w:bCs/>
          <w:iCs/>
        </w:rPr>
        <w:t>,</w:t>
      </w:r>
      <w:r w:rsidRPr="00C026EE">
        <w:rPr>
          <w:rFonts w:cstheme="minorHAnsi"/>
          <w:bCs/>
          <w:iCs/>
        </w:rPr>
        <w:t>420</w:t>
      </w:r>
      <w:r>
        <w:rPr>
          <w:rFonts w:cstheme="minorHAnsi"/>
          <w:bCs/>
          <w:iCs/>
        </w:rPr>
        <w:t>,</w:t>
      </w:r>
      <w:r w:rsidRPr="00C026EE">
        <w:rPr>
          <w:rFonts w:cstheme="minorHAnsi"/>
          <w:bCs/>
          <w:iCs/>
        </w:rPr>
        <w:t>728</w:t>
      </w:r>
      <w:r>
        <w:rPr>
          <w:rFonts w:cstheme="minorHAnsi"/>
          <w:bCs/>
          <w:iCs/>
        </w:rPr>
        <w:t xml:space="preserve"> </w:t>
      </w:r>
      <w:r w:rsidRPr="00D0367A">
        <w:rPr>
          <w:rFonts w:cstheme="minorHAnsi"/>
          <w:bCs/>
          <w:iCs/>
        </w:rPr>
        <w:t>in</w:t>
      </w:r>
      <w:r>
        <w:rPr>
          <w:rFonts w:cstheme="minorHAnsi"/>
          <w:bCs/>
          <w:iCs/>
        </w:rPr>
        <w:t xml:space="preserve"> one sample and </w:t>
      </w:r>
      <w:r w:rsidRPr="00C026EE">
        <w:rPr>
          <w:rFonts w:cstheme="minorHAnsi"/>
          <w:bCs/>
          <w:iCs/>
        </w:rPr>
        <w:t>3</w:t>
      </w:r>
      <w:r>
        <w:rPr>
          <w:rFonts w:cstheme="minorHAnsi"/>
          <w:bCs/>
          <w:iCs/>
        </w:rPr>
        <w:t>,</w:t>
      </w:r>
      <w:r w:rsidRPr="00C026EE">
        <w:rPr>
          <w:rFonts w:cstheme="minorHAnsi"/>
          <w:bCs/>
          <w:iCs/>
        </w:rPr>
        <w:t>423</w:t>
      </w:r>
      <w:r>
        <w:rPr>
          <w:rFonts w:cstheme="minorHAnsi"/>
          <w:bCs/>
          <w:iCs/>
        </w:rPr>
        <w:t>,</w:t>
      </w:r>
      <w:r w:rsidRPr="00C026EE">
        <w:rPr>
          <w:rFonts w:cstheme="minorHAnsi"/>
          <w:bCs/>
          <w:iCs/>
        </w:rPr>
        <w:t>080</w:t>
      </w:r>
      <w:r>
        <w:rPr>
          <w:rFonts w:cstheme="minorHAnsi"/>
          <w:bCs/>
          <w:iCs/>
        </w:rPr>
        <w:t xml:space="preserve"> in the other</w:t>
      </w:r>
      <w:r w:rsidRPr="00D0367A">
        <w:rPr>
          <w:rFonts w:cstheme="minorHAnsi"/>
          <w:bCs/>
          <w:iCs/>
        </w:rPr>
        <w:t xml:space="preserve"> randomly selected sample. T</w:t>
      </w:r>
      <w:r>
        <w:rPr>
          <w:rFonts w:cstheme="minorHAnsi"/>
          <w:bCs/>
          <w:iCs/>
        </w:rPr>
        <w:t>he agreement between the two RSR</w:t>
      </w:r>
      <w:r w:rsidRPr="00D0367A">
        <w:rPr>
          <w:rFonts w:cstheme="minorHAnsi"/>
          <w:bCs/>
          <w:iCs/>
        </w:rPr>
        <w:t>Rs for each hospital was</w:t>
      </w:r>
      <w:r>
        <w:rPr>
          <w:rFonts w:cstheme="minorHAnsi"/>
          <w:bCs/>
          <w:iCs/>
        </w:rPr>
        <w:t xml:space="preserve"> 0.80</w:t>
      </w:r>
      <w:r w:rsidRPr="00D0367A">
        <w:rPr>
          <w:rFonts w:cstheme="minorHAnsi"/>
          <w:bCs/>
          <w:iCs/>
        </w:rPr>
        <w:t xml:space="preserve">, which according to the conventional interpretation </w:t>
      </w:r>
      <w:r w:rsidRPr="00FB4A5A">
        <w:rPr>
          <w:rFonts w:cstheme="minorHAnsi"/>
          <w:bCs/>
          <w:iCs/>
        </w:rPr>
        <w:t>is “substantial”</w:t>
      </w:r>
      <w:r w:rsidRPr="00D0367A">
        <w:rPr>
          <w:rFonts w:cstheme="minorHAnsi"/>
          <w:bCs/>
          <w:iCs/>
        </w:rPr>
        <w:t xml:space="preserve"> (Landis </w:t>
      </w:r>
      <w:r>
        <w:rPr>
          <w:rFonts w:cstheme="minorHAnsi"/>
          <w:bCs/>
          <w:iCs/>
        </w:rPr>
        <w:t xml:space="preserve">J </w:t>
      </w:r>
      <w:r w:rsidRPr="00D0367A">
        <w:rPr>
          <w:rFonts w:cstheme="minorHAnsi"/>
          <w:bCs/>
          <w:iCs/>
        </w:rPr>
        <w:t>&amp; Koch</w:t>
      </w:r>
      <w:r>
        <w:rPr>
          <w:rFonts w:cstheme="minorHAnsi"/>
          <w:bCs/>
          <w:iCs/>
        </w:rPr>
        <w:t xml:space="preserve"> G</w:t>
      </w:r>
      <w:r w:rsidRPr="00D0367A">
        <w:rPr>
          <w:rFonts w:cstheme="minorHAnsi"/>
          <w:bCs/>
          <w:iCs/>
        </w:rPr>
        <w:t xml:space="preserve">, 1977). </w:t>
      </w:r>
    </w:p>
    <w:p w14:paraId="1D56E4B7" w14:textId="784E7D85"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E52ED62" w14:textId="3B9083C7" w:rsidR="00BA657F" w:rsidRPr="00DD414D" w:rsidRDefault="00A6752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r w:rsidRPr="00DD414D">
        <w:rPr>
          <w:rFonts w:cstheme="minorHAnsi"/>
          <w:b/>
          <w:bCs/>
          <w:color w:val="FF0000"/>
          <w:u w:val="single"/>
        </w:rPr>
        <w:t>ACR</w:t>
      </w:r>
    </w:p>
    <w:p w14:paraId="364BF637" w14:textId="77777777" w:rsidR="00BA657F" w:rsidRPr="00DD414D"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1D269CEF" w14:textId="321C45C1" w:rsidR="00773896" w:rsidRPr="00DD414D"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DD414D">
        <w:rPr>
          <w:rFonts w:cstheme="minorHAnsi"/>
          <w:bCs/>
          <w:color w:val="FF0000"/>
        </w:rPr>
        <w:t>The results</w:t>
      </w:r>
      <w:r w:rsidR="0050349E" w:rsidRPr="00DD414D">
        <w:rPr>
          <w:rFonts w:cstheme="minorHAnsi"/>
          <w:bCs/>
          <w:color w:val="FF0000"/>
        </w:rPr>
        <w:t xml:space="preserve"> below</w:t>
      </w:r>
      <w:r w:rsidRPr="00DD414D">
        <w:rPr>
          <w:rFonts w:cstheme="minorHAnsi"/>
          <w:bCs/>
          <w:color w:val="FF0000"/>
        </w:rPr>
        <w:t xml:space="preserve"> are for the ACR measure. </w:t>
      </w:r>
    </w:p>
    <w:p w14:paraId="6D5F474D" w14:textId="77777777" w:rsidR="00773896" w:rsidRPr="00DD414D"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50D33382" w14:textId="31656919" w:rsidR="00773896" w:rsidRPr="00DD414D"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DD414D">
        <w:rPr>
          <w:rFonts w:cstheme="minorHAnsi"/>
          <w:bCs/>
          <w:color w:val="FF0000"/>
        </w:rPr>
        <w:t xml:space="preserve">There were 860,149 admissions in </w:t>
      </w:r>
      <w:r w:rsidRPr="00DD414D">
        <w:rPr>
          <w:rFonts w:cstheme="minorHAnsi"/>
          <w:b/>
          <w:bCs/>
          <w:color w:val="FF0000"/>
        </w:rPr>
        <w:t>subset 1</w:t>
      </w:r>
      <w:r w:rsidRPr="00DD414D">
        <w:rPr>
          <w:rFonts w:cstheme="minorHAnsi"/>
          <w:bCs/>
          <w:color w:val="FF0000"/>
        </w:rPr>
        <w:t xml:space="preserve"> and 861,449 admissions in </w:t>
      </w:r>
      <w:r w:rsidRPr="00DD414D">
        <w:rPr>
          <w:rFonts w:cstheme="minorHAnsi"/>
          <w:b/>
          <w:bCs/>
          <w:color w:val="FF0000"/>
        </w:rPr>
        <w:t xml:space="preserve">subset 2 </w:t>
      </w:r>
      <w:r w:rsidRPr="00DD414D">
        <w:rPr>
          <w:rFonts w:cstheme="minorHAnsi"/>
          <w:bCs/>
          <w:color w:val="FF0000"/>
        </w:rPr>
        <w:t>for the 2015 performance year</w:t>
      </w:r>
      <w:r w:rsidR="0050349E" w:rsidRPr="00DD414D">
        <w:rPr>
          <w:rFonts w:cstheme="minorHAnsi"/>
          <w:bCs/>
          <w:color w:val="FF0000"/>
        </w:rPr>
        <w:t xml:space="preserve"> (</w:t>
      </w:r>
      <w:r w:rsidR="0050349E" w:rsidRPr="00DD414D">
        <w:rPr>
          <w:rFonts w:cstheme="minorHAnsi"/>
          <w:b/>
          <w:bCs/>
          <w:color w:val="FF0000"/>
        </w:rPr>
        <w:t>Dataset 6</w:t>
      </w:r>
      <w:r w:rsidR="0050349E" w:rsidRPr="00DD414D">
        <w:rPr>
          <w:rFonts w:cstheme="minorHAnsi"/>
          <w:bCs/>
          <w:color w:val="FF0000"/>
        </w:rPr>
        <w:t>)</w:t>
      </w:r>
      <w:r w:rsidRPr="00DD414D">
        <w:rPr>
          <w:rFonts w:cstheme="minorHAnsi"/>
          <w:bCs/>
          <w:color w:val="FF0000"/>
        </w:rPr>
        <w:t>. The intra-class correlation between the two RSRRs among ACO subsets was 0.62, which according to conventional interpretation is “substantial” (Landis J &amp; Koch G, 1977).</w:t>
      </w:r>
    </w:p>
    <w:p w14:paraId="45F61FF2" w14:textId="484B192F" w:rsidR="00BA657F"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21C9D6DE" w14:textId="77777777" w:rsidR="00BA657F" w:rsidRPr="00926849" w:rsidRDefault="00BA657F" w:rsidP="00BA657F">
      <w:pPr>
        <w:pBdr>
          <w:top w:val="single" w:sz="4" w:space="1" w:color="auto"/>
          <w:left w:val="single" w:sz="4" w:space="4" w:color="auto"/>
          <w:bottom w:val="single" w:sz="4" w:space="1" w:color="auto"/>
          <w:right w:val="single" w:sz="4" w:space="4" w:color="auto"/>
        </w:pBdr>
        <w:spacing w:line="240" w:lineRule="auto"/>
        <w:contextualSpacing/>
        <w:rPr>
          <w:rFonts w:cstheme="minorHAnsi"/>
          <w:bCs/>
          <w:iCs/>
          <w:u w:val="single"/>
        </w:rPr>
      </w:pPr>
      <w:r w:rsidRPr="00926849">
        <w:rPr>
          <w:rFonts w:cstheme="minorHAnsi"/>
          <w:bCs/>
          <w:iCs/>
          <w:u w:val="single"/>
        </w:rPr>
        <w:t>Reference:</w:t>
      </w:r>
    </w:p>
    <w:p w14:paraId="6DF26DAB" w14:textId="14B44BD8" w:rsidR="00773896" w:rsidRPr="00BA657F" w:rsidRDefault="00BA657F" w:rsidP="00BA657F">
      <w:pPr>
        <w:pBdr>
          <w:top w:val="single" w:sz="4" w:space="1" w:color="auto"/>
          <w:left w:val="single" w:sz="4" w:space="4" w:color="auto"/>
          <w:bottom w:val="single" w:sz="4" w:space="1" w:color="auto"/>
          <w:right w:val="single" w:sz="4" w:space="4" w:color="auto"/>
        </w:pBdr>
        <w:spacing w:line="240" w:lineRule="auto"/>
        <w:contextualSpacing/>
        <w:rPr>
          <w:rFonts w:cstheme="minorHAnsi"/>
          <w:bCs/>
          <w:iCs/>
        </w:rPr>
      </w:pPr>
      <w:r w:rsidRPr="00D0367A">
        <w:rPr>
          <w:rFonts w:cstheme="minorHAnsi"/>
          <w:bCs/>
          <w:iCs/>
        </w:rPr>
        <w:t>Landis J, Koch G. The measurement of observer agreement for categorical data, Biometrics 1977;33:159-174.</w:t>
      </w:r>
    </w:p>
    <w:p w14:paraId="2AE9B171" w14:textId="631884C8" w:rsidR="007422FD" w:rsidRPr="00A25024" w:rsidRDefault="007422FD" w:rsidP="008C54A9">
      <w:pPr>
        <w:autoSpaceDE w:val="0"/>
        <w:autoSpaceDN w:val="0"/>
        <w:adjustRightInd w:val="0"/>
        <w:spacing w:after="0" w:line="240" w:lineRule="auto"/>
        <w:rPr>
          <w:rFonts w:cstheme="minorHAnsi"/>
          <w:bCs/>
        </w:rPr>
      </w:pPr>
    </w:p>
    <w:p w14:paraId="003898D6" w14:textId="77777777" w:rsidR="002E0227"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3F9BD9F8" w14:textId="77777777" w:rsidR="002E0227" w:rsidRDefault="002E0227" w:rsidP="00DB3627">
      <w:pPr>
        <w:autoSpaceDE w:val="0"/>
        <w:autoSpaceDN w:val="0"/>
        <w:adjustRightInd w:val="0"/>
        <w:spacing w:after="0" w:line="240" w:lineRule="auto"/>
        <w:rPr>
          <w:rFonts w:cstheme="minorHAnsi"/>
          <w:bCs/>
        </w:rPr>
      </w:pPr>
    </w:p>
    <w:p w14:paraId="2AE9B172" w14:textId="75A7545F" w:rsidR="007422FD" w:rsidRPr="00844F4A" w:rsidRDefault="006E00CB" w:rsidP="0012205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000000" w:themeColor="text1"/>
        </w:rPr>
      </w:pPr>
      <w:r w:rsidRPr="00844F4A">
        <w:rPr>
          <w:rFonts w:cstheme="minorHAnsi"/>
          <w:bCs/>
          <w:color w:val="000000" w:themeColor="text1"/>
        </w:rPr>
        <w:t>For the HWR measure, t</w:t>
      </w:r>
      <w:r w:rsidR="002E0227" w:rsidRPr="00844F4A">
        <w:rPr>
          <w:rFonts w:cstheme="minorHAnsi"/>
          <w:bCs/>
          <w:color w:val="000000" w:themeColor="text1"/>
        </w:rPr>
        <w:t>he ICC score</w:t>
      </w:r>
      <w:r w:rsidR="00C23C1B" w:rsidRPr="00844F4A">
        <w:rPr>
          <w:rFonts w:cstheme="minorHAnsi"/>
          <w:bCs/>
          <w:color w:val="000000" w:themeColor="text1"/>
        </w:rPr>
        <w:t>, a form of signal-to-noise analysis,</w:t>
      </w:r>
      <w:r w:rsidR="002E0227" w:rsidRPr="00844F4A">
        <w:rPr>
          <w:rFonts w:cstheme="minorHAnsi"/>
          <w:bCs/>
          <w:color w:val="000000" w:themeColor="text1"/>
        </w:rPr>
        <w:t xml:space="preserve"> demonstrates substantial agreement across</w:t>
      </w:r>
      <w:r w:rsidR="001B555C" w:rsidRPr="00844F4A">
        <w:rPr>
          <w:rFonts w:cstheme="minorHAnsi"/>
          <w:bCs/>
          <w:color w:val="000000" w:themeColor="text1"/>
        </w:rPr>
        <w:t xml:space="preserve"> hospital samples</w:t>
      </w:r>
      <w:r w:rsidR="00BA657F" w:rsidRPr="00844F4A">
        <w:rPr>
          <w:rFonts w:cstheme="minorHAnsi"/>
          <w:bCs/>
          <w:color w:val="000000" w:themeColor="text1"/>
        </w:rPr>
        <w:t>.</w:t>
      </w:r>
    </w:p>
    <w:p w14:paraId="1D318782" w14:textId="77777777" w:rsidR="006E00CB" w:rsidRDefault="006E00CB" w:rsidP="0012205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77144831" w14:textId="3B7F98D1" w:rsidR="006E00CB" w:rsidRPr="002A6580" w:rsidRDefault="006E00CB" w:rsidP="006E00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2A6580">
        <w:rPr>
          <w:rFonts w:cstheme="minorHAnsi"/>
          <w:bCs/>
        </w:rPr>
        <w:t>Similarly, the ICC score</w:t>
      </w:r>
      <w:r w:rsidR="0013762B" w:rsidRPr="002A6580">
        <w:rPr>
          <w:rFonts w:cstheme="minorHAnsi"/>
          <w:bCs/>
        </w:rPr>
        <w:t xml:space="preserve"> for the ACR measure </w:t>
      </w:r>
      <w:r w:rsidRPr="002A6580">
        <w:rPr>
          <w:rFonts w:cstheme="minorHAnsi"/>
          <w:bCs/>
        </w:rPr>
        <w:t>demonstrates substantial agreement across ACO subsets.</w:t>
      </w:r>
    </w:p>
    <w:p w14:paraId="10285A13" w14:textId="77777777" w:rsidR="006E00CB" w:rsidRPr="00773896" w:rsidRDefault="006E00CB" w:rsidP="0012205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2AE9B173"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2AE9B17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AE9B175" w14:textId="77777777" w:rsidR="00696262" w:rsidRPr="002A6580"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rPr>
          <w:id w:val="-297760991"/>
          <w14:checkbox>
            <w14:checked w14:val="0"/>
            <w14:checkedState w14:val="2612" w14:font="MS Gothic"/>
            <w14:uncheckedState w14:val="2610" w14:font="MS Gothic"/>
          </w14:checkbox>
        </w:sdtPr>
        <w:sdtEndPr/>
        <w:sdtContent>
          <w:r w:rsidR="006574D2" w:rsidRPr="002A6580">
            <w:rPr>
              <w:rFonts w:ascii="MS Gothic" w:eastAsia="MS Gothic" w:cstheme="minorHAnsi" w:hint="eastAsia"/>
              <w:bCs/>
            </w:rPr>
            <w:t>☐</w:t>
          </w:r>
        </w:sdtContent>
      </w:sdt>
      <w:r w:rsidR="00A25024" w:rsidRPr="002A6580">
        <w:rPr>
          <w:rFonts w:eastAsia="MS Mincho" w:cstheme="minorHAnsi"/>
          <w:b/>
          <w:bCs/>
        </w:rPr>
        <w:t xml:space="preserve"> </w:t>
      </w:r>
      <w:r w:rsidR="005232D6" w:rsidRPr="002A6580">
        <w:rPr>
          <w:rFonts w:cstheme="minorHAnsi"/>
          <w:b/>
          <w:bCs/>
        </w:rPr>
        <w:t>C</w:t>
      </w:r>
      <w:r w:rsidR="00D1754D" w:rsidRPr="002A6580">
        <w:rPr>
          <w:rFonts w:cstheme="minorHAnsi"/>
          <w:b/>
          <w:bCs/>
        </w:rPr>
        <w:t xml:space="preserve">ritical </w:t>
      </w:r>
      <w:r w:rsidR="00B037BA" w:rsidRPr="002A6580">
        <w:rPr>
          <w:rFonts w:cstheme="minorHAnsi"/>
          <w:b/>
          <w:bCs/>
        </w:rPr>
        <w:t>data</w:t>
      </w:r>
      <w:r w:rsidR="00A41377" w:rsidRPr="002A6580">
        <w:rPr>
          <w:rFonts w:cstheme="minorHAnsi"/>
          <w:b/>
          <w:bCs/>
        </w:rPr>
        <w:t xml:space="preserve"> elements</w:t>
      </w:r>
      <w:r w:rsidR="000414E8" w:rsidRPr="002A6580">
        <w:rPr>
          <w:rFonts w:cstheme="minorHAnsi"/>
          <w:b/>
          <w:bCs/>
        </w:rPr>
        <w:t xml:space="preserve"> </w:t>
      </w:r>
      <w:r w:rsidR="000414E8" w:rsidRPr="002A6580">
        <w:rPr>
          <w:rFonts w:cstheme="minorHAnsi"/>
          <w:bCs/>
        </w:rPr>
        <w:t>(</w:t>
      </w:r>
      <w:r w:rsidR="000414E8" w:rsidRPr="002A6580">
        <w:rPr>
          <w:rFonts w:cstheme="minorHAnsi"/>
          <w:bCs/>
          <w:i/>
        </w:rPr>
        <w:t>data element validity must address ALL critical data elements</w:t>
      </w:r>
      <w:r w:rsidR="000414E8" w:rsidRPr="002A6580">
        <w:rPr>
          <w:rFonts w:cstheme="minorHAnsi"/>
          <w:bCs/>
        </w:rPr>
        <w:t>)</w:t>
      </w:r>
    </w:p>
    <w:p w14:paraId="2AE9B176" w14:textId="3A99563E" w:rsidR="00696262" w:rsidRPr="002A6580" w:rsidRDefault="00E85A92" w:rsidP="00696262">
      <w:pPr>
        <w:autoSpaceDE w:val="0"/>
        <w:autoSpaceDN w:val="0"/>
        <w:adjustRightInd w:val="0"/>
        <w:spacing w:after="0" w:line="240" w:lineRule="auto"/>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9B33C0" w:rsidRPr="002A6580">
            <w:rPr>
              <w:rFonts w:ascii="MS Gothic" w:eastAsia="MS Gothic" w:hAnsi="MS Gothic" w:cstheme="minorHAnsi" w:hint="eastAsia"/>
              <w:bCs/>
            </w:rPr>
            <w:t>☒</w:t>
          </w:r>
        </w:sdtContent>
      </w:sdt>
      <w:r w:rsidR="000414E8" w:rsidRPr="002A6580">
        <w:rPr>
          <w:rFonts w:eastAsia="MS Mincho" w:cstheme="minorHAnsi"/>
          <w:b/>
          <w:bCs/>
        </w:rPr>
        <w:t xml:space="preserve"> </w:t>
      </w:r>
      <w:r w:rsidR="005232D6" w:rsidRPr="002A6580">
        <w:rPr>
          <w:rFonts w:eastAsia="MS Gothic" w:cstheme="minorHAnsi"/>
          <w:b/>
          <w:bCs/>
        </w:rPr>
        <w:t>P</w:t>
      </w:r>
      <w:r w:rsidR="00696262" w:rsidRPr="002A6580">
        <w:rPr>
          <w:rFonts w:eastAsia="MS Gothic" w:cstheme="minorHAnsi"/>
          <w:b/>
          <w:bCs/>
        </w:rPr>
        <w:t xml:space="preserve">erformance </w:t>
      </w:r>
      <w:r w:rsidR="00696262" w:rsidRPr="002A6580">
        <w:rPr>
          <w:rFonts w:cstheme="minorHAnsi"/>
          <w:b/>
          <w:bCs/>
        </w:rPr>
        <w:t>measure score</w:t>
      </w:r>
    </w:p>
    <w:p w14:paraId="2AE9B177" w14:textId="7AE11809" w:rsidR="000574AB" w:rsidRDefault="00E85A92" w:rsidP="00696262">
      <w:pPr>
        <w:autoSpaceDE w:val="0"/>
        <w:autoSpaceDN w:val="0"/>
        <w:adjustRightInd w:val="0"/>
        <w:spacing w:after="0" w:line="240" w:lineRule="auto"/>
        <w:ind w:left="255"/>
        <w:rPr>
          <w:rFonts w:eastAsia="MS Gothic" w:cstheme="minorHAnsi"/>
          <w:bCs/>
        </w:rPr>
      </w:pPr>
      <w:sdt>
        <w:sdtPr>
          <w:rPr>
            <w:rFonts w:cstheme="minorHAnsi"/>
            <w:bCs/>
          </w:rPr>
          <w:id w:val="-114983144"/>
          <w14:checkbox>
            <w14:checked w14:val="1"/>
            <w14:checkedState w14:val="2612" w14:font="MS Gothic"/>
            <w14:uncheckedState w14:val="2610" w14:font="MS Gothic"/>
          </w14:checkbox>
        </w:sdtPr>
        <w:sdtEndPr/>
        <w:sdtContent>
          <w:r w:rsidR="009B33C0" w:rsidRPr="002A6580">
            <w:rPr>
              <w:rFonts w:ascii="MS Gothic" w:eastAsia="MS Gothic" w:hAnsi="MS Gothic" w:cstheme="minorHAnsi" w:hint="eastAsia"/>
              <w:bCs/>
            </w:rPr>
            <w:t>☒</w:t>
          </w:r>
        </w:sdtContent>
      </w:sdt>
      <w:r w:rsidR="000414E8" w:rsidRPr="002A6580">
        <w:rPr>
          <w:rFonts w:eastAsia="MS Mincho" w:cstheme="minorHAnsi"/>
          <w:b/>
          <w:bCs/>
        </w:rPr>
        <w:t xml:space="preserve"> </w:t>
      </w:r>
      <w:r w:rsidR="005232D6" w:rsidRPr="002A6580">
        <w:rPr>
          <w:rFonts w:eastAsia="MS Mincho" w:cstheme="minorHAnsi"/>
          <w:b/>
          <w:bCs/>
        </w:rPr>
        <w:t>E</w:t>
      </w:r>
      <w:r w:rsidR="00696262" w:rsidRPr="002A6580">
        <w:rPr>
          <w:rFonts w:eastAsia="MS Mincho" w:cstheme="minorHAnsi"/>
          <w:b/>
          <w:bCs/>
        </w:rPr>
        <w:t>mpirical validity testing</w:t>
      </w:r>
      <w:r w:rsidR="004B6CEE" w:rsidRPr="002A6580">
        <w:rPr>
          <w:rFonts w:cstheme="minorHAnsi"/>
          <w:b/>
          <w:bCs/>
        </w:rPr>
        <w:br/>
      </w:r>
      <w:sdt>
        <w:sdtPr>
          <w:rPr>
            <w:rFonts w:cstheme="minorHAnsi"/>
            <w:bCs/>
          </w:rPr>
          <w:id w:val="-1042279617"/>
          <w14:checkbox>
            <w14:checked w14:val="1"/>
            <w14:checkedState w14:val="2612" w14:font="MS Gothic"/>
            <w14:uncheckedState w14:val="2610" w14:font="MS Gothic"/>
          </w14:checkbox>
        </w:sdtPr>
        <w:sdtEndPr/>
        <w:sdtContent>
          <w:r w:rsidR="00773896" w:rsidRPr="002A6580">
            <w:rPr>
              <w:rFonts w:ascii="MS Gothic" w:eastAsia="MS Gothic" w:hAnsi="MS Gothic" w:cstheme="minorHAnsi" w:hint="eastAsia"/>
              <w:bCs/>
            </w:rPr>
            <w:t>☒</w:t>
          </w:r>
        </w:sdtContent>
      </w:sdt>
      <w:r w:rsidR="00A25024" w:rsidRPr="002A6580">
        <w:rPr>
          <w:rFonts w:eastAsia="MS Mincho" w:cstheme="minorHAnsi"/>
          <w:b/>
          <w:bCs/>
        </w:rPr>
        <w:t xml:space="preserve"> </w:t>
      </w:r>
      <w:r w:rsidR="005232D6" w:rsidRPr="002A6580">
        <w:rPr>
          <w:rFonts w:cstheme="minorHAnsi"/>
          <w:b/>
          <w:bCs/>
        </w:rPr>
        <w:t>S</w:t>
      </w:r>
      <w:r w:rsidR="00D50704" w:rsidRPr="002A6580">
        <w:rPr>
          <w:rFonts w:cstheme="minorHAnsi"/>
          <w:b/>
          <w:bCs/>
        </w:rPr>
        <w:t xml:space="preserve">ystematic assessment of </w:t>
      </w:r>
      <w:r w:rsidR="004B6CEE" w:rsidRPr="002A6580">
        <w:rPr>
          <w:rFonts w:cstheme="minorHAnsi"/>
          <w:b/>
          <w:bCs/>
        </w:rPr>
        <w:t xml:space="preserve">face </w:t>
      </w:r>
      <w:r w:rsidR="004B6CEE" w:rsidRPr="002A6580">
        <w:rPr>
          <w:rFonts w:eastAsia="MS Gothic" w:cstheme="minorHAnsi"/>
          <w:b/>
          <w:bCs/>
        </w:rPr>
        <w:t xml:space="preserve">validity of </w:t>
      </w:r>
      <w:r w:rsidR="00D1754D" w:rsidRPr="002A6580">
        <w:rPr>
          <w:rFonts w:eastAsia="MS Gothic" w:cstheme="minorHAnsi"/>
          <w:b/>
          <w:bCs/>
          <w:u w:val="single"/>
        </w:rPr>
        <w:t xml:space="preserve">performance </w:t>
      </w:r>
      <w:r w:rsidR="004B6CEE" w:rsidRPr="002A6580">
        <w:rPr>
          <w:rFonts w:eastAsia="MS Gothic" w:cstheme="minorHAnsi"/>
          <w:b/>
          <w:bCs/>
          <w:u w:val="single"/>
        </w:rPr>
        <w:t>measure score</w:t>
      </w:r>
      <w:r w:rsidR="00CA06D8" w:rsidRPr="002A6580">
        <w:rPr>
          <w:rFonts w:eastAsia="MS Gothic" w:cstheme="minorHAnsi"/>
          <w:b/>
          <w:bCs/>
        </w:rPr>
        <w:t xml:space="preserve"> </w:t>
      </w:r>
      <w:r w:rsidR="00A41377" w:rsidRPr="002A6580">
        <w:rPr>
          <w:rFonts w:eastAsia="MS Gothic" w:cstheme="minorHAnsi"/>
          <w:b/>
          <w:bCs/>
        </w:rPr>
        <w:t>as a</w:t>
      </w:r>
      <w:r w:rsidR="00241591" w:rsidRPr="002A6580">
        <w:rPr>
          <w:rFonts w:eastAsia="MS Gothic" w:cstheme="minorHAnsi"/>
          <w:b/>
          <w:bCs/>
        </w:rPr>
        <w:t>n</w:t>
      </w:r>
      <w:r w:rsidR="00A41377" w:rsidRPr="002A6580">
        <w:rPr>
          <w:rFonts w:eastAsia="MS Gothic" w:cstheme="minorHAnsi"/>
          <w:b/>
          <w:bCs/>
        </w:rPr>
        <w:t xml:space="preserve"> indicator</w:t>
      </w:r>
      <w:r w:rsidR="00A41377" w:rsidRPr="002A6580">
        <w:rPr>
          <w:rFonts w:eastAsia="MS Gothic" w:cstheme="minorHAnsi"/>
          <w:bCs/>
        </w:rPr>
        <w:t xml:space="preserve"> </w:t>
      </w:r>
      <w:r w:rsidR="00241591" w:rsidRPr="002A6580">
        <w:rPr>
          <w:rFonts w:eastAsia="MS Gothic" w:cstheme="minorHAnsi"/>
          <w:bCs/>
        </w:rPr>
        <w:t xml:space="preserve">of quality </w:t>
      </w:r>
      <w:r w:rsidR="00241591" w:rsidRPr="002F2AE5">
        <w:rPr>
          <w:rFonts w:eastAsia="MS Gothic" w:cstheme="minorHAnsi"/>
          <w:bCs/>
        </w:rPr>
        <w:t xml:space="preserve">or resource use </w:t>
      </w:r>
      <w:r w:rsidR="00A41377" w:rsidRPr="002F2AE5">
        <w:rPr>
          <w:rFonts w:eastAsia="MS Gothic" w:cstheme="minorHAnsi"/>
          <w:bCs/>
        </w:rPr>
        <w:t>(</w:t>
      </w:r>
      <w:r w:rsidR="00D1754D" w:rsidRPr="002F2AE5">
        <w:rPr>
          <w:rFonts w:eastAsia="MS Gothic" w:cstheme="minorHAnsi"/>
          <w:bCs/>
          <w:i/>
        </w:rPr>
        <w:t xml:space="preserve">i.e., is an </w:t>
      </w:r>
      <w:r w:rsidR="00A41377" w:rsidRPr="002F2AE5">
        <w:rPr>
          <w:rFonts w:eastAsia="MS Gothic" w:cstheme="minorHAnsi"/>
          <w:bCs/>
          <w:i/>
        </w:rPr>
        <w:t>accurate reflection of</w:t>
      </w:r>
      <w:r w:rsidR="006D6BC1" w:rsidRPr="002F2AE5">
        <w:rPr>
          <w:rFonts w:eastAsia="MS Gothic" w:cstheme="minorHAnsi"/>
          <w:bCs/>
          <w:i/>
        </w:rPr>
        <w:t xml:space="preserve"> </w:t>
      </w:r>
      <w:r w:rsidR="005149E7" w:rsidRPr="002F2AE5">
        <w:rPr>
          <w:rFonts w:eastAsia="MS Gothic" w:cstheme="minorHAnsi"/>
          <w:bCs/>
          <w:i/>
        </w:rPr>
        <w:t>performance</w:t>
      </w:r>
      <w:r w:rsidR="00A41377" w:rsidRPr="002F2AE5">
        <w:rPr>
          <w:rFonts w:eastAsia="MS Gothic" w:cstheme="minorHAnsi"/>
          <w:bCs/>
          <w:i/>
        </w:rPr>
        <w:t xml:space="preserve"> </w:t>
      </w:r>
      <w:r w:rsidR="000414E8" w:rsidRPr="002F2AE5">
        <w:rPr>
          <w:rFonts w:eastAsia="MS Gothic" w:cstheme="minorHAnsi"/>
          <w:bCs/>
          <w:i/>
        </w:rPr>
        <w:t xml:space="preserve">on </w:t>
      </w:r>
      <w:r w:rsidR="00241591" w:rsidRPr="002F2AE5">
        <w:rPr>
          <w:rFonts w:eastAsia="MS Gothic" w:cstheme="minorHAnsi"/>
          <w:bCs/>
          <w:i/>
        </w:rPr>
        <w:t xml:space="preserve">quality or resource use </w:t>
      </w:r>
      <w:r w:rsidR="00A41377" w:rsidRPr="002F2AE5">
        <w:rPr>
          <w:rFonts w:eastAsia="MS Gothic" w:cstheme="minorHAnsi"/>
          <w:bCs/>
          <w:i/>
        </w:rPr>
        <w:t xml:space="preserve">and can distinguish </w:t>
      </w:r>
      <w:r w:rsidR="000414E8" w:rsidRPr="002F2AE5">
        <w:rPr>
          <w:rFonts w:eastAsia="MS Gothic" w:cstheme="minorHAnsi"/>
          <w:bCs/>
          <w:i/>
        </w:rPr>
        <w:t>good from poor p</w:t>
      </w:r>
      <w:r w:rsidR="005149E7" w:rsidRPr="002F2AE5">
        <w:rPr>
          <w:rFonts w:eastAsia="MS Gothic" w:cstheme="minorHAnsi"/>
          <w:bCs/>
          <w:i/>
        </w:rPr>
        <w:t>erformance</w:t>
      </w:r>
      <w:r w:rsidR="00A41377" w:rsidRPr="002F2AE5">
        <w:rPr>
          <w:rFonts w:eastAsia="MS Gothic" w:cstheme="minorHAnsi"/>
          <w:bCs/>
        </w:rPr>
        <w:t>)</w:t>
      </w:r>
    </w:p>
    <w:p w14:paraId="3008F2A0" w14:textId="661F5A90" w:rsidR="004E7E10" w:rsidRPr="002F2AE5" w:rsidRDefault="004E7E10" w:rsidP="004E7E10">
      <w:pPr>
        <w:autoSpaceDE w:val="0"/>
        <w:autoSpaceDN w:val="0"/>
        <w:adjustRightInd w:val="0"/>
        <w:spacing w:after="0" w:line="240" w:lineRule="auto"/>
        <w:rPr>
          <w:rFonts w:cstheme="minorHAnsi"/>
          <w:bCs/>
        </w:rPr>
      </w:pPr>
    </w:p>
    <w:p w14:paraId="4569B856" w14:textId="10B06E8A" w:rsidR="00A6522A" w:rsidRDefault="00092566" w:rsidP="004A25B3">
      <w:pPr>
        <w:autoSpaceDE w:val="0"/>
        <w:autoSpaceDN w:val="0"/>
        <w:adjustRightInd w:val="0"/>
        <w:spacing w:after="0" w:line="240" w:lineRule="auto"/>
      </w:pPr>
      <w:r w:rsidRPr="002F2AE5">
        <w:rPr>
          <w:rFonts w:cstheme="minorHAnsi"/>
          <w:b/>
          <w:bCs/>
        </w:rPr>
        <w:t>2b2.</w:t>
      </w:r>
      <w:r w:rsidR="007757CE" w:rsidRPr="002F2AE5">
        <w:rPr>
          <w:rFonts w:cstheme="minorHAnsi"/>
          <w:b/>
          <w:bCs/>
        </w:rPr>
        <w:t xml:space="preserve">2. For each level </w:t>
      </w:r>
      <w:r w:rsidR="008F7E67" w:rsidRPr="002F2AE5">
        <w:rPr>
          <w:rFonts w:cstheme="minorHAnsi"/>
          <w:b/>
          <w:bCs/>
        </w:rPr>
        <w:t xml:space="preserve">of testing </w:t>
      </w:r>
      <w:r w:rsidR="007757CE" w:rsidRPr="002F2AE5">
        <w:rPr>
          <w:rFonts w:cstheme="minorHAnsi"/>
          <w:b/>
          <w:bCs/>
        </w:rPr>
        <w:t>checked above, describe the method of validity testing and what it tests</w:t>
      </w:r>
      <w:r w:rsidR="00833325" w:rsidRPr="002F2AE5">
        <w:rPr>
          <w:rFonts w:cstheme="minorHAnsi"/>
          <w:bCs/>
        </w:rPr>
        <w:t xml:space="preserve"> (</w:t>
      </w:r>
      <w:r w:rsidR="007757CE" w:rsidRPr="002F2AE5">
        <w:rPr>
          <w:rFonts w:cstheme="minorHAnsi"/>
          <w:bCs/>
          <w:i/>
        </w:rPr>
        <w:t>describe the steps―</w:t>
      </w:r>
      <w:r w:rsidR="00696262" w:rsidRPr="002F2AE5">
        <w:rPr>
          <w:rFonts w:cstheme="minorHAnsi"/>
          <w:bCs/>
          <w:i/>
        </w:rPr>
        <w:t xml:space="preserve">do </w:t>
      </w:r>
      <w:r w:rsidR="00A25024" w:rsidRPr="002F2AE5">
        <w:rPr>
          <w:rFonts w:cstheme="minorHAnsi"/>
          <w:bCs/>
          <w:i/>
        </w:rPr>
        <w:t xml:space="preserve">not just name a method; what was </w:t>
      </w:r>
      <w:r w:rsidR="00696262" w:rsidRPr="002F2AE5">
        <w:rPr>
          <w:rFonts w:cstheme="minorHAnsi"/>
          <w:bCs/>
          <w:i/>
        </w:rPr>
        <w:t xml:space="preserve">tested, e.g., accuracy of data elements </w:t>
      </w:r>
      <w:r w:rsidR="00696262" w:rsidRPr="002F2AE5">
        <w:rPr>
          <w:rFonts w:cstheme="minorHAnsi"/>
          <w:bCs/>
          <w:i/>
        </w:rPr>
        <w:lastRenderedPageBreak/>
        <w:t>compared to authoritative source, relationship to a</w:t>
      </w:r>
      <w:r w:rsidR="0022691B" w:rsidRPr="002F2AE5">
        <w:rPr>
          <w:rFonts w:cstheme="minorHAnsi"/>
          <w:bCs/>
          <w:i/>
        </w:rPr>
        <w:t>nother measure as expected; what statistical analysis was used</w:t>
      </w:r>
      <w:r w:rsidR="00696262" w:rsidRPr="002F2AE5">
        <w:rPr>
          <w:rFonts w:cstheme="minorHAnsi"/>
          <w:bCs/>
          <w:i/>
        </w:rPr>
        <w:t>)</w:t>
      </w:r>
    </w:p>
    <w:p w14:paraId="6057857F" w14:textId="77777777" w:rsidR="00835F20" w:rsidRPr="002F2AE5" w:rsidRDefault="00835F20" w:rsidP="004A25B3">
      <w:pPr>
        <w:autoSpaceDE w:val="0"/>
        <w:autoSpaceDN w:val="0"/>
        <w:adjustRightInd w:val="0"/>
        <w:spacing w:after="0" w:line="240" w:lineRule="auto"/>
        <w:rPr>
          <w:rFonts w:cstheme="minorHAnsi"/>
          <w:u w:val="single"/>
        </w:rPr>
      </w:pPr>
    </w:p>
    <w:p w14:paraId="64CC2B1B" w14:textId="76E49EDF" w:rsidR="00BA657F" w:rsidRPr="00BA657F" w:rsidRDefault="006A096D"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r>
        <w:rPr>
          <w:rFonts w:cstheme="minorHAnsi"/>
          <w:b/>
          <w:bCs/>
          <w:u w:val="single"/>
        </w:rPr>
        <w:t>HWR</w:t>
      </w:r>
    </w:p>
    <w:p w14:paraId="7FACC6CF" w14:textId="77777777" w:rsidR="00BA657F"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u w:val="single"/>
        </w:rPr>
      </w:pPr>
    </w:p>
    <w:p w14:paraId="07A24C85" w14:textId="722E923B" w:rsidR="00773896" w:rsidRPr="00BA657F"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BA657F">
        <w:rPr>
          <w:rFonts w:cstheme="minorHAnsi"/>
          <w:bCs/>
          <w:i/>
        </w:rPr>
        <w:t>Measure Validity:</w:t>
      </w:r>
    </w:p>
    <w:p w14:paraId="785E2FC7"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05BDE9A"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Measure validity is demonstrated through prior validity testing done on our other claims-based measures, through use of established measure development guidelines, and examination of content validity by comparing hospital performance with that on other quality measures. </w:t>
      </w:r>
    </w:p>
    <w:p w14:paraId="6F7796C7"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9E05284" w14:textId="77777777" w:rsidR="00773896" w:rsidRPr="00BA657F"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BA657F">
        <w:rPr>
          <w:rFonts w:cstheme="minorHAnsi"/>
          <w:bCs/>
          <w:i/>
        </w:rPr>
        <w:t xml:space="preserve">Validity of Claims Data: </w:t>
      </w:r>
    </w:p>
    <w:p w14:paraId="0DCA8678"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D956E61" w14:textId="3E96DF3C"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Our team has demonstrated for a number of prior measures the validity of claims-based measures for profiling hospitals by comparing either the measure results or individual data elements against the corresponding results and elements from medical records. CMS validated the six NQF-endorsed measures currently in public reporting (acute myocardial infarction [AMI], heart failure, and pneumonia mortality and readmission) with models that used chart-abstracted data for risk-adjustment. Specifically, claims model validation was conducted by building comparable models using abstracted medical chart data for risk adjustment for AMI patients (Cooperative Cardiovascular Project data), (Krumholz HM, et al., 2006) heart failure patients (National Heart Failure data), (Krumholz HM, et al., 2006, Keenan PS, et al., 2006), and pneumonia patients (National Pneumonia Project dataset), (Bratzler DW, et al., 2011). When both models were applied to the same patient population, the hospital risk-standardized rates estimated using the claims-based risk adjustment models had a high level of agreement with the results based on the medical record model, thus supporting the use of the claims-based models for public reporting. </w:t>
      </w:r>
    </w:p>
    <w:p w14:paraId="3CFEE4FA"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8B84F56"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We have also completed two national, multi-site validation efforts for two procedure-based complications measures (for primary elective hip/knee arthroplasty and implantable cardioverter defibrillator [ICD]). Both projects demonstrated strong agreement between complications coded in claims and abstracted medical chart data. These validation efforts suggest that such claims data variables are valid across a variety of conditions. </w:t>
      </w:r>
    </w:p>
    <w:p w14:paraId="31C876C0"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u w:val="single"/>
        </w:rPr>
      </w:pPr>
    </w:p>
    <w:p w14:paraId="72807BCA" w14:textId="77777777" w:rsidR="00773896" w:rsidRPr="00BA657F"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BA657F">
        <w:rPr>
          <w:rFonts w:cstheme="minorHAnsi"/>
          <w:bCs/>
          <w:i/>
        </w:rPr>
        <w:t>Validity Indicated by Established Measure Development Guidelines:</w:t>
      </w:r>
    </w:p>
    <w:p w14:paraId="4619DEA2"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97EB634"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We developed this measure in consultation with national guidelines for publicly reported outcomes measures, with outside experts, and with the public. The measure is consistent with the technical approach to outcomes measurement set forth in National Quality Forum (NQF) guidance for outcomes measures (National Quality Forum, 2012), CMS Measure Management System guidance, and the guidance articulated in the American Heart Association scientific statement, “Standards for Statistical Models Used for Public Reporting of Health Outcomes” (Krumholz HM, et al., 2006). </w:t>
      </w:r>
    </w:p>
    <w:p w14:paraId="3D20E26D"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19B3AE7" w14:textId="77777777" w:rsidR="00773896" w:rsidRPr="008A0611"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8A0611">
        <w:rPr>
          <w:rFonts w:cstheme="minorHAnsi"/>
          <w:bCs/>
          <w:i/>
        </w:rPr>
        <w:t xml:space="preserve">Validation Against Other Outcomes Measures: </w:t>
      </w:r>
    </w:p>
    <w:p w14:paraId="2B2F7873"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72CA706"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In order to test the construct validity of the HWR measure, we examined whether hospitals considered “top performers” according to other measures and ranking systems had lower hospital-wide risk-standardized readmission rates than remaining hospitals when applying our measure to the Medicare FFS population. This type of validity testing tests the assumption that hospitals considered top </w:t>
      </w:r>
      <w:r w:rsidRPr="00773896">
        <w:rPr>
          <w:rFonts w:cstheme="minorHAnsi"/>
          <w:bCs/>
        </w:rPr>
        <w:lastRenderedPageBreak/>
        <w:t xml:space="preserve">performers have developed an organizational culture of excellence that will manifest itself in better outcomes including lower hospital-wide readmission rates. However, there are multiple challenges associated with this approach: </w:t>
      </w:r>
    </w:p>
    <w:p w14:paraId="67106373"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1. There are many measures and ranking systems available, using a variety of criteria in order to define and select top performers, including: adherence to core processes of care, complications and safety indexes, resource utilization, outcomes, patient satisfaction, and even reputation. “Top performers” on one measure are not the same as “top performers” on another. Moreover, most of these measures are not themselves validated. </w:t>
      </w:r>
    </w:p>
    <w:p w14:paraId="7AC41D8C"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2. In many cases, the methodology for identifying “top performers” is proprietary and not transparent. </w:t>
      </w:r>
    </w:p>
    <w:p w14:paraId="50AE7DD8"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3. The starting set of hospitals from which different ranking systems select the top performers usually includes only a subset of all acute care hospitals included in the HWR measure; in most cases it is not possible to replicate this starting set exactly. </w:t>
      </w:r>
    </w:p>
    <w:p w14:paraId="511E9638"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4. We have not found a ranking system which specifically measures factors most relevant to readmission risk, such as medication reconciliation, patient education, post-discharge follow up, or communication with outpatient clinicians. </w:t>
      </w:r>
    </w:p>
    <w:p w14:paraId="1D75B884"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After reviewing ranking systems, we selected the following three to use for construct validity testing because they are widely used and their methodology is available to the public: </w:t>
      </w:r>
    </w:p>
    <w:p w14:paraId="48344F15"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9CABC23"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1. Hospital Consumer Assessment of Healthcare Providers and Systems (HCAHPS) survey score </w:t>
      </w:r>
    </w:p>
    <w:p w14:paraId="11A04696" w14:textId="77777777" w:rsidR="00773896" w:rsidRPr="00773896" w:rsidRDefault="00E85A9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hyperlink r:id="rId14" w:history="1">
        <w:r w:rsidR="00773896" w:rsidRPr="00773896">
          <w:rPr>
            <w:rStyle w:val="Hyperlink"/>
            <w:rFonts w:cstheme="minorHAnsi"/>
            <w:color w:val="auto"/>
          </w:rPr>
          <w:t>http://www.hcahpsonline.org/home.aspx</w:t>
        </w:r>
      </w:hyperlink>
      <w:r w:rsidR="00773896" w:rsidRPr="00773896">
        <w:rPr>
          <w:rFonts w:cstheme="minorHAnsi"/>
          <w:bCs/>
        </w:rPr>
        <w:t xml:space="preserve"> </w:t>
      </w:r>
    </w:p>
    <w:p w14:paraId="4CC0A0FD"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2. Thomson Reuters 100 top hospitals </w:t>
      </w:r>
    </w:p>
    <w:p w14:paraId="14ECE21B" w14:textId="77777777" w:rsidR="00773896" w:rsidRPr="00773896" w:rsidRDefault="00E85A9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hyperlink r:id="rId15" w:history="1">
        <w:r w:rsidR="00773896" w:rsidRPr="00773896">
          <w:rPr>
            <w:rStyle w:val="Hyperlink"/>
            <w:rFonts w:cstheme="minorHAnsi"/>
            <w:color w:val="auto"/>
          </w:rPr>
          <w:t>http://100tophospitals.com/Portals/2/assets/TOP%2015313%200315%20100%20Top%20Study_web.pdf</w:t>
        </w:r>
      </w:hyperlink>
    </w:p>
    <w:p w14:paraId="5EAAD144"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3. Joint Commission list of Top Performers on Key Quality Measures </w:t>
      </w:r>
    </w:p>
    <w:p w14:paraId="5A2B0507" w14:textId="77777777" w:rsidR="00773896" w:rsidRPr="00773896" w:rsidRDefault="00E85A9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hyperlink r:id="rId16" w:history="1">
        <w:r w:rsidR="00773896" w:rsidRPr="00773896">
          <w:rPr>
            <w:rStyle w:val="Hyperlink"/>
            <w:rFonts w:cstheme="minorHAnsi"/>
            <w:color w:val="auto"/>
          </w:rPr>
          <w:t>http://www.jointcommission.org/accreditation/top_performers.aspx</w:t>
        </w:r>
      </w:hyperlink>
    </w:p>
    <w:p w14:paraId="3F6CC9E4"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B89FC54"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
          <w:bCs/>
        </w:rPr>
        <w:t xml:space="preserve">1. HCAHPS </w:t>
      </w:r>
    </w:p>
    <w:p w14:paraId="07A20DD1"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From the 27 questions in the HCAHPS survey, we selected seven that we felt were most likely to be correlated with readmission rates based on clinical judgment and previously reported results by others (Akamigbo A, 2010, Jha, AK, et al., 2008). Based on previous results we expected to see that patient satisfaction is significantly correlated with hospital readmission rates. For this analysis, we compared 2009 HCAHPS results to 2009 Medicare FFS RSRRs. See results in Section 2b2.3. </w:t>
      </w:r>
    </w:p>
    <w:p w14:paraId="6EF8C298"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84E3FD9"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
          <w:bCs/>
        </w:rPr>
        <w:t xml:space="preserve">2. Thomson Reuters Top 100 Hospitals </w:t>
      </w:r>
    </w:p>
    <w:p w14:paraId="4CF440C5"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Given that this measure includes several elements theoretically related to readmission risk, including complications, patient safety, readmissions, and HCAHPS, we felt this measure was a reasonable candidate for construct validity testing. However, since the measure also contains other components such as core measures, expenses, and profitability that would not be expected to correlate with readmission, we expected the analysis to show at best small improvements in readmission performance among top performers. See results in Section 2b2.3. </w:t>
      </w:r>
    </w:p>
    <w:p w14:paraId="5165B6B5"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61F223C" w14:textId="77777777" w:rsidR="00773896" w:rsidRP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
          <w:bCs/>
        </w:rPr>
        <w:t xml:space="preserve">3. The Joint Commission’s Top Performers on Key Quality Measures program </w:t>
      </w:r>
    </w:p>
    <w:p w14:paraId="33712187" w14:textId="27D51D98"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Of the Joint Commission’s list of 405 top performers, we selected only those 158 hospitals with superior performance in </w:t>
      </w:r>
      <w:r w:rsidRPr="00773896">
        <w:rPr>
          <w:rFonts w:cstheme="minorHAnsi"/>
          <w:bCs/>
          <w:i/>
          <w:iCs/>
        </w:rPr>
        <w:t xml:space="preserve">all four </w:t>
      </w:r>
      <w:r w:rsidRPr="00773896">
        <w:rPr>
          <w:rFonts w:cstheme="minorHAnsi"/>
          <w:bCs/>
        </w:rPr>
        <w:t xml:space="preserve">adult measure sets (HWR is for patients 18 years and older), on the assumption that these hospitals demonstrated hospital-wide performance excellence. We calculated their hospital-wide readmission rates and compared them to those of other hospitals. However, since numerous studies have shown that there is little relationship between performance on core process measures and outcomes including mortality and readmission rates we expected the Joint Commission’s top performers </w:t>
      </w:r>
      <w:r w:rsidRPr="00773896">
        <w:rPr>
          <w:rFonts w:cstheme="minorHAnsi"/>
          <w:bCs/>
        </w:rPr>
        <w:lastRenderedPageBreak/>
        <w:t xml:space="preserve">to have similar risk-standardized readmission rates as other hospitals, (Bradley E H, et al., 2006; Werner R, et al., 2006; Fonarow GC, et al. 2007; Fonarow GC and Peterson E, 2009; Jha AK, et al., 2009; Patterson M, et al., 2010; Shwartz, M et al., 2011). See results in Section 2b2.3. </w:t>
      </w:r>
    </w:p>
    <w:p w14:paraId="35DD178D" w14:textId="5CBEDD86" w:rsidR="00BA657F"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6896FA0"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iCs/>
        </w:rPr>
      </w:pPr>
      <w:r w:rsidRPr="00773896">
        <w:rPr>
          <w:rFonts w:cstheme="minorHAnsi"/>
          <w:b/>
          <w:bCs/>
          <w:iCs/>
        </w:rPr>
        <w:t>International Classification of Diseases, Ninth Revision (ICD-9) to International Classification of Diseases, Tenth Revision (ICD-10) Conversion</w:t>
      </w:r>
    </w:p>
    <w:p w14:paraId="518C29A9"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iCs/>
        </w:rPr>
      </w:pPr>
    </w:p>
    <w:p w14:paraId="09271EC0"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Cs/>
          <w:u w:val="single"/>
        </w:rPr>
      </w:pPr>
      <w:r w:rsidRPr="00773896">
        <w:rPr>
          <w:rFonts w:cstheme="minorHAnsi"/>
          <w:bCs/>
          <w:iCs/>
          <w:u w:val="single"/>
        </w:rPr>
        <w:t>Statement of Intent</w:t>
      </w:r>
    </w:p>
    <w:p w14:paraId="3CD363DF"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iCs/>
        </w:rPr>
        <w:t xml:space="preserve">[X] Goal was to convert this measure to a new code set, fully consistent with the intent of the original measure. </w:t>
      </w:r>
    </w:p>
    <w:p w14:paraId="14AB3DBA"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iCs/>
        </w:rPr>
        <w:t xml:space="preserve">[ ] Goal was to take advantage of the more specific code set to form a new version of the measure, but fully consistent with the original intent. </w:t>
      </w:r>
    </w:p>
    <w:p w14:paraId="086BC8A3"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iCs/>
        </w:rPr>
        <w:t xml:space="preserve">[ ] The intent of the measure has changed. </w:t>
      </w:r>
    </w:p>
    <w:p w14:paraId="29FCD44E"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3698BED"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iCs/>
          <w:u w:val="single"/>
        </w:rPr>
        <w:t>Process of Conversion</w:t>
      </w:r>
    </w:p>
    <w:p w14:paraId="6329E9E6"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iCs/>
        </w:rPr>
        <w:t xml:space="preserve">ICD-10 codes were initially identified using 2015 General Equivalence Mappings (GEM) software. We then enlisted the help of clinicians with expertise in relevant areas to select and evaluate which ICD-10 codes map to the ICD-9 codes currently in use for this measure.  An ICD-9 to ICD-10 crosswalk is attached in field S.2b. (Data Dictionary or Code Table). </w:t>
      </w:r>
    </w:p>
    <w:p w14:paraId="59FEFE7C" w14:textId="77777777" w:rsidR="00BA657F" w:rsidRPr="00773896"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1454CA7" w14:textId="22AD4E1D" w:rsidR="00BA657F" w:rsidRPr="00773896"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We have also examined the updated ICD-9 Map to AHRQ Clinical Classification Software (CCS) crosswalk to the ICD-10 CCS map provided by AHRQ in preparation for the inclusion of ICD 10 data in this measure</w:t>
      </w:r>
      <w:r w:rsidRPr="00773896">
        <w:rPr>
          <w:rFonts w:cstheme="minorHAnsi"/>
          <w:bCs/>
          <w:iCs/>
        </w:rPr>
        <w:t>.</w:t>
      </w:r>
      <w:r w:rsidRPr="00773896">
        <w:rPr>
          <w:rFonts w:cstheme="minorHAnsi"/>
          <w:bCs/>
        </w:rPr>
        <w:t xml:space="preserve"> </w:t>
      </w:r>
      <w:r w:rsidRPr="00773896">
        <w:rPr>
          <w:rFonts w:cstheme="minorHAnsi"/>
          <w:bCs/>
          <w:iCs/>
        </w:rPr>
        <w:t xml:space="preserve">Please refer to the ICD-10 CCS map on the </w:t>
      </w:r>
      <w:hyperlink r:id="rId17" w:history="1">
        <w:r w:rsidRPr="00773896">
          <w:rPr>
            <w:rStyle w:val="Hyperlink"/>
            <w:rFonts w:cstheme="minorHAnsi"/>
            <w:color w:val="auto"/>
          </w:rPr>
          <w:t>AHRQ</w:t>
        </w:r>
      </w:hyperlink>
      <w:r w:rsidRPr="00773896">
        <w:rPr>
          <w:rFonts w:cstheme="minorHAnsi"/>
          <w:bCs/>
          <w:iCs/>
        </w:rPr>
        <w:t xml:space="preserve"> website.</w:t>
      </w:r>
    </w:p>
    <w:p w14:paraId="5A8B4CD5" w14:textId="5A6A63AC" w:rsidR="00461642"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u w:val="single"/>
        </w:rPr>
      </w:pPr>
    </w:p>
    <w:p w14:paraId="0846A940" w14:textId="5F764548" w:rsidR="00BA657F" w:rsidRPr="00481A0D" w:rsidRDefault="005850B5"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r w:rsidRPr="00481A0D">
        <w:rPr>
          <w:rFonts w:cstheme="minorHAnsi"/>
          <w:b/>
          <w:bCs/>
          <w:color w:val="FF0000"/>
          <w:u w:val="single"/>
        </w:rPr>
        <w:t>ACR</w:t>
      </w:r>
    </w:p>
    <w:p w14:paraId="19D7B02E"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028E8378" w14:textId="4E5BBBB1"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i/>
          <w:color w:val="FF0000"/>
        </w:rPr>
      </w:pPr>
      <w:r w:rsidRPr="00481A0D">
        <w:rPr>
          <w:rFonts w:cstheme="minorHAnsi"/>
          <w:i/>
          <w:color w:val="FF0000"/>
        </w:rPr>
        <w:t>Validity Against Other Outcomes Measures</w:t>
      </w:r>
      <w:r w:rsidR="001B555C" w:rsidRPr="00481A0D">
        <w:rPr>
          <w:rFonts w:cstheme="minorHAnsi"/>
          <w:i/>
          <w:color w:val="FF0000"/>
        </w:rPr>
        <w:t>:</w:t>
      </w:r>
    </w:p>
    <w:p w14:paraId="303C61E0" w14:textId="77777777" w:rsidR="001B555C" w:rsidRPr="00481A0D" w:rsidRDefault="001B555C"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i/>
          <w:color w:val="FF0000"/>
        </w:rPr>
      </w:pPr>
    </w:p>
    <w:p w14:paraId="30565342" w14:textId="107A9B2E"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r w:rsidRPr="00481A0D">
        <w:rPr>
          <w:rFonts w:cstheme="minorHAnsi"/>
          <w:color w:val="FF0000"/>
        </w:rPr>
        <w:t xml:space="preserve">To assess the construct validity of the </w:t>
      </w:r>
      <w:r w:rsidR="000F3633" w:rsidRPr="00481A0D">
        <w:rPr>
          <w:rFonts w:cstheme="minorHAnsi"/>
          <w:color w:val="FF0000"/>
        </w:rPr>
        <w:t xml:space="preserve">measure </w:t>
      </w:r>
      <w:r w:rsidRPr="00481A0D">
        <w:rPr>
          <w:rFonts w:cstheme="minorHAnsi"/>
          <w:color w:val="FF0000"/>
        </w:rPr>
        <w:t xml:space="preserve">at the ACO-level, we examined Pearson correlation statistics between the ACR and other NQF-endorsed measures in the ACO measure set. This type of validity testing assesses whether ACOs with better ACR performance also perform well on other quality measures with similar constructs. We tested three types of construct validity. First, we assessed the predictive validity of the ACR measure, which is the degree to which the ACR performance in a given performance year correlates with the ACOs’ performance on related measures in the subsequent year, using the </w:t>
      </w:r>
      <w:r w:rsidRPr="00481A0D">
        <w:rPr>
          <w:rFonts w:cstheme="minorHAnsi"/>
          <w:b/>
          <w:color w:val="FF0000"/>
        </w:rPr>
        <w:t>2014 Scoring  and the 2015 Scoring datasets</w:t>
      </w:r>
      <w:r w:rsidRPr="00481A0D">
        <w:rPr>
          <w:rFonts w:cstheme="minorHAnsi"/>
          <w:color w:val="FF0000"/>
        </w:rPr>
        <w:t xml:space="preserve"> for the ACO measures</w:t>
      </w:r>
      <w:r w:rsidRPr="00481A0D">
        <w:rPr>
          <w:rFonts w:cstheme="minorHAnsi"/>
          <w:b/>
          <w:color w:val="FF0000"/>
        </w:rPr>
        <w:t>.</w:t>
      </w:r>
      <w:r w:rsidRPr="00481A0D">
        <w:rPr>
          <w:rFonts w:cstheme="minorHAnsi"/>
          <w:color w:val="FF0000"/>
        </w:rPr>
        <w:t xml:space="preserve"> Using two years of data eliminates concern that overlapping data across the related measures could artificially increase the correlations. Next, we assessed convergent validity, the degree to which ACR performance correlates with similar measures and domains in the same performance year, using the </w:t>
      </w:r>
      <w:r w:rsidRPr="00481A0D">
        <w:rPr>
          <w:rFonts w:cstheme="minorHAnsi"/>
          <w:b/>
          <w:color w:val="FF0000"/>
        </w:rPr>
        <w:t xml:space="preserve">2015 Scoring dataset. </w:t>
      </w:r>
      <w:r w:rsidRPr="00481A0D">
        <w:rPr>
          <w:rFonts w:cstheme="minorHAnsi"/>
          <w:color w:val="FF0000"/>
        </w:rPr>
        <w:t xml:space="preserve">Lastly, we assessed discriminative validity by examining ACR performance correlation with theoretically dissimilar ACO measures in the same performance year using the </w:t>
      </w:r>
      <w:r w:rsidRPr="00481A0D">
        <w:rPr>
          <w:rFonts w:cstheme="minorHAnsi"/>
          <w:b/>
          <w:color w:val="FF0000"/>
        </w:rPr>
        <w:t>2015 Scoring dataset.</w:t>
      </w:r>
    </w:p>
    <w:p w14:paraId="7AC4DB73"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6D23BEC4"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rPr>
      </w:pPr>
      <w:r w:rsidRPr="00481A0D">
        <w:rPr>
          <w:rFonts w:cstheme="minorHAnsi"/>
          <w:b/>
          <w:bCs/>
          <w:color w:val="FF0000"/>
        </w:rPr>
        <w:t>1. Predictive Validity: Comparison with other NQF endorsed ACO measures in subsequent performance years:</w:t>
      </w:r>
    </w:p>
    <w:p w14:paraId="0F5A45F0"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p>
    <w:p w14:paraId="1539CED9" w14:textId="1850A500"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r w:rsidRPr="00481A0D">
        <w:rPr>
          <w:rFonts w:cstheme="minorHAnsi"/>
          <w:color w:val="FF0000"/>
        </w:rPr>
        <w:t>We assessed the degree to which the ACOs’ overall and care coordination/ patient safety performance scores, calculated according to the ACO scoring methodology, correlate with the ACOs’ ACR performance. We assessed the association between ACOs’ ACR RSRR and their risk</w:t>
      </w:r>
      <w:r w:rsidR="000D3D1B">
        <w:rPr>
          <w:rFonts w:cstheme="minorHAnsi"/>
          <w:color w:val="FF0000"/>
        </w:rPr>
        <w:t>-</w:t>
      </w:r>
      <w:r w:rsidRPr="00481A0D">
        <w:rPr>
          <w:rFonts w:cstheme="minorHAnsi"/>
          <w:color w:val="FF0000"/>
        </w:rPr>
        <w:t xml:space="preserve">adjusted all-cause admission rate (RSAAR) for the all-cause unplanned admission for patients with diabetes, all-cause </w:t>
      </w:r>
      <w:r w:rsidRPr="00481A0D">
        <w:rPr>
          <w:rFonts w:cstheme="minorHAnsi"/>
          <w:color w:val="FF0000"/>
        </w:rPr>
        <w:lastRenderedPageBreak/>
        <w:t xml:space="preserve">unplanned admissions measure for patients with heart failure, and the all-cause unplanned admissions measures for patients with multiple chronic conditions. We expect ACOs with lower RSRRs (better performance) would also exhibit lower RSAARs for unplanned admissions measures (n=321 ACOs). </w:t>
      </w:r>
    </w:p>
    <w:p w14:paraId="3BF54B5C"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p>
    <w:p w14:paraId="4C58E9D4"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color w:val="FF0000"/>
        </w:rPr>
      </w:pPr>
      <w:r w:rsidRPr="00481A0D">
        <w:rPr>
          <w:rFonts w:cstheme="minorHAnsi"/>
          <w:b/>
          <w:color w:val="FF0000"/>
        </w:rPr>
        <w:t>2. Convergent Validity: Comparison with related measures in the same performance year</w:t>
      </w:r>
    </w:p>
    <w:p w14:paraId="0A0F48F4"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color w:val="FF0000"/>
        </w:rPr>
      </w:pPr>
      <w:r w:rsidRPr="00481A0D">
        <w:rPr>
          <w:rFonts w:cstheme="minorHAnsi"/>
          <w:b/>
          <w:color w:val="FF0000"/>
        </w:rPr>
        <w:t>Care Coordination/ Patient Safety domain points</w:t>
      </w:r>
    </w:p>
    <w:p w14:paraId="076E7171"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r w:rsidRPr="00481A0D">
        <w:rPr>
          <w:rFonts w:cstheme="minorHAnsi"/>
          <w:color w:val="FF0000"/>
        </w:rPr>
        <w:t>This score was calculated according to the 2015 ACO scoring methodology where similar measures are grouped into domains and are given points according to the benchmarks. These measures include: the ambulatory sensitive conditions admissions for chronic obstructive pulmonary disease or asthma in older adults (PQI #5) and</w:t>
      </w:r>
      <w:r w:rsidRPr="00481A0D">
        <w:rPr>
          <w:rFonts w:cs="Times New Roman"/>
          <w:color w:val="FF0000"/>
        </w:rPr>
        <w:t xml:space="preserve"> </w:t>
      </w:r>
      <w:r w:rsidRPr="00481A0D">
        <w:rPr>
          <w:rFonts w:cstheme="minorHAnsi"/>
          <w:color w:val="FF0000"/>
        </w:rPr>
        <w:t>heart failure (PQI #8), screening for future falls (ACO-13), documentation of current medications in the medical record (ACO-39), and the percent of primary care providers who successfully meet meaningful use requirements (ACO-11). Points received for the ACR measure were subtracted from the domain score for this analysis. ACOs that started in 2015 or that did not completely report were excluded from this analysis. ACOs starting in 2015 (n=89 ACOs) were scored based on reporting only and ACOs that did not completely report (n=8 ACOs) have suppressed non-claims-based measure scores as a result of not reporting and were excluded from this analysis. We expected that ACOs with lower RSRRs (better performance) would also perform well (receive more overall points) on the domain (n=313 ACOs).</w:t>
      </w:r>
    </w:p>
    <w:p w14:paraId="3302A364" w14:textId="77777777" w:rsidR="00BA657F" w:rsidRPr="002A6580"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p>
    <w:p w14:paraId="0742F4AB"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color w:val="FF0000"/>
        </w:rPr>
      </w:pPr>
      <w:r w:rsidRPr="00481A0D">
        <w:rPr>
          <w:rFonts w:cstheme="minorHAnsi"/>
          <w:b/>
          <w:color w:val="FF0000"/>
        </w:rPr>
        <w:t>Overall Performance Scores</w:t>
      </w:r>
    </w:p>
    <w:p w14:paraId="2EB10695"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r w:rsidRPr="00481A0D">
        <w:rPr>
          <w:color w:val="FF0000"/>
        </w:rPr>
        <w:t xml:space="preserve">The overall performance score is the ACO’s final performance score, calculated according to the 2015 ACO scoring methodology. This score includes quality improvement points and pay-for-reporting measures. </w:t>
      </w:r>
      <w:r w:rsidRPr="00481A0D">
        <w:rPr>
          <w:rFonts w:cstheme="minorHAnsi"/>
          <w:color w:val="FF0000"/>
        </w:rPr>
        <w:t xml:space="preserve">ACOs that started in 2015 (n=89 ACOs) and ACOs that did not completely report (n=8 ACOs) were excluded from this calculation. We expected that ACOs with lower RSRRs would also perform well on the overall performance score (n=313 ACOs). </w:t>
      </w:r>
    </w:p>
    <w:p w14:paraId="58566063"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p>
    <w:p w14:paraId="04BCA324"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color w:val="FF0000"/>
        </w:rPr>
      </w:pPr>
      <w:r w:rsidRPr="00481A0D">
        <w:rPr>
          <w:rFonts w:cstheme="minorHAnsi"/>
          <w:b/>
          <w:color w:val="FF0000"/>
        </w:rPr>
        <w:t>Other NQF Endorsed Measures</w:t>
      </w:r>
    </w:p>
    <w:p w14:paraId="53CB4224" w14:textId="397C162B"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r w:rsidRPr="00481A0D">
        <w:rPr>
          <w:rFonts w:cstheme="minorHAnsi"/>
          <w:color w:val="FF0000"/>
        </w:rPr>
        <w:t>We also calculated the correlations for the ACR and the all-cause unplanned admissions for patients with diabetes, heart failure, and multiple chronic conditions. All ACO</w:t>
      </w:r>
      <w:r w:rsidR="00BF5B8D">
        <w:rPr>
          <w:rFonts w:cstheme="minorHAnsi"/>
          <w:color w:val="FF0000"/>
        </w:rPr>
        <w:t>’</w:t>
      </w:r>
      <w:r w:rsidRPr="00481A0D">
        <w:rPr>
          <w:rFonts w:cstheme="minorHAnsi"/>
          <w:color w:val="FF0000"/>
        </w:rPr>
        <w:t>s were included in this analysis since claims-based measures are not impacted by reporting status (n=410 ACOs).</w:t>
      </w:r>
    </w:p>
    <w:p w14:paraId="37B54368"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p>
    <w:p w14:paraId="3FE7CEF0"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color w:val="FF0000"/>
        </w:rPr>
      </w:pPr>
      <w:r w:rsidRPr="00481A0D">
        <w:rPr>
          <w:rFonts w:cstheme="minorHAnsi"/>
          <w:b/>
          <w:color w:val="FF0000"/>
        </w:rPr>
        <w:t>4. Discriminative Validity: Comparison with Dissimilar Measures</w:t>
      </w:r>
    </w:p>
    <w:p w14:paraId="3AFAA514" w14:textId="77777777"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color w:val="FF0000"/>
        </w:rPr>
      </w:pPr>
      <w:r w:rsidRPr="00481A0D">
        <w:rPr>
          <w:rFonts w:cstheme="minorHAnsi"/>
          <w:b/>
          <w:color w:val="FF0000"/>
        </w:rPr>
        <w:t xml:space="preserve">Preventive Care Domain Points </w:t>
      </w:r>
    </w:p>
    <w:p w14:paraId="0EEA7968" w14:textId="2DC65AEF" w:rsidR="00BA657F" w:rsidRPr="00481A0D" w:rsidRDefault="00BA657F" w:rsidP="00BA657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color w:val="FF0000"/>
        </w:rPr>
      </w:pPr>
      <w:r w:rsidRPr="00481A0D">
        <w:rPr>
          <w:rFonts w:cstheme="minorHAnsi"/>
          <w:color w:val="FF0000"/>
        </w:rPr>
        <w:t>We compared ACO’s performance on the ACR measure with performance on measures in an unrelated domain, the preventive care domain</w:t>
      </w:r>
      <w:r w:rsidRPr="00481A0D">
        <w:rPr>
          <w:rFonts w:cstheme="minorHAnsi"/>
          <w:b/>
          <w:color w:val="FF0000"/>
        </w:rPr>
        <w:t xml:space="preserve"> </w:t>
      </w:r>
      <w:r w:rsidRPr="00481A0D">
        <w:rPr>
          <w:rFonts w:cstheme="minorHAnsi"/>
          <w:color w:val="FF0000"/>
        </w:rPr>
        <w:t>which</w:t>
      </w:r>
      <w:r w:rsidRPr="00481A0D">
        <w:rPr>
          <w:rFonts w:cstheme="minorHAnsi"/>
          <w:b/>
          <w:color w:val="FF0000"/>
        </w:rPr>
        <w:t xml:space="preserve"> </w:t>
      </w:r>
      <w:r w:rsidRPr="00481A0D">
        <w:rPr>
          <w:rFonts w:cstheme="minorHAnsi"/>
          <w:color w:val="FF0000"/>
        </w:rPr>
        <w:t xml:space="preserve">includes Breast Cancer Screening, Colorectal Cancer Screening, Preventive Care and Screening: Influenza Immunization, BMI Screening, Tobacco Use: Screening and Cessation, High Blood Pressure Screening and Follow-up, and Screening for Clinical Depression and Follow-up Plan. We excluded the Pneumonia Vaccination Status for Older Adults from this analysis as this measure may be associated with reduced admissions and subsequent readmissions. We would not expect the ACR to have a strong association with the preventive care domain measures (n=313 ACOs). </w:t>
      </w:r>
    </w:p>
    <w:p w14:paraId="3E7EA76F" w14:textId="77777777" w:rsidR="00BA657F"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u w:val="single"/>
        </w:rPr>
      </w:pPr>
    </w:p>
    <w:p w14:paraId="162007B2" w14:textId="3AC96097" w:rsidR="00773896" w:rsidRPr="00BA657F"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r w:rsidRPr="00BA657F">
        <w:rPr>
          <w:rFonts w:cstheme="minorHAnsi"/>
          <w:b/>
          <w:bCs/>
          <w:u w:val="single"/>
        </w:rPr>
        <w:t xml:space="preserve">References: </w:t>
      </w:r>
    </w:p>
    <w:p w14:paraId="65D3EE5C" w14:textId="73776F74"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Akamigbo A. The Relationship Between Hospital Readmissions and HCAHPS Scores 2010; </w:t>
      </w:r>
      <w:hyperlink r:id="rId18" w:history="1">
        <w:r w:rsidRPr="00773896">
          <w:rPr>
            <w:rStyle w:val="Hyperlink"/>
            <w:rFonts w:cstheme="minorHAnsi"/>
            <w:color w:val="auto"/>
          </w:rPr>
          <w:t>https://cahps.ahrq.gov/news-and-events/events/UGM12/CAHPS/AkamigboA.pdf</w:t>
        </w:r>
      </w:hyperlink>
    </w:p>
    <w:p w14:paraId="47FBBD36"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0E6C3031" w14:textId="41137D90"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lastRenderedPageBreak/>
        <w:t>Bradley EH, Herrin J, Elbel, B, McNamara, RL, Magid, DJ, Nallamothu, BK, Krumholz, HM. Hospital quality for acute myocardial infarction: Correlation among process measures and relationship with short-term mortality. Journal of the American Medical Association 2006;296:72-78.</w:t>
      </w:r>
    </w:p>
    <w:p w14:paraId="23C4E34B"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7818970" w14:textId="0B8A4123"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Bratzler DW, Normand SL, Wang Y, et al. An administrative claims model for profiling hospital 30-day mortality rates for pneumonia patients. PLoS One 2011;6(4):e17401. </w:t>
      </w:r>
    </w:p>
    <w:p w14:paraId="51F1A4B2"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F826C05" w14:textId="18C7B045"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Fonarow GC et al. Association between performance measures and clinical outcomes for patients hospitalized with heart failure. Journal of the American Medical Association 2007; 297(1):61-70.</w:t>
      </w:r>
    </w:p>
    <w:p w14:paraId="3FC21212"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7976EFF4" w14:textId="1010ADC5"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Fonarow GC and Peterson E. Heart failure performance measures and outcomes. Journal of the American Medical Association 2009; 302(7): 792-794.</w:t>
      </w:r>
    </w:p>
    <w:p w14:paraId="6AE70899"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2E05275" w14:textId="4D17FC09"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Jha AK, Orav EJ, Zheng J, and Epstein AM. Patients’ perception of hospital care in the United States. New England Journal of Medicine 2008;359 (18):1921-31.</w:t>
      </w:r>
    </w:p>
    <w:p w14:paraId="2C2CD2E4"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2C84538" w14:textId="0D157C82"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Jha AK, Orav EJ, Zheng J, and Epstein AM. Public reporting of discharge planning and rates of readmissions. New England Journal of Medicine 2009; 361(27):2637-45.</w:t>
      </w:r>
    </w:p>
    <w:p w14:paraId="0C564B1D"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81452B4" w14:textId="18B0C55E"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Keenan PS, Normand SL, Lin Z, et al. An administrative claims measure suitable for profiling hospital performance on the basis of 30-day all-cause readmission rates among patients with heart failure. Circulation 2008;1(1):29-37.</w:t>
      </w:r>
    </w:p>
    <w:p w14:paraId="50907320"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EB5A9AA" w14:textId="063741D8"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Krumholz HM, Wang Y, Mattera JA, et al. An administrative claims model suitable for profiling hospital performance based on 30-day mortality rates among patients with an acute myocardial infarction. Circulation 2006;113(13):1683-92. </w:t>
      </w:r>
    </w:p>
    <w:p w14:paraId="10E5A9A1"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A3ADCA3" w14:textId="62FCF982"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Krumholz HM, Wang Y, Mattera JA, et al. An administrative claims model suitable for profiling hospital performance based on 30-day mortality rates among patients with heart failure. Circulation 2006;113:1693-1701. </w:t>
      </w:r>
    </w:p>
    <w:p w14:paraId="1DFCD78E"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F2F390C" w14:textId="72158ED2"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Krumholz HM, Brindis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January 24, 2006 2006;113(3):456-462.</w:t>
      </w:r>
    </w:p>
    <w:p w14:paraId="401510AA"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1AC6769" w14:textId="20A92AE1"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 xml:space="preserve">National Quality Forum. National voluntary consensus standards for patient outcomes, first report for phases 1 and 2: A consensus report REVISED Hospital-Wide Readmission NQF Application January 5, 2012 31 </w:t>
      </w:r>
    </w:p>
    <w:p w14:paraId="14DEB010"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E08101F" w14:textId="1D0C12B2"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Patterson M, et al. Process of care performance measures and long-term outcomes in patients hospitalized with heart failure. Medical Care 2010; 48(3):210-216.</w:t>
      </w:r>
    </w:p>
    <w:p w14:paraId="73360ACE"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065F3B19" w14:textId="1837B081"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t>Shwartz M, et al. How well can we identify the high-performing hospital? Medical Care Research and Review 68;3 (2011):290-310</w:t>
      </w:r>
    </w:p>
    <w:p w14:paraId="2B7B0108" w14:textId="77777777" w:rsidR="00461642" w:rsidRPr="00773896" w:rsidRDefault="00461642"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705697B" w14:textId="182CD009" w:rsidR="00773896" w:rsidRDefault="00773896"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773896">
        <w:rPr>
          <w:rFonts w:cstheme="minorHAnsi"/>
          <w:bCs/>
        </w:rPr>
        <w:lastRenderedPageBreak/>
        <w:t>Werner R and Bradlow E. Relationship between Medicare’s hospital compare performance measures and mortality rates. Journal of the American Medical Asso</w:t>
      </w:r>
      <w:r w:rsidR="00BA657F">
        <w:rPr>
          <w:rFonts w:cstheme="minorHAnsi"/>
          <w:bCs/>
        </w:rPr>
        <w:t xml:space="preserve">ciation 2006;296(22):2694-270. </w:t>
      </w:r>
    </w:p>
    <w:p w14:paraId="7A88D803" w14:textId="77777777" w:rsidR="00BA657F" w:rsidRPr="00773896" w:rsidRDefault="00BA657F" w:rsidP="0077389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AE9B17B" w14:textId="77777777" w:rsidR="00833325" w:rsidRPr="002F2AE5" w:rsidRDefault="00833325" w:rsidP="00DB3627">
      <w:pPr>
        <w:autoSpaceDE w:val="0"/>
        <w:autoSpaceDN w:val="0"/>
        <w:adjustRightInd w:val="0"/>
        <w:spacing w:after="0" w:line="240" w:lineRule="auto"/>
        <w:rPr>
          <w:rFonts w:cstheme="minorHAnsi"/>
          <w:bCs/>
        </w:rPr>
      </w:pPr>
    </w:p>
    <w:p w14:paraId="068F9396" w14:textId="45E54BEE" w:rsidR="005F29E3" w:rsidRDefault="00092566" w:rsidP="00092566">
      <w:pPr>
        <w:autoSpaceDE w:val="0"/>
        <w:autoSpaceDN w:val="0"/>
        <w:adjustRightInd w:val="0"/>
        <w:spacing w:after="0" w:line="240" w:lineRule="auto"/>
        <w:rPr>
          <w:rFonts w:cstheme="minorHAnsi"/>
          <w:bCs/>
        </w:rPr>
      </w:pPr>
      <w:r w:rsidRPr="002F2AE5">
        <w:rPr>
          <w:rFonts w:cstheme="minorHAnsi"/>
          <w:b/>
          <w:bCs/>
        </w:rPr>
        <w:t>2b2.</w:t>
      </w:r>
      <w:r w:rsidR="007757CE" w:rsidRPr="002F2AE5">
        <w:rPr>
          <w:rFonts w:cstheme="minorHAnsi"/>
          <w:b/>
          <w:bCs/>
        </w:rPr>
        <w:t xml:space="preserve">3. </w:t>
      </w:r>
      <w:r w:rsidR="00833325" w:rsidRPr="002F2AE5">
        <w:rPr>
          <w:rFonts w:cstheme="minorHAnsi"/>
          <w:b/>
          <w:bCs/>
        </w:rPr>
        <w:t xml:space="preserve">What were the statistical results </w:t>
      </w:r>
      <w:r w:rsidR="007422FD" w:rsidRPr="002F2AE5">
        <w:rPr>
          <w:rFonts w:cstheme="minorHAnsi"/>
          <w:b/>
          <w:bCs/>
        </w:rPr>
        <w:t xml:space="preserve">from </w:t>
      </w:r>
      <w:r w:rsidR="00EC79DE" w:rsidRPr="002F2AE5">
        <w:rPr>
          <w:rFonts w:cstheme="minorHAnsi"/>
          <w:b/>
          <w:bCs/>
        </w:rPr>
        <w:t>validity</w:t>
      </w:r>
      <w:r w:rsidR="007422FD" w:rsidRPr="002F2AE5">
        <w:rPr>
          <w:rFonts w:cstheme="minorHAnsi"/>
          <w:b/>
          <w:bCs/>
        </w:rPr>
        <w:t xml:space="preserve"> testing</w:t>
      </w:r>
      <w:r w:rsidR="00833325" w:rsidRPr="002F2AE5">
        <w:rPr>
          <w:rFonts w:cstheme="minorHAnsi"/>
          <w:bCs/>
        </w:rPr>
        <w:t xml:space="preserve">? </w:t>
      </w:r>
      <w:r w:rsidR="00AA5213" w:rsidRPr="002F2AE5">
        <w:rPr>
          <w:rFonts w:cstheme="minorHAnsi"/>
          <w:bCs/>
        </w:rPr>
        <w:t>(</w:t>
      </w:r>
      <w:r w:rsidR="00AA5213" w:rsidRPr="002F2AE5">
        <w:rPr>
          <w:rFonts w:cstheme="minorHAnsi"/>
          <w:bCs/>
          <w:i/>
        </w:rPr>
        <w:t xml:space="preserve">e.g., correlation; </w:t>
      </w:r>
      <w:r w:rsidR="001F1DA1" w:rsidRPr="002F2AE5">
        <w:rPr>
          <w:rFonts w:cstheme="minorHAnsi"/>
          <w:bCs/>
          <w:i/>
        </w:rPr>
        <w:t>t-test</w:t>
      </w:r>
      <w:r w:rsidR="00AA5213" w:rsidRPr="002F2AE5">
        <w:rPr>
          <w:rFonts w:cstheme="minorHAnsi"/>
          <w:bCs/>
        </w:rPr>
        <w:t>)</w:t>
      </w:r>
    </w:p>
    <w:p w14:paraId="44787E5C" w14:textId="1C062B28" w:rsidR="00461642" w:rsidRDefault="00461642" w:rsidP="00461642">
      <w:pPr>
        <w:pStyle w:val="Default"/>
        <w:rPr>
          <w:rFonts w:asciiTheme="minorHAnsi" w:hAnsiTheme="minorHAnsi"/>
          <w:bCs/>
          <w:color w:val="auto"/>
          <w:sz w:val="22"/>
          <w:szCs w:val="22"/>
        </w:rPr>
      </w:pPr>
    </w:p>
    <w:p w14:paraId="7B08827F" w14:textId="6F60E9F1" w:rsidR="001462CC" w:rsidRDefault="001462CC" w:rsidP="00461642">
      <w:pPr>
        <w:pStyle w:val="Default"/>
        <w:rPr>
          <w:rFonts w:asciiTheme="minorHAnsi" w:hAnsiTheme="minorHAnsi"/>
          <w:b/>
          <w:bCs/>
          <w:color w:val="auto"/>
          <w:sz w:val="22"/>
          <w:szCs w:val="22"/>
          <w:u w:val="single"/>
        </w:rPr>
      </w:pPr>
      <w:r w:rsidRPr="001462CC">
        <w:rPr>
          <w:rFonts w:asciiTheme="minorHAnsi" w:hAnsiTheme="minorHAnsi"/>
          <w:b/>
          <w:bCs/>
          <w:color w:val="auto"/>
          <w:sz w:val="22"/>
          <w:szCs w:val="22"/>
          <w:u w:val="single"/>
        </w:rPr>
        <w:t xml:space="preserve">The following results are for the </w:t>
      </w:r>
      <w:r w:rsidR="00150465">
        <w:rPr>
          <w:rFonts w:asciiTheme="minorHAnsi" w:hAnsiTheme="minorHAnsi"/>
          <w:b/>
          <w:bCs/>
          <w:color w:val="auto"/>
          <w:sz w:val="22"/>
          <w:szCs w:val="22"/>
          <w:u w:val="single"/>
        </w:rPr>
        <w:t>HWR</w:t>
      </w:r>
      <w:r w:rsidR="00150465" w:rsidRPr="001462CC">
        <w:rPr>
          <w:rFonts w:asciiTheme="minorHAnsi" w:hAnsiTheme="minorHAnsi"/>
          <w:b/>
          <w:bCs/>
          <w:color w:val="auto"/>
          <w:sz w:val="22"/>
          <w:szCs w:val="22"/>
          <w:u w:val="single"/>
        </w:rPr>
        <w:t xml:space="preserve"> </w:t>
      </w:r>
      <w:r w:rsidRPr="001462CC">
        <w:rPr>
          <w:rFonts w:asciiTheme="minorHAnsi" w:hAnsiTheme="minorHAnsi"/>
          <w:b/>
          <w:bCs/>
          <w:color w:val="auto"/>
          <w:sz w:val="22"/>
          <w:szCs w:val="22"/>
          <w:u w:val="single"/>
        </w:rPr>
        <w:t>measure</w:t>
      </w:r>
      <w:r w:rsidR="001F2CD0">
        <w:rPr>
          <w:rFonts w:asciiTheme="minorHAnsi" w:hAnsiTheme="minorHAnsi"/>
          <w:b/>
          <w:bCs/>
          <w:color w:val="auto"/>
          <w:sz w:val="22"/>
          <w:szCs w:val="22"/>
          <w:u w:val="single"/>
        </w:rPr>
        <w:t>.</w:t>
      </w:r>
      <w:r w:rsidRPr="001462CC">
        <w:rPr>
          <w:rFonts w:asciiTheme="minorHAnsi" w:hAnsiTheme="minorHAnsi"/>
          <w:b/>
          <w:bCs/>
          <w:color w:val="auto"/>
          <w:sz w:val="22"/>
          <w:szCs w:val="22"/>
          <w:u w:val="single"/>
        </w:rPr>
        <w:t xml:space="preserve">  </w:t>
      </w:r>
    </w:p>
    <w:p w14:paraId="537BF504" w14:textId="77777777" w:rsidR="001462CC" w:rsidRDefault="001462CC" w:rsidP="00461642">
      <w:pPr>
        <w:pStyle w:val="Default"/>
        <w:rPr>
          <w:rFonts w:asciiTheme="minorHAnsi" w:hAnsiTheme="minorHAnsi"/>
          <w:bCs/>
          <w:color w:val="auto"/>
          <w:sz w:val="22"/>
          <w:szCs w:val="22"/>
        </w:rPr>
      </w:pPr>
    </w:p>
    <w:p w14:paraId="6A66489D" w14:textId="51299CFD" w:rsidR="00461642" w:rsidRPr="00EB7371" w:rsidRDefault="00461642" w:rsidP="00461642">
      <w:pPr>
        <w:pStyle w:val="Default"/>
        <w:rPr>
          <w:rFonts w:asciiTheme="minorHAnsi" w:hAnsiTheme="minorHAnsi"/>
          <w:bCs/>
          <w:color w:val="auto"/>
          <w:sz w:val="22"/>
          <w:szCs w:val="22"/>
        </w:rPr>
      </w:pPr>
      <w:r w:rsidRPr="00EB7371">
        <w:rPr>
          <w:rFonts w:asciiTheme="minorHAnsi" w:hAnsiTheme="minorHAnsi"/>
          <w:bCs/>
          <w:color w:val="auto"/>
          <w:sz w:val="22"/>
          <w:szCs w:val="22"/>
        </w:rPr>
        <w:t xml:space="preserve">Content validity results </w:t>
      </w:r>
      <w:r>
        <w:rPr>
          <w:rFonts w:asciiTheme="minorHAnsi" w:hAnsiTheme="minorHAnsi"/>
          <w:bCs/>
          <w:color w:val="auto"/>
          <w:sz w:val="22"/>
          <w:szCs w:val="22"/>
        </w:rPr>
        <w:t xml:space="preserve">from the analyses described above, </w:t>
      </w:r>
      <w:r w:rsidRPr="00EB7371">
        <w:rPr>
          <w:rFonts w:asciiTheme="minorHAnsi" w:hAnsiTheme="minorHAnsi"/>
          <w:bCs/>
          <w:color w:val="auto"/>
          <w:sz w:val="22"/>
          <w:szCs w:val="22"/>
        </w:rPr>
        <w:t>are presented describing comparisons of hospital performance on the HWR measure and other selected quality metrics</w:t>
      </w:r>
      <w:r>
        <w:rPr>
          <w:rFonts w:asciiTheme="minorHAnsi" w:hAnsiTheme="minorHAnsi"/>
          <w:bCs/>
          <w:color w:val="auto"/>
          <w:sz w:val="22"/>
          <w:szCs w:val="22"/>
        </w:rPr>
        <w:t>.</w:t>
      </w:r>
    </w:p>
    <w:p w14:paraId="70FC8D25" w14:textId="77777777" w:rsidR="00461642" w:rsidRPr="00EB7371" w:rsidRDefault="00461642" w:rsidP="00461642">
      <w:pPr>
        <w:pStyle w:val="Default"/>
        <w:rPr>
          <w:rFonts w:asciiTheme="minorHAnsi" w:hAnsiTheme="minorHAnsi"/>
          <w:b/>
          <w:bCs/>
          <w:color w:val="auto"/>
          <w:sz w:val="22"/>
          <w:szCs w:val="22"/>
        </w:rPr>
      </w:pPr>
    </w:p>
    <w:p w14:paraId="23BFAF24"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b/>
          <w:bCs/>
          <w:color w:val="auto"/>
          <w:sz w:val="22"/>
          <w:szCs w:val="22"/>
        </w:rPr>
        <w:t xml:space="preserve">1. HCAHPS </w:t>
      </w:r>
    </w:p>
    <w:p w14:paraId="0BAEC4BC"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color w:val="auto"/>
          <w:sz w:val="22"/>
          <w:szCs w:val="22"/>
        </w:rPr>
        <w:t xml:space="preserve">Table </w:t>
      </w:r>
      <w:r>
        <w:rPr>
          <w:rFonts w:asciiTheme="minorHAnsi" w:hAnsiTheme="minorHAnsi"/>
          <w:color w:val="auto"/>
          <w:sz w:val="22"/>
          <w:szCs w:val="22"/>
        </w:rPr>
        <w:t xml:space="preserve">1. </w:t>
      </w:r>
      <w:r w:rsidRPr="00EB7371">
        <w:rPr>
          <w:rFonts w:asciiTheme="minorHAnsi" w:hAnsiTheme="minorHAnsi"/>
          <w:color w:val="auto"/>
          <w:sz w:val="22"/>
          <w:szCs w:val="22"/>
        </w:rPr>
        <w:t xml:space="preserve">shows the correlation (Pearson correlation coefficient) between RSRR and the proportion of patients who responded in that given manner to the question. The analysis includes the 3,723 hospitals that publicly report HCAHPS results. </w:t>
      </w:r>
    </w:p>
    <w:p w14:paraId="4ABE0CCE" w14:textId="77777777" w:rsidR="00461642" w:rsidRPr="00EB7371" w:rsidRDefault="00461642" w:rsidP="00461642">
      <w:pPr>
        <w:pStyle w:val="Default"/>
        <w:rPr>
          <w:rFonts w:asciiTheme="minorHAnsi" w:hAnsiTheme="minorHAnsi"/>
          <w:b/>
          <w:bCs/>
          <w:color w:val="auto"/>
          <w:sz w:val="22"/>
          <w:szCs w:val="22"/>
        </w:rPr>
      </w:pPr>
    </w:p>
    <w:p w14:paraId="77FE10A0" w14:textId="77777777" w:rsidR="00461642" w:rsidRPr="00EB7371" w:rsidRDefault="00461642" w:rsidP="00461642">
      <w:pPr>
        <w:pStyle w:val="Default"/>
        <w:rPr>
          <w:rFonts w:asciiTheme="minorHAnsi" w:hAnsiTheme="minorHAnsi"/>
          <w:b/>
          <w:bCs/>
          <w:color w:val="auto"/>
          <w:sz w:val="22"/>
          <w:szCs w:val="22"/>
        </w:rPr>
      </w:pPr>
      <w:r w:rsidRPr="00EB7371">
        <w:rPr>
          <w:rFonts w:asciiTheme="minorHAnsi" w:hAnsiTheme="minorHAnsi"/>
          <w:b/>
          <w:bCs/>
          <w:color w:val="auto"/>
          <w:sz w:val="22"/>
          <w:szCs w:val="22"/>
        </w:rPr>
        <w:t xml:space="preserve">Table </w:t>
      </w:r>
      <w:r>
        <w:rPr>
          <w:rFonts w:asciiTheme="minorHAnsi" w:hAnsiTheme="minorHAnsi"/>
          <w:b/>
          <w:bCs/>
          <w:color w:val="auto"/>
          <w:sz w:val="22"/>
          <w:szCs w:val="22"/>
        </w:rPr>
        <w:t>1.</w:t>
      </w:r>
      <w:r w:rsidRPr="00EB7371">
        <w:rPr>
          <w:rFonts w:asciiTheme="minorHAnsi" w:hAnsiTheme="minorHAnsi"/>
          <w:b/>
          <w:bCs/>
          <w:color w:val="auto"/>
          <w:sz w:val="22"/>
          <w:szCs w:val="22"/>
        </w:rPr>
        <w:t xml:space="preserve"> Correlation between RSRR (2009 Medicare FFS data) and HCAHPS response (N=3,723 hospitals) </w:t>
      </w:r>
    </w:p>
    <w:tbl>
      <w:tblPr>
        <w:tblStyle w:val="TableGrid"/>
        <w:tblW w:w="0" w:type="auto"/>
        <w:tblLayout w:type="fixed"/>
        <w:tblLook w:val="04A0" w:firstRow="1" w:lastRow="0" w:firstColumn="1" w:lastColumn="0" w:noHBand="0" w:noVBand="1"/>
      </w:tblPr>
      <w:tblGrid>
        <w:gridCol w:w="7375"/>
        <w:gridCol w:w="1620"/>
      </w:tblGrid>
      <w:tr w:rsidR="00461642" w:rsidRPr="00EB7371" w14:paraId="22C8E008" w14:textId="77777777" w:rsidTr="001462CC">
        <w:trPr>
          <w:cantSplit/>
          <w:tblHeader/>
        </w:trPr>
        <w:tc>
          <w:tcPr>
            <w:tcW w:w="7375" w:type="dxa"/>
            <w:shd w:val="clear" w:color="auto" w:fill="DBE5F1" w:themeFill="accent1" w:themeFillTint="33"/>
          </w:tcPr>
          <w:p w14:paraId="68D0C980" w14:textId="77777777" w:rsidR="00461642" w:rsidRPr="00D21CA3" w:rsidRDefault="00461642" w:rsidP="008027BA">
            <w:pPr>
              <w:pStyle w:val="Default"/>
              <w:rPr>
                <w:rFonts w:asciiTheme="minorHAnsi" w:hAnsiTheme="minorHAnsi"/>
                <w:b/>
                <w:color w:val="auto"/>
                <w:sz w:val="22"/>
                <w:szCs w:val="22"/>
              </w:rPr>
            </w:pPr>
            <w:r w:rsidRPr="00D21CA3">
              <w:rPr>
                <w:rFonts w:asciiTheme="minorHAnsi" w:hAnsiTheme="minorHAnsi"/>
                <w:b/>
                <w:color w:val="auto"/>
                <w:sz w:val="22"/>
                <w:szCs w:val="22"/>
              </w:rPr>
              <w:t>HCAHPS Question</w:t>
            </w:r>
          </w:p>
        </w:tc>
        <w:tc>
          <w:tcPr>
            <w:tcW w:w="1620" w:type="dxa"/>
            <w:shd w:val="clear" w:color="auto" w:fill="DBE5F1" w:themeFill="accent1" w:themeFillTint="33"/>
          </w:tcPr>
          <w:p w14:paraId="2CCF2B9D" w14:textId="77777777" w:rsidR="00461642" w:rsidRPr="00D21CA3" w:rsidRDefault="00461642" w:rsidP="008027BA">
            <w:pPr>
              <w:pStyle w:val="Default"/>
              <w:rPr>
                <w:rFonts w:asciiTheme="minorHAnsi" w:hAnsiTheme="minorHAnsi"/>
                <w:b/>
                <w:color w:val="auto"/>
                <w:sz w:val="22"/>
                <w:szCs w:val="22"/>
              </w:rPr>
            </w:pPr>
            <w:r w:rsidRPr="00D21CA3">
              <w:rPr>
                <w:rFonts w:asciiTheme="minorHAnsi" w:hAnsiTheme="minorHAnsi"/>
                <w:b/>
                <w:color w:val="auto"/>
                <w:sz w:val="22"/>
                <w:szCs w:val="22"/>
              </w:rPr>
              <w:t>Correlation</w:t>
            </w:r>
          </w:p>
        </w:tc>
      </w:tr>
      <w:tr w:rsidR="00461642" w:rsidRPr="00EB7371" w14:paraId="77F014CC" w14:textId="77777777" w:rsidTr="008027BA">
        <w:trPr>
          <w:cantSplit/>
          <w:tblHeader/>
        </w:trPr>
        <w:tc>
          <w:tcPr>
            <w:tcW w:w="7375" w:type="dxa"/>
          </w:tcPr>
          <w:p w14:paraId="0F475D03"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Pain was ‘sometimes’ or ‘never’ well controlled</w:t>
            </w:r>
          </w:p>
        </w:tc>
        <w:tc>
          <w:tcPr>
            <w:tcW w:w="1620" w:type="dxa"/>
          </w:tcPr>
          <w:p w14:paraId="3FC80838"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0.34</w:t>
            </w:r>
          </w:p>
        </w:tc>
      </w:tr>
      <w:tr w:rsidR="00461642" w:rsidRPr="00EB7371" w14:paraId="7B4CC337" w14:textId="77777777" w:rsidTr="008027BA">
        <w:trPr>
          <w:cantSplit/>
          <w:trHeight w:val="341"/>
          <w:tblHeader/>
        </w:trPr>
        <w:tc>
          <w:tcPr>
            <w:tcW w:w="7375" w:type="dxa"/>
          </w:tcPr>
          <w:p w14:paraId="505AC8C0"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Patients ‘sometimes’ or ‘never’ received help as soon as they wanted</w:t>
            </w:r>
          </w:p>
        </w:tc>
        <w:tc>
          <w:tcPr>
            <w:tcW w:w="1620" w:type="dxa"/>
          </w:tcPr>
          <w:p w14:paraId="45D4444B"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0.34</w:t>
            </w:r>
          </w:p>
        </w:tc>
      </w:tr>
      <w:tr w:rsidR="00461642" w:rsidRPr="00EB7371" w14:paraId="4E2E5D9C" w14:textId="77777777" w:rsidTr="008027BA">
        <w:trPr>
          <w:cantSplit/>
          <w:tblHeader/>
        </w:trPr>
        <w:tc>
          <w:tcPr>
            <w:tcW w:w="7375" w:type="dxa"/>
          </w:tcPr>
          <w:p w14:paraId="4AEA0A3E"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Nurses ‘sometimes’ or ‘never’ communicated well</w:t>
            </w:r>
          </w:p>
        </w:tc>
        <w:tc>
          <w:tcPr>
            <w:tcW w:w="1620" w:type="dxa"/>
          </w:tcPr>
          <w:p w14:paraId="0F97D0B5"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0.33</w:t>
            </w:r>
          </w:p>
        </w:tc>
      </w:tr>
      <w:tr w:rsidR="00461642" w:rsidRPr="00EB7371" w14:paraId="30E0C48C" w14:textId="77777777" w:rsidTr="008027BA">
        <w:trPr>
          <w:cantSplit/>
          <w:tblHeader/>
        </w:trPr>
        <w:tc>
          <w:tcPr>
            <w:tcW w:w="7375" w:type="dxa"/>
          </w:tcPr>
          <w:p w14:paraId="63CA09CE"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‘NO’ patients would not recommend the hospital</w:t>
            </w:r>
          </w:p>
        </w:tc>
        <w:tc>
          <w:tcPr>
            <w:tcW w:w="1620" w:type="dxa"/>
          </w:tcPr>
          <w:p w14:paraId="58E6FF66"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0.32</w:t>
            </w:r>
          </w:p>
        </w:tc>
      </w:tr>
      <w:tr w:rsidR="00461642" w:rsidRPr="00EB7371" w14:paraId="018D5D6D" w14:textId="77777777" w:rsidTr="008027BA">
        <w:trPr>
          <w:cantSplit/>
          <w:tblHeader/>
        </w:trPr>
        <w:tc>
          <w:tcPr>
            <w:tcW w:w="7375" w:type="dxa"/>
          </w:tcPr>
          <w:p w14:paraId="39E0F631"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Patients were ‘sometimes’ or ‘never’ given information about what to do during their recovery at home</w:t>
            </w:r>
          </w:p>
        </w:tc>
        <w:tc>
          <w:tcPr>
            <w:tcW w:w="1620" w:type="dxa"/>
          </w:tcPr>
          <w:p w14:paraId="06518CA6"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0.32</w:t>
            </w:r>
          </w:p>
        </w:tc>
      </w:tr>
      <w:tr w:rsidR="00461642" w:rsidRPr="00EB7371" w14:paraId="3713F455" w14:textId="77777777" w:rsidTr="008027BA">
        <w:trPr>
          <w:cantSplit/>
          <w:tblHeader/>
        </w:trPr>
        <w:tc>
          <w:tcPr>
            <w:tcW w:w="7375" w:type="dxa"/>
          </w:tcPr>
          <w:p w14:paraId="2745DD0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Patients who gave a rating of ‘6’ or lower</w:t>
            </w:r>
          </w:p>
        </w:tc>
        <w:tc>
          <w:tcPr>
            <w:tcW w:w="1620" w:type="dxa"/>
          </w:tcPr>
          <w:p w14:paraId="3E3CA1B2"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0.31</w:t>
            </w:r>
          </w:p>
        </w:tc>
      </w:tr>
      <w:tr w:rsidR="00461642" w:rsidRPr="00EB7371" w14:paraId="56E6D901" w14:textId="77777777" w:rsidTr="008027BA">
        <w:trPr>
          <w:cantSplit/>
          <w:tblHeader/>
        </w:trPr>
        <w:tc>
          <w:tcPr>
            <w:tcW w:w="7375" w:type="dxa"/>
          </w:tcPr>
          <w:p w14:paraId="139127C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Doctors ‘sometimes’ or ‘never’ communicated well</w:t>
            </w:r>
          </w:p>
        </w:tc>
        <w:tc>
          <w:tcPr>
            <w:tcW w:w="1620" w:type="dxa"/>
          </w:tcPr>
          <w:p w14:paraId="42AF373C"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0.21</w:t>
            </w:r>
          </w:p>
        </w:tc>
      </w:tr>
    </w:tbl>
    <w:p w14:paraId="711FDDE4"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color w:val="auto"/>
          <w:sz w:val="22"/>
          <w:szCs w:val="22"/>
        </w:rPr>
        <w:t xml:space="preserve">p value for all correlations &lt;0.001REVISED Hospital-Wide Readmission NQF Application January 5, 2012 32 </w:t>
      </w:r>
    </w:p>
    <w:p w14:paraId="6E906E8F" w14:textId="77777777" w:rsidR="00461642" w:rsidRPr="00EB7371" w:rsidRDefault="00461642" w:rsidP="00461642">
      <w:pPr>
        <w:pStyle w:val="Default"/>
        <w:rPr>
          <w:rFonts w:asciiTheme="minorHAnsi" w:hAnsiTheme="minorHAnsi"/>
          <w:color w:val="auto"/>
          <w:sz w:val="22"/>
          <w:szCs w:val="22"/>
        </w:rPr>
      </w:pPr>
    </w:p>
    <w:p w14:paraId="35EE522B"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b/>
          <w:bCs/>
          <w:color w:val="auto"/>
          <w:sz w:val="22"/>
          <w:szCs w:val="22"/>
        </w:rPr>
        <w:t xml:space="preserve">2. Thomson Reuters Top 100 Hospitals </w:t>
      </w:r>
    </w:p>
    <w:p w14:paraId="12D31CF5"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color w:val="auto"/>
          <w:sz w:val="22"/>
          <w:szCs w:val="22"/>
        </w:rPr>
        <w:t xml:space="preserve">Table </w:t>
      </w:r>
      <w:r>
        <w:rPr>
          <w:rFonts w:asciiTheme="minorHAnsi" w:hAnsiTheme="minorHAnsi"/>
          <w:color w:val="auto"/>
          <w:sz w:val="22"/>
          <w:szCs w:val="22"/>
        </w:rPr>
        <w:t>2.</w:t>
      </w:r>
      <w:r w:rsidRPr="00EB7371">
        <w:rPr>
          <w:rFonts w:asciiTheme="minorHAnsi" w:hAnsiTheme="minorHAnsi"/>
          <w:color w:val="auto"/>
          <w:sz w:val="22"/>
          <w:szCs w:val="22"/>
        </w:rPr>
        <w:t xml:space="preserve"> shows the RSRRs distribution for the top performers in comparison to the rest of hospitals. </w:t>
      </w:r>
    </w:p>
    <w:p w14:paraId="480A949B" w14:textId="77777777" w:rsidR="00461642" w:rsidRPr="00EB7371" w:rsidRDefault="00461642" w:rsidP="00461642">
      <w:pPr>
        <w:pStyle w:val="Default"/>
        <w:rPr>
          <w:rFonts w:asciiTheme="minorHAnsi" w:hAnsiTheme="minorHAnsi"/>
          <w:color w:val="auto"/>
          <w:sz w:val="22"/>
          <w:szCs w:val="22"/>
        </w:rPr>
      </w:pPr>
    </w:p>
    <w:p w14:paraId="58F3E196" w14:textId="77777777" w:rsidR="00461642" w:rsidRPr="00EB7371" w:rsidRDefault="00461642" w:rsidP="00461642">
      <w:pPr>
        <w:pStyle w:val="Default"/>
        <w:rPr>
          <w:rFonts w:asciiTheme="minorHAnsi" w:hAnsiTheme="minorHAnsi"/>
          <w:b/>
          <w:bCs/>
          <w:color w:val="auto"/>
          <w:sz w:val="22"/>
          <w:szCs w:val="22"/>
        </w:rPr>
      </w:pPr>
      <w:r w:rsidRPr="00EB7371">
        <w:rPr>
          <w:rFonts w:asciiTheme="minorHAnsi" w:hAnsiTheme="minorHAnsi"/>
          <w:b/>
          <w:bCs/>
          <w:color w:val="auto"/>
          <w:sz w:val="22"/>
          <w:szCs w:val="22"/>
        </w:rPr>
        <w:t xml:space="preserve">Table </w:t>
      </w:r>
      <w:r>
        <w:rPr>
          <w:rFonts w:asciiTheme="minorHAnsi" w:hAnsiTheme="minorHAnsi"/>
          <w:b/>
          <w:bCs/>
          <w:color w:val="auto"/>
          <w:sz w:val="22"/>
          <w:szCs w:val="22"/>
        </w:rPr>
        <w:t>2.</w:t>
      </w:r>
      <w:r w:rsidRPr="00EB7371">
        <w:rPr>
          <w:rFonts w:asciiTheme="minorHAnsi" w:hAnsiTheme="minorHAnsi"/>
          <w:b/>
          <w:bCs/>
          <w:color w:val="auto"/>
          <w:sz w:val="22"/>
          <w:szCs w:val="22"/>
        </w:rPr>
        <w:t xml:space="preserve"> Distribution of RSRRs (2009 Medicare FFS data) for the Thomson Reuters Top 100 Hospitals vs. others </w:t>
      </w:r>
    </w:p>
    <w:tbl>
      <w:tblPr>
        <w:tblStyle w:val="TableGrid"/>
        <w:tblW w:w="0" w:type="auto"/>
        <w:tblLook w:val="04A0" w:firstRow="1" w:lastRow="0" w:firstColumn="1" w:lastColumn="0" w:noHBand="0" w:noVBand="1"/>
      </w:tblPr>
      <w:tblGrid>
        <w:gridCol w:w="3116"/>
        <w:gridCol w:w="3117"/>
        <w:gridCol w:w="3117"/>
      </w:tblGrid>
      <w:tr w:rsidR="00461642" w:rsidRPr="00EB7371" w14:paraId="4649105D" w14:textId="77777777" w:rsidTr="001462CC">
        <w:trPr>
          <w:cantSplit/>
          <w:tblHeader/>
        </w:trPr>
        <w:tc>
          <w:tcPr>
            <w:tcW w:w="3116" w:type="dxa"/>
            <w:shd w:val="clear" w:color="auto" w:fill="DBE5F1" w:themeFill="accent1" w:themeFillTint="33"/>
          </w:tcPr>
          <w:p w14:paraId="1F222B2F" w14:textId="77777777" w:rsidR="00461642" w:rsidRPr="00D21CA3" w:rsidRDefault="00461642" w:rsidP="008027BA">
            <w:pPr>
              <w:pStyle w:val="Default"/>
              <w:rPr>
                <w:rFonts w:asciiTheme="minorHAnsi" w:hAnsiTheme="minorHAnsi"/>
                <w:b/>
                <w:color w:val="auto"/>
                <w:sz w:val="22"/>
                <w:szCs w:val="22"/>
              </w:rPr>
            </w:pPr>
          </w:p>
        </w:tc>
        <w:tc>
          <w:tcPr>
            <w:tcW w:w="3117" w:type="dxa"/>
            <w:shd w:val="clear" w:color="auto" w:fill="DBE5F1" w:themeFill="accent1" w:themeFillTint="33"/>
          </w:tcPr>
          <w:p w14:paraId="7CDF6EEE" w14:textId="77777777" w:rsidR="00461642" w:rsidRPr="00D21CA3" w:rsidRDefault="00461642" w:rsidP="008027BA">
            <w:pPr>
              <w:pStyle w:val="Default"/>
              <w:rPr>
                <w:rFonts w:asciiTheme="minorHAnsi" w:hAnsiTheme="minorHAnsi"/>
                <w:b/>
                <w:color w:val="auto"/>
                <w:sz w:val="22"/>
                <w:szCs w:val="22"/>
              </w:rPr>
            </w:pPr>
            <w:r w:rsidRPr="00D21CA3">
              <w:rPr>
                <w:rFonts w:asciiTheme="minorHAnsi" w:hAnsiTheme="minorHAnsi"/>
                <w:b/>
                <w:color w:val="auto"/>
                <w:sz w:val="22"/>
                <w:szCs w:val="22"/>
              </w:rPr>
              <w:t>On List</w:t>
            </w:r>
          </w:p>
        </w:tc>
        <w:tc>
          <w:tcPr>
            <w:tcW w:w="3117" w:type="dxa"/>
            <w:shd w:val="clear" w:color="auto" w:fill="DBE5F1" w:themeFill="accent1" w:themeFillTint="33"/>
          </w:tcPr>
          <w:p w14:paraId="22AF9DE5" w14:textId="77777777" w:rsidR="00461642" w:rsidRPr="00D21CA3" w:rsidRDefault="00461642" w:rsidP="008027BA">
            <w:pPr>
              <w:pStyle w:val="Default"/>
              <w:rPr>
                <w:rFonts w:asciiTheme="minorHAnsi" w:hAnsiTheme="minorHAnsi"/>
                <w:b/>
                <w:color w:val="auto"/>
                <w:sz w:val="22"/>
                <w:szCs w:val="22"/>
              </w:rPr>
            </w:pPr>
            <w:r w:rsidRPr="00D21CA3">
              <w:rPr>
                <w:rFonts w:asciiTheme="minorHAnsi" w:hAnsiTheme="minorHAnsi"/>
                <w:b/>
                <w:color w:val="auto"/>
                <w:sz w:val="22"/>
                <w:szCs w:val="22"/>
              </w:rPr>
              <w:t>Not On List</w:t>
            </w:r>
          </w:p>
        </w:tc>
      </w:tr>
      <w:tr w:rsidR="00461642" w:rsidRPr="00EB7371" w14:paraId="67F96D88" w14:textId="77777777" w:rsidTr="008027BA">
        <w:trPr>
          <w:cantSplit/>
          <w:tblHeader/>
        </w:trPr>
        <w:tc>
          <w:tcPr>
            <w:tcW w:w="3116" w:type="dxa"/>
          </w:tcPr>
          <w:p w14:paraId="7C05A622"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Number</w:t>
            </w:r>
          </w:p>
        </w:tc>
        <w:tc>
          <w:tcPr>
            <w:tcW w:w="3117" w:type="dxa"/>
          </w:tcPr>
          <w:p w14:paraId="7FC36B32"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100</w:t>
            </w:r>
          </w:p>
        </w:tc>
        <w:tc>
          <w:tcPr>
            <w:tcW w:w="3117" w:type="dxa"/>
          </w:tcPr>
          <w:p w14:paraId="06F45F51"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3017</w:t>
            </w:r>
          </w:p>
        </w:tc>
      </w:tr>
      <w:tr w:rsidR="00461642" w:rsidRPr="00EB7371" w14:paraId="770F0FF7" w14:textId="77777777" w:rsidTr="008027BA">
        <w:trPr>
          <w:cantSplit/>
          <w:tblHeader/>
        </w:trPr>
        <w:tc>
          <w:tcPr>
            <w:tcW w:w="3116" w:type="dxa"/>
          </w:tcPr>
          <w:p w14:paraId="66EBE2B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Mean (SD)</w:t>
            </w:r>
          </w:p>
        </w:tc>
        <w:tc>
          <w:tcPr>
            <w:tcW w:w="3117" w:type="dxa"/>
          </w:tcPr>
          <w:p w14:paraId="02650D9A"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16.19 (1.39)</w:t>
            </w:r>
          </w:p>
        </w:tc>
        <w:tc>
          <w:tcPr>
            <w:tcW w:w="3117" w:type="dxa"/>
          </w:tcPr>
          <w:p w14:paraId="79C78A3C"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16.65 (1.28)</w:t>
            </w:r>
          </w:p>
        </w:tc>
      </w:tr>
      <w:tr w:rsidR="00461642" w:rsidRPr="00EB7371" w14:paraId="41E3FDDF" w14:textId="77777777" w:rsidTr="008027BA">
        <w:trPr>
          <w:cantSplit/>
          <w:tblHeader/>
        </w:trPr>
        <w:tc>
          <w:tcPr>
            <w:tcW w:w="3116" w:type="dxa"/>
          </w:tcPr>
          <w:p w14:paraId="17E4645A"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Minimum</w:t>
            </w:r>
          </w:p>
        </w:tc>
        <w:tc>
          <w:tcPr>
            <w:tcW w:w="3117" w:type="dxa"/>
          </w:tcPr>
          <w:p w14:paraId="2FEAA0A5"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13.77</w:t>
            </w:r>
          </w:p>
        </w:tc>
        <w:tc>
          <w:tcPr>
            <w:tcW w:w="3117" w:type="dxa"/>
          </w:tcPr>
          <w:p w14:paraId="5721AC83"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12.51</w:t>
            </w:r>
          </w:p>
        </w:tc>
      </w:tr>
      <w:tr w:rsidR="00461642" w:rsidRPr="00EB7371" w14:paraId="52C6EB3C" w14:textId="77777777" w:rsidTr="008027BA">
        <w:trPr>
          <w:cantSplit/>
          <w:tblHeader/>
        </w:trPr>
        <w:tc>
          <w:tcPr>
            <w:tcW w:w="3116" w:type="dxa"/>
          </w:tcPr>
          <w:p w14:paraId="628F3D82"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Lower Quartile</w:t>
            </w:r>
          </w:p>
        </w:tc>
        <w:tc>
          <w:tcPr>
            <w:tcW w:w="3117" w:type="dxa"/>
          </w:tcPr>
          <w:p w14:paraId="2C379AD7"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15.05</w:t>
            </w:r>
          </w:p>
        </w:tc>
        <w:tc>
          <w:tcPr>
            <w:tcW w:w="3117" w:type="dxa"/>
          </w:tcPr>
          <w:p w14:paraId="6C3BF22F"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15.79</w:t>
            </w:r>
          </w:p>
        </w:tc>
      </w:tr>
      <w:tr w:rsidR="00461642" w:rsidRPr="00EB7371" w14:paraId="40EDB36C" w14:textId="77777777" w:rsidTr="008027BA">
        <w:trPr>
          <w:cantSplit/>
          <w:tblHeader/>
        </w:trPr>
        <w:tc>
          <w:tcPr>
            <w:tcW w:w="3116" w:type="dxa"/>
          </w:tcPr>
          <w:p w14:paraId="343B47DF"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Median</w:t>
            </w:r>
          </w:p>
        </w:tc>
        <w:tc>
          <w:tcPr>
            <w:tcW w:w="3117" w:type="dxa"/>
          </w:tcPr>
          <w:p w14:paraId="6140FF2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16.06</w:t>
            </w:r>
          </w:p>
        </w:tc>
        <w:tc>
          <w:tcPr>
            <w:tcW w:w="3117" w:type="dxa"/>
          </w:tcPr>
          <w:p w14:paraId="1588ECB6"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16.51</w:t>
            </w:r>
          </w:p>
        </w:tc>
      </w:tr>
      <w:tr w:rsidR="00461642" w:rsidRPr="00EB7371" w14:paraId="453D5217" w14:textId="77777777" w:rsidTr="008027BA">
        <w:trPr>
          <w:cantSplit/>
          <w:tblHeader/>
        </w:trPr>
        <w:tc>
          <w:tcPr>
            <w:tcW w:w="3116" w:type="dxa"/>
          </w:tcPr>
          <w:p w14:paraId="7A08FDA3"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Upper Quartile</w:t>
            </w:r>
          </w:p>
        </w:tc>
        <w:tc>
          <w:tcPr>
            <w:tcW w:w="3117" w:type="dxa"/>
          </w:tcPr>
          <w:p w14:paraId="45F75A63"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16.99</w:t>
            </w:r>
          </w:p>
        </w:tc>
        <w:tc>
          <w:tcPr>
            <w:tcW w:w="3117" w:type="dxa"/>
          </w:tcPr>
          <w:p w14:paraId="3D5371B0"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17.35</w:t>
            </w:r>
          </w:p>
        </w:tc>
      </w:tr>
      <w:tr w:rsidR="00461642" w:rsidRPr="00EB7371" w14:paraId="1C1430E2" w14:textId="77777777" w:rsidTr="008027BA">
        <w:trPr>
          <w:cantSplit/>
          <w:tblHeader/>
        </w:trPr>
        <w:tc>
          <w:tcPr>
            <w:tcW w:w="3116" w:type="dxa"/>
          </w:tcPr>
          <w:p w14:paraId="5C831E6F"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Maximum</w:t>
            </w:r>
          </w:p>
        </w:tc>
        <w:tc>
          <w:tcPr>
            <w:tcW w:w="3117" w:type="dxa"/>
          </w:tcPr>
          <w:p w14:paraId="2D337F9D"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19.81</w:t>
            </w:r>
          </w:p>
        </w:tc>
        <w:tc>
          <w:tcPr>
            <w:tcW w:w="3117" w:type="dxa"/>
          </w:tcPr>
          <w:p w14:paraId="2BB3641B"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22.69</w:t>
            </w:r>
          </w:p>
        </w:tc>
      </w:tr>
    </w:tbl>
    <w:p w14:paraId="4DA4161B" w14:textId="77777777" w:rsidR="00461642" w:rsidRPr="00EB7371" w:rsidRDefault="00461642" w:rsidP="00461642">
      <w:pPr>
        <w:pStyle w:val="Default"/>
        <w:rPr>
          <w:rFonts w:asciiTheme="minorHAnsi" w:hAnsiTheme="minorHAnsi"/>
          <w:b/>
          <w:bCs/>
          <w:color w:val="auto"/>
          <w:sz w:val="22"/>
          <w:szCs w:val="22"/>
        </w:rPr>
      </w:pPr>
    </w:p>
    <w:p w14:paraId="2AF0F901"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b/>
          <w:bCs/>
          <w:color w:val="auto"/>
          <w:sz w:val="22"/>
          <w:szCs w:val="22"/>
        </w:rPr>
        <w:t xml:space="preserve">3. The Joint Commission’s Top Performers on Key Quality Measures program </w:t>
      </w:r>
    </w:p>
    <w:p w14:paraId="798D641E"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color w:val="auto"/>
          <w:sz w:val="22"/>
          <w:szCs w:val="22"/>
        </w:rPr>
        <w:t xml:space="preserve">Table </w:t>
      </w:r>
      <w:r>
        <w:rPr>
          <w:rFonts w:asciiTheme="minorHAnsi" w:hAnsiTheme="minorHAnsi"/>
          <w:color w:val="auto"/>
          <w:sz w:val="22"/>
          <w:szCs w:val="22"/>
        </w:rPr>
        <w:t>3.</w:t>
      </w:r>
      <w:r w:rsidRPr="00EB7371">
        <w:rPr>
          <w:rFonts w:asciiTheme="minorHAnsi" w:hAnsiTheme="minorHAnsi"/>
          <w:color w:val="auto"/>
          <w:sz w:val="22"/>
          <w:szCs w:val="22"/>
        </w:rPr>
        <w:t xml:space="preserve"> shows the distribution of risk-standardized readmission rates of the 158 top performers compared to other hospitals. </w:t>
      </w:r>
    </w:p>
    <w:p w14:paraId="4046BB0D" w14:textId="77777777" w:rsidR="00461642" w:rsidRPr="00EB7371" w:rsidRDefault="00461642" w:rsidP="00461642">
      <w:pPr>
        <w:pStyle w:val="Default"/>
        <w:rPr>
          <w:rFonts w:asciiTheme="minorHAnsi" w:hAnsiTheme="minorHAnsi"/>
          <w:color w:val="auto"/>
          <w:sz w:val="22"/>
          <w:szCs w:val="22"/>
        </w:rPr>
      </w:pPr>
    </w:p>
    <w:p w14:paraId="7482A7C7" w14:textId="77777777" w:rsidR="00461642" w:rsidRPr="00EB7371" w:rsidRDefault="00461642" w:rsidP="00461642">
      <w:pPr>
        <w:pStyle w:val="Default"/>
        <w:rPr>
          <w:rFonts w:asciiTheme="minorHAnsi" w:hAnsiTheme="minorHAnsi"/>
          <w:color w:val="auto"/>
          <w:sz w:val="22"/>
          <w:szCs w:val="22"/>
        </w:rPr>
      </w:pPr>
      <w:r w:rsidRPr="00EB7371">
        <w:rPr>
          <w:rFonts w:asciiTheme="minorHAnsi" w:hAnsiTheme="minorHAnsi"/>
          <w:b/>
          <w:bCs/>
          <w:color w:val="auto"/>
          <w:sz w:val="22"/>
          <w:szCs w:val="22"/>
        </w:rPr>
        <w:t xml:space="preserve">Table </w:t>
      </w:r>
      <w:r>
        <w:rPr>
          <w:rFonts w:asciiTheme="minorHAnsi" w:hAnsiTheme="minorHAnsi"/>
          <w:b/>
          <w:bCs/>
          <w:color w:val="auto"/>
          <w:sz w:val="22"/>
          <w:szCs w:val="22"/>
        </w:rPr>
        <w:t>3.</w:t>
      </w:r>
      <w:r w:rsidRPr="00EB7371">
        <w:rPr>
          <w:rFonts w:asciiTheme="minorHAnsi" w:hAnsiTheme="minorHAnsi"/>
          <w:b/>
          <w:bCs/>
          <w:color w:val="auto"/>
          <w:sz w:val="22"/>
          <w:szCs w:val="22"/>
        </w:rPr>
        <w:t xml:space="preserve"> Distribution of RSRR (2009 Medicare FFS data) for The Joint Commission’s Top Performers vs. Others </w:t>
      </w:r>
    </w:p>
    <w:tbl>
      <w:tblPr>
        <w:tblStyle w:val="TableGrid"/>
        <w:tblW w:w="0" w:type="auto"/>
        <w:tblLook w:val="04A0" w:firstRow="1" w:lastRow="0" w:firstColumn="1" w:lastColumn="0" w:noHBand="0" w:noVBand="1"/>
      </w:tblPr>
      <w:tblGrid>
        <w:gridCol w:w="3116"/>
        <w:gridCol w:w="3117"/>
        <w:gridCol w:w="3117"/>
      </w:tblGrid>
      <w:tr w:rsidR="00461642" w:rsidRPr="00EB7371" w14:paraId="193519A1" w14:textId="77777777" w:rsidTr="001462CC">
        <w:trPr>
          <w:cantSplit/>
          <w:tblHeader/>
        </w:trPr>
        <w:tc>
          <w:tcPr>
            <w:tcW w:w="3116" w:type="dxa"/>
            <w:shd w:val="clear" w:color="auto" w:fill="DBE5F1" w:themeFill="accent1" w:themeFillTint="33"/>
          </w:tcPr>
          <w:p w14:paraId="536B7720" w14:textId="77777777" w:rsidR="00461642" w:rsidRPr="00D21CA3" w:rsidRDefault="00461642" w:rsidP="008027BA">
            <w:pPr>
              <w:pStyle w:val="Default"/>
              <w:rPr>
                <w:rFonts w:asciiTheme="minorHAnsi" w:hAnsiTheme="minorHAnsi"/>
                <w:b/>
                <w:color w:val="auto"/>
                <w:sz w:val="22"/>
                <w:szCs w:val="22"/>
              </w:rPr>
            </w:pPr>
          </w:p>
        </w:tc>
        <w:tc>
          <w:tcPr>
            <w:tcW w:w="3117" w:type="dxa"/>
            <w:shd w:val="clear" w:color="auto" w:fill="DBE5F1" w:themeFill="accent1" w:themeFillTint="33"/>
          </w:tcPr>
          <w:p w14:paraId="5CC5EDF3" w14:textId="77777777" w:rsidR="00461642" w:rsidRPr="00D21CA3" w:rsidRDefault="00461642" w:rsidP="008027BA">
            <w:pPr>
              <w:pStyle w:val="Default"/>
              <w:rPr>
                <w:rFonts w:asciiTheme="minorHAnsi" w:hAnsiTheme="minorHAnsi"/>
                <w:b/>
                <w:color w:val="auto"/>
                <w:sz w:val="22"/>
                <w:szCs w:val="22"/>
              </w:rPr>
            </w:pPr>
            <w:r w:rsidRPr="00D21CA3">
              <w:rPr>
                <w:rFonts w:asciiTheme="minorHAnsi" w:hAnsiTheme="minorHAnsi"/>
                <w:b/>
                <w:color w:val="auto"/>
                <w:sz w:val="22"/>
                <w:szCs w:val="22"/>
              </w:rPr>
              <w:t>On List</w:t>
            </w:r>
          </w:p>
        </w:tc>
        <w:tc>
          <w:tcPr>
            <w:tcW w:w="3117" w:type="dxa"/>
            <w:shd w:val="clear" w:color="auto" w:fill="DBE5F1" w:themeFill="accent1" w:themeFillTint="33"/>
          </w:tcPr>
          <w:p w14:paraId="30466FA0" w14:textId="77777777" w:rsidR="00461642" w:rsidRPr="00D21CA3" w:rsidRDefault="00461642" w:rsidP="008027BA">
            <w:pPr>
              <w:pStyle w:val="Default"/>
              <w:rPr>
                <w:rFonts w:asciiTheme="minorHAnsi" w:hAnsiTheme="minorHAnsi"/>
                <w:b/>
                <w:color w:val="auto"/>
                <w:sz w:val="22"/>
                <w:szCs w:val="22"/>
              </w:rPr>
            </w:pPr>
            <w:r w:rsidRPr="00D21CA3">
              <w:rPr>
                <w:rFonts w:asciiTheme="minorHAnsi" w:hAnsiTheme="minorHAnsi"/>
                <w:b/>
                <w:color w:val="auto"/>
                <w:sz w:val="22"/>
                <w:szCs w:val="22"/>
              </w:rPr>
              <w:t>Not On List</w:t>
            </w:r>
          </w:p>
        </w:tc>
      </w:tr>
      <w:tr w:rsidR="00461642" w:rsidRPr="00EB7371" w14:paraId="7DF0BFAA" w14:textId="77777777" w:rsidTr="008027BA">
        <w:trPr>
          <w:cantSplit/>
          <w:tblHeader/>
        </w:trPr>
        <w:tc>
          <w:tcPr>
            <w:tcW w:w="3116" w:type="dxa"/>
          </w:tcPr>
          <w:p w14:paraId="2524FA6D"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Number</w:t>
            </w:r>
          </w:p>
        </w:tc>
        <w:tc>
          <w:tcPr>
            <w:tcW w:w="3117" w:type="dxa"/>
          </w:tcPr>
          <w:p w14:paraId="16A7DF46"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158</w:t>
            </w:r>
          </w:p>
        </w:tc>
        <w:tc>
          <w:tcPr>
            <w:tcW w:w="3117" w:type="dxa"/>
          </w:tcPr>
          <w:p w14:paraId="412D3255"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4630</w:t>
            </w:r>
          </w:p>
        </w:tc>
      </w:tr>
      <w:tr w:rsidR="00461642" w:rsidRPr="00EB7371" w14:paraId="259FE5C1" w14:textId="77777777" w:rsidTr="008027BA">
        <w:trPr>
          <w:cantSplit/>
          <w:tblHeader/>
        </w:trPr>
        <w:tc>
          <w:tcPr>
            <w:tcW w:w="3116" w:type="dxa"/>
          </w:tcPr>
          <w:p w14:paraId="17F5E65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Mean (SD)</w:t>
            </w:r>
          </w:p>
        </w:tc>
        <w:tc>
          <w:tcPr>
            <w:tcW w:w="3117" w:type="dxa"/>
          </w:tcPr>
          <w:p w14:paraId="4F91EADF"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16.66 (0.99)</w:t>
            </w:r>
          </w:p>
        </w:tc>
        <w:tc>
          <w:tcPr>
            <w:tcW w:w="3117" w:type="dxa"/>
          </w:tcPr>
          <w:p w14:paraId="2BEC5C5B"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16.61 (1.16)</w:t>
            </w:r>
          </w:p>
        </w:tc>
      </w:tr>
      <w:tr w:rsidR="00461642" w:rsidRPr="00EB7371" w14:paraId="37F2BDFA" w14:textId="77777777" w:rsidTr="008027BA">
        <w:trPr>
          <w:cantSplit/>
          <w:tblHeader/>
        </w:trPr>
        <w:tc>
          <w:tcPr>
            <w:tcW w:w="3116" w:type="dxa"/>
          </w:tcPr>
          <w:p w14:paraId="023DD6AA"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Minimum</w:t>
            </w:r>
          </w:p>
        </w:tc>
        <w:tc>
          <w:tcPr>
            <w:tcW w:w="3117" w:type="dxa"/>
          </w:tcPr>
          <w:p w14:paraId="1960D80E"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14.18</w:t>
            </w:r>
          </w:p>
        </w:tc>
        <w:tc>
          <w:tcPr>
            <w:tcW w:w="3117" w:type="dxa"/>
          </w:tcPr>
          <w:p w14:paraId="334D4F9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12.51</w:t>
            </w:r>
          </w:p>
        </w:tc>
      </w:tr>
      <w:tr w:rsidR="00461642" w:rsidRPr="00EB7371" w14:paraId="49BE9F96" w14:textId="77777777" w:rsidTr="008027BA">
        <w:trPr>
          <w:cantSplit/>
          <w:tblHeader/>
        </w:trPr>
        <w:tc>
          <w:tcPr>
            <w:tcW w:w="3116" w:type="dxa"/>
          </w:tcPr>
          <w:p w14:paraId="766EF828"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Lower Quartile</w:t>
            </w:r>
          </w:p>
        </w:tc>
        <w:tc>
          <w:tcPr>
            <w:tcW w:w="3117" w:type="dxa"/>
          </w:tcPr>
          <w:p w14:paraId="1A331CA8"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16.01</w:t>
            </w:r>
          </w:p>
        </w:tc>
        <w:tc>
          <w:tcPr>
            <w:tcW w:w="3117" w:type="dxa"/>
          </w:tcPr>
          <w:p w14:paraId="35DF11E7"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15.87</w:t>
            </w:r>
          </w:p>
        </w:tc>
      </w:tr>
      <w:tr w:rsidR="00461642" w:rsidRPr="00EB7371" w14:paraId="6928D2B1" w14:textId="77777777" w:rsidTr="008027BA">
        <w:trPr>
          <w:cantSplit/>
          <w:tblHeader/>
        </w:trPr>
        <w:tc>
          <w:tcPr>
            <w:tcW w:w="3116" w:type="dxa"/>
          </w:tcPr>
          <w:p w14:paraId="30FD2113"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Median</w:t>
            </w:r>
          </w:p>
        </w:tc>
        <w:tc>
          <w:tcPr>
            <w:tcW w:w="3117" w:type="dxa"/>
          </w:tcPr>
          <w:p w14:paraId="79EA98BC"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16.64</w:t>
            </w:r>
          </w:p>
        </w:tc>
        <w:tc>
          <w:tcPr>
            <w:tcW w:w="3117" w:type="dxa"/>
          </w:tcPr>
          <w:p w14:paraId="37F26566"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16.49</w:t>
            </w:r>
          </w:p>
        </w:tc>
      </w:tr>
      <w:tr w:rsidR="00461642" w:rsidRPr="00EB7371" w14:paraId="64FCF9C0" w14:textId="77777777" w:rsidTr="008027BA">
        <w:trPr>
          <w:cantSplit/>
          <w:tblHeader/>
        </w:trPr>
        <w:tc>
          <w:tcPr>
            <w:tcW w:w="3116" w:type="dxa"/>
          </w:tcPr>
          <w:p w14:paraId="5E27CBEE"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Upper Quartile</w:t>
            </w:r>
          </w:p>
        </w:tc>
        <w:tc>
          <w:tcPr>
            <w:tcW w:w="3117" w:type="dxa"/>
          </w:tcPr>
          <w:p w14:paraId="37C75E6D"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17.17</w:t>
            </w:r>
          </w:p>
        </w:tc>
        <w:tc>
          <w:tcPr>
            <w:tcW w:w="3117" w:type="dxa"/>
          </w:tcPr>
          <w:p w14:paraId="767E43D3"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17.21</w:t>
            </w:r>
          </w:p>
        </w:tc>
      </w:tr>
      <w:tr w:rsidR="00461642" w:rsidRPr="00EB7371" w14:paraId="669C32F4" w14:textId="77777777" w:rsidTr="008027BA">
        <w:trPr>
          <w:cantSplit/>
          <w:trHeight w:val="63"/>
          <w:tblHeader/>
        </w:trPr>
        <w:tc>
          <w:tcPr>
            <w:tcW w:w="3116" w:type="dxa"/>
          </w:tcPr>
          <w:p w14:paraId="58061D94"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Maximum</w:t>
            </w:r>
          </w:p>
        </w:tc>
        <w:tc>
          <w:tcPr>
            <w:tcW w:w="3117" w:type="dxa"/>
          </w:tcPr>
          <w:p w14:paraId="7DA9A701"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19.91</w:t>
            </w:r>
          </w:p>
        </w:tc>
        <w:tc>
          <w:tcPr>
            <w:tcW w:w="3117" w:type="dxa"/>
          </w:tcPr>
          <w:p w14:paraId="7078D54F" w14:textId="77777777" w:rsidR="00461642" w:rsidRPr="00EB7371" w:rsidRDefault="00461642" w:rsidP="008027BA">
            <w:pPr>
              <w:pStyle w:val="Default"/>
              <w:rPr>
                <w:rFonts w:asciiTheme="minorHAnsi" w:hAnsiTheme="minorHAnsi"/>
                <w:color w:val="auto"/>
                <w:sz w:val="22"/>
                <w:szCs w:val="22"/>
              </w:rPr>
            </w:pPr>
            <w:r w:rsidRPr="00EB7371">
              <w:rPr>
                <w:rFonts w:asciiTheme="minorHAnsi" w:hAnsiTheme="minorHAnsi"/>
                <w:color w:val="auto"/>
                <w:sz w:val="22"/>
                <w:szCs w:val="22"/>
              </w:rPr>
              <w:t>22.69</w:t>
            </w:r>
          </w:p>
        </w:tc>
      </w:tr>
    </w:tbl>
    <w:p w14:paraId="55275C39" w14:textId="34F8BB9A" w:rsidR="00461642" w:rsidRDefault="00461642" w:rsidP="004A69EA">
      <w:pPr>
        <w:rPr>
          <w:rFonts w:cstheme="minorHAnsi"/>
          <w:bCs/>
        </w:rPr>
      </w:pPr>
    </w:p>
    <w:p w14:paraId="4541D36B" w14:textId="73FBBC28" w:rsidR="001462CC" w:rsidRPr="0086238E" w:rsidRDefault="001462CC" w:rsidP="004A69EA">
      <w:pPr>
        <w:rPr>
          <w:rFonts w:cstheme="minorHAnsi"/>
          <w:b/>
          <w:bCs/>
          <w:color w:val="FF0000"/>
          <w:u w:val="single"/>
        </w:rPr>
      </w:pPr>
      <w:r w:rsidRPr="0086238E">
        <w:rPr>
          <w:rFonts w:cstheme="minorHAnsi"/>
          <w:b/>
          <w:bCs/>
          <w:color w:val="FF0000"/>
          <w:u w:val="single"/>
        </w:rPr>
        <w:t xml:space="preserve">The following results are for the ACR measure.  </w:t>
      </w:r>
    </w:p>
    <w:p w14:paraId="765ECB04" w14:textId="0948905B" w:rsidR="00F83038" w:rsidRPr="0086238E" w:rsidRDefault="001462CC" w:rsidP="001462CC">
      <w:pPr>
        <w:spacing w:line="240" w:lineRule="auto"/>
        <w:rPr>
          <w:rFonts w:cstheme="minorHAnsi"/>
          <w:bCs/>
          <w:color w:val="FF0000"/>
        </w:rPr>
      </w:pPr>
      <w:r w:rsidRPr="0086238E">
        <w:rPr>
          <w:rFonts w:cstheme="minorHAnsi"/>
          <w:bCs/>
          <w:color w:val="FF0000"/>
        </w:rPr>
        <w:t xml:space="preserve">The </w:t>
      </w:r>
      <w:r w:rsidRPr="0086238E">
        <w:rPr>
          <w:rFonts w:cstheme="minorHAnsi"/>
          <w:b/>
          <w:bCs/>
          <w:color w:val="FF0000"/>
        </w:rPr>
        <w:t>Predictive Validity</w:t>
      </w:r>
      <w:r w:rsidRPr="0086238E">
        <w:rPr>
          <w:rFonts w:cstheme="minorHAnsi"/>
          <w:bCs/>
          <w:color w:val="FF0000"/>
        </w:rPr>
        <w:t xml:space="preserve"> table displays the correlation of the 2014 RSRRs with related NQF-endorsed measures and the overall performance scores.</w:t>
      </w:r>
    </w:p>
    <w:p w14:paraId="1BEEAE36" w14:textId="7FF2B8EA" w:rsidR="00F25342" w:rsidRPr="0086238E" w:rsidRDefault="00833918" w:rsidP="00422FC7">
      <w:pPr>
        <w:autoSpaceDE w:val="0"/>
        <w:autoSpaceDN w:val="0"/>
        <w:adjustRightInd w:val="0"/>
        <w:spacing w:after="0" w:line="240" w:lineRule="auto"/>
        <w:rPr>
          <w:rFonts w:cs="Times New Roman"/>
          <w:b/>
          <w:color w:val="FF0000"/>
        </w:rPr>
      </w:pPr>
      <w:r w:rsidRPr="0086238E">
        <w:rPr>
          <w:rFonts w:cs="Times New Roman"/>
          <w:b/>
          <w:color w:val="FF0000"/>
        </w:rPr>
        <w:t>Predictive Validity</w:t>
      </w:r>
    </w:p>
    <w:tbl>
      <w:tblPr>
        <w:tblStyle w:val="TableGrid"/>
        <w:tblW w:w="0" w:type="auto"/>
        <w:tblLook w:val="04A0" w:firstRow="1" w:lastRow="0" w:firstColumn="1" w:lastColumn="0" w:noHBand="0" w:noVBand="1"/>
      </w:tblPr>
      <w:tblGrid>
        <w:gridCol w:w="6849"/>
        <w:gridCol w:w="2110"/>
      </w:tblGrid>
      <w:tr w:rsidR="0086238E" w:rsidRPr="0086238E" w14:paraId="1EBAB5F7" w14:textId="77777777" w:rsidTr="001462CC">
        <w:trPr>
          <w:trHeight w:val="263"/>
        </w:trPr>
        <w:tc>
          <w:tcPr>
            <w:tcW w:w="6849" w:type="dxa"/>
            <w:shd w:val="clear" w:color="auto" w:fill="DBE5F1" w:themeFill="accent1" w:themeFillTint="33"/>
          </w:tcPr>
          <w:p w14:paraId="42AB260A" w14:textId="5F10C3C6" w:rsidR="00DC0AB1" w:rsidRPr="0086238E" w:rsidRDefault="00351535" w:rsidP="00266875">
            <w:pPr>
              <w:rPr>
                <w:rFonts w:cs="Times New Roman"/>
                <w:b/>
                <w:color w:val="FF0000"/>
              </w:rPr>
            </w:pPr>
            <w:r w:rsidRPr="0086238E">
              <w:rPr>
                <w:rFonts w:cs="Times New Roman"/>
                <w:b/>
                <w:color w:val="FF0000"/>
              </w:rPr>
              <w:t>Measure/ Domain</w:t>
            </w:r>
          </w:p>
        </w:tc>
        <w:tc>
          <w:tcPr>
            <w:tcW w:w="2110" w:type="dxa"/>
            <w:shd w:val="clear" w:color="auto" w:fill="DBE5F1" w:themeFill="accent1" w:themeFillTint="33"/>
          </w:tcPr>
          <w:p w14:paraId="3ADF2C7E" w14:textId="77777777" w:rsidR="00DC0AB1" w:rsidRPr="0086238E" w:rsidRDefault="00DC0AB1" w:rsidP="00266875">
            <w:pPr>
              <w:rPr>
                <w:rFonts w:cs="Times New Roman"/>
                <w:b/>
                <w:color w:val="FF0000"/>
              </w:rPr>
            </w:pPr>
            <w:r w:rsidRPr="0086238E">
              <w:rPr>
                <w:rFonts w:cs="Times New Roman"/>
                <w:b/>
                <w:color w:val="FF0000"/>
              </w:rPr>
              <w:t>Correlation</w:t>
            </w:r>
          </w:p>
        </w:tc>
      </w:tr>
      <w:tr w:rsidR="0086238E" w:rsidRPr="0086238E" w14:paraId="391D9548" w14:textId="77777777" w:rsidTr="00351535">
        <w:trPr>
          <w:trHeight w:val="263"/>
        </w:trPr>
        <w:tc>
          <w:tcPr>
            <w:tcW w:w="6849" w:type="dxa"/>
          </w:tcPr>
          <w:p w14:paraId="7BE3968D" w14:textId="77777777" w:rsidR="00DC0AB1" w:rsidRPr="0086238E" w:rsidRDefault="00DC0AB1" w:rsidP="00266875">
            <w:pPr>
              <w:rPr>
                <w:rFonts w:cs="Times New Roman"/>
                <w:color w:val="FF0000"/>
              </w:rPr>
            </w:pPr>
            <w:r w:rsidRPr="0086238E">
              <w:rPr>
                <w:rFonts w:cs="Times New Roman"/>
                <w:color w:val="FF0000"/>
              </w:rPr>
              <w:t xml:space="preserve">ACO-36: Diabetes Admissions </w:t>
            </w:r>
          </w:p>
        </w:tc>
        <w:tc>
          <w:tcPr>
            <w:tcW w:w="2110" w:type="dxa"/>
          </w:tcPr>
          <w:p w14:paraId="6513868C" w14:textId="75352627" w:rsidR="00DC0AB1" w:rsidRPr="0086238E" w:rsidRDefault="00746078" w:rsidP="00266875">
            <w:pPr>
              <w:rPr>
                <w:rFonts w:cs="Times New Roman"/>
                <w:color w:val="FF0000"/>
              </w:rPr>
            </w:pPr>
            <w:r w:rsidRPr="0086238E">
              <w:rPr>
                <w:rFonts w:cs="Times New Roman"/>
                <w:color w:val="FF0000"/>
              </w:rPr>
              <w:t>0.5810</w:t>
            </w:r>
          </w:p>
        </w:tc>
      </w:tr>
      <w:tr w:rsidR="0086238E" w:rsidRPr="0086238E" w14:paraId="51535362" w14:textId="77777777" w:rsidTr="00351535">
        <w:trPr>
          <w:trHeight w:val="247"/>
        </w:trPr>
        <w:tc>
          <w:tcPr>
            <w:tcW w:w="6849" w:type="dxa"/>
          </w:tcPr>
          <w:p w14:paraId="3EF4BEA0" w14:textId="77777777" w:rsidR="00DC0AB1" w:rsidRPr="0086238E" w:rsidRDefault="00DC0AB1" w:rsidP="00266875">
            <w:pPr>
              <w:rPr>
                <w:rFonts w:cs="Times New Roman"/>
                <w:color w:val="FF0000"/>
              </w:rPr>
            </w:pPr>
            <w:r w:rsidRPr="0086238E">
              <w:rPr>
                <w:rFonts w:cs="Times New Roman"/>
                <w:color w:val="FF0000"/>
              </w:rPr>
              <w:t>ACO-37: Heart Failure Admissions</w:t>
            </w:r>
          </w:p>
        </w:tc>
        <w:tc>
          <w:tcPr>
            <w:tcW w:w="2110" w:type="dxa"/>
          </w:tcPr>
          <w:p w14:paraId="4E41E74D" w14:textId="37FF71B3" w:rsidR="00DC0AB1" w:rsidRPr="0086238E" w:rsidRDefault="00DC0AB1" w:rsidP="00266875">
            <w:pPr>
              <w:rPr>
                <w:rFonts w:cs="Times New Roman"/>
                <w:color w:val="FF0000"/>
              </w:rPr>
            </w:pPr>
            <w:r w:rsidRPr="0086238E">
              <w:rPr>
                <w:rFonts w:cs="Times New Roman"/>
                <w:color w:val="FF0000"/>
              </w:rPr>
              <w:t>0.5537</w:t>
            </w:r>
          </w:p>
        </w:tc>
      </w:tr>
      <w:tr w:rsidR="0086238E" w:rsidRPr="0086238E" w14:paraId="00FF6209" w14:textId="77777777" w:rsidTr="00351535">
        <w:trPr>
          <w:trHeight w:val="263"/>
        </w:trPr>
        <w:tc>
          <w:tcPr>
            <w:tcW w:w="6849" w:type="dxa"/>
          </w:tcPr>
          <w:p w14:paraId="04B2AB59" w14:textId="77777777" w:rsidR="00DC0AB1" w:rsidRPr="0086238E" w:rsidRDefault="00DC0AB1" w:rsidP="00266875">
            <w:pPr>
              <w:rPr>
                <w:rFonts w:cs="Times New Roman"/>
                <w:color w:val="FF0000"/>
              </w:rPr>
            </w:pPr>
            <w:r w:rsidRPr="0086238E">
              <w:rPr>
                <w:rFonts w:cs="Times New Roman"/>
                <w:color w:val="FF0000"/>
              </w:rPr>
              <w:t>ACO-38: Multiple Chronic Conditions</w:t>
            </w:r>
          </w:p>
        </w:tc>
        <w:tc>
          <w:tcPr>
            <w:tcW w:w="2110" w:type="dxa"/>
          </w:tcPr>
          <w:p w14:paraId="55643984" w14:textId="201D0C77" w:rsidR="00DC0AB1" w:rsidRPr="0086238E" w:rsidRDefault="00746078" w:rsidP="00266875">
            <w:pPr>
              <w:rPr>
                <w:rFonts w:cs="Times New Roman"/>
                <w:color w:val="FF0000"/>
              </w:rPr>
            </w:pPr>
            <w:r w:rsidRPr="0086238E">
              <w:rPr>
                <w:rFonts w:cs="Times New Roman"/>
                <w:color w:val="FF0000"/>
              </w:rPr>
              <w:t>0.5684</w:t>
            </w:r>
          </w:p>
        </w:tc>
      </w:tr>
      <w:tr w:rsidR="0086238E" w:rsidRPr="0086238E" w14:paraId="53008F71" w14:textId="77777777" w:rsidTr="00351535">
        <w:trPr>
          <w:trHeight w:val="247"/>
        </w:trPr>
        <w:tc>
          <w:tcPr>
            <w:tcW w:w="6849" w:type="dxa"/>
          </w:tcPr>
          <w:p w14:paraId="6060A804" w14:textId="21335C8C" w:rsidR="00DC0AB1" w:rsidRPr="0086238E" w:rsidRDefault="00DC0AB1" w:rsidP="00266875">
            <w:pPr>
              <w:rPr>
                <w:rFonts w:cs="Times New Roman"/>
                <w:color w:val="FF0000"/>
              </w:rPr>
            </w:pPr>
            <w:r w:rsidRPr="0086238E">
              <w:rPr>
                <w:rFonts w:cs="Times New Roman"/>
                <w:color w:val="FF0000"/>
              </w:rPr>
              <w:t xml:space="preserve">ACO-8: </w:t>
            </w:r>
            <w:r w:rsidR="00AF694F" w:rsidRPr="0086238E">
              <w:rPr>
                <w:rFonts w:cs="Times New Roman"/>
                <w:color w:val="FF0000"/>
              </w:rPr>
              <w:t>ACR</w:t>
            </w:r>
          </w:p>
        </w:tc>
        <w:tc>
          <w:tcPr>
            <w:tcW w:w="2110" w:type="dxa"/>
          </w:tcPr>
          <w:p w14:paraId="771A9CDC" w14:textId="0B1A5D41" w:rsidR="00DC0AB1" w:rsidRPr="0086238E" w:rsidRDefault="00DC0AB1" w:rsidP="00266875">
            <w:pPr>
              <w:rPr>
                <w:rFonts w:cs="Times New Roman"/>
                <w:color w:val="FF0000"/>
              </w:rPr>
            </w:pPr>
            <w:r w:rsidRPr="0086238E">
              <w:rPr>
                <w:rFonts w:cs="Times New Roman"/>
                <w:color w:val="FF0000"/>
              </w:rPr>
              <w:t>0.7230</w:t>
            </w:r>
          </w:p>
        </w:tc>
      </w:tr>
      <w:tr w:rsidR="0086238E" w:rsidRPr="0086238E" w14:paraId="1BC96228" w14:textId="77777777" w:rsidTr="00351535">
        <w:trPr>
          <w:trHeight w:val="247"/>
        </w:trPr>
        <w:tc>
          <w:tcPr>
            <w:tcW w:w="6849" w:type="dxa"/>
          </w:tcPr>
          <w:p w14:paraId="578BD511" w14:textId="70F9E6DF" w:rsidR="00DC0AB1" w:rsidRPr="0086238E" w:rsidRDefault="00C926A1" w:rsidP="00266875">
            <w:pPr>
              <w:rPr>
                <w:rFonts w:cs="Times New Roman"/>
                <w:color w:val="FF0000"/>
              </w:rPr>
            </w:pPr>
            <w:r w:rsidRPr="0086238E">
              <w:rPr>
                <w:rFonts w:cs="Times New Roman"/>
                <w:color w:val="FF0000"/>
              </w:rPr>
              <w:t>Overall Performance Score</w:t>
            </w:r>
          </w:p>
        </w:tc>
        <w:tc>
          <w:tcPr>
            <w:tcW w:w="2110" w:type="dxa"/>
          </w:tcPr>
          <w:p w14:paraId="2A79C00C" w14:textId="2E3695DB" w:rsidR="00DC0AB1" w:rsidRPr="0086238E" w:rsidRDefault="00DC0AB1" w:rsidP="00266875">
            <w:pPr>
              <w:rPr>
                <w:rFonts w:cs="Times New Roman"/>
                <w:color w:val="FF0000"/>
              </w:rPr>
            </w:pPr>
            <w:r w:rsidRPr="0086238E">
              <w:rPr>
                <w:rFonts w:cs="Times New Roman"/>
                <w:color w:val="FF0000"/>
              </w:rPr>
              <w:t>-0.2368</w:t>
            </w:r>
          </w:p>
        </w:tc>
      </w:tr>
    </w:tbl>
    <w:p w14:paraId="3E116149" w14:textId="133A3BCA" w:rsidR="00833918" w:rsidRPr="0086238E" w:rsidRDefault="00833918" w:rsidP="00422FC7">
      <w:pPr>
        <w:autoSpaceDE w:val="0"/>
        <w:autoSpaceDN w:val="0"/>
        <w:adjustRightInd w:val="0"/>
        <w:spacing w:after="0" w:line="240" w:lineRule="auto"/>
        <w:rPr>
          <w:rFonts w:cs="Times New Roman"/>
          <w:color w:val="FF0000"/>
        </w:rPr>
      </w:pPr>
      <w:r w:rsidRPr="0086238E">
        <w:rPr>
          <w:rFonts w:cs="Times New Roman"/>
          <w:color w:val="FF0000"/>
        </w:rPr>
        <w:t>All p values are &lt;.001</w:t>
      </w:r>
    </w:p>
    <w:p w14:paraId="3C1475CC" w14:textId="1D6E5F59" w:rsidR="00833918" w:rsidRPr="0086238E" w:rsidRDefault="00833918" w:rsidP="00422FC7">
      <w:pPr>
        <w:autoSpaceDE w:val="0"/>
        <w:autoSpaceDN w:val="0"/>
        <w:adjustRightInd w:val="0"/>
        <w:spacing w:after="0" w:line="240" w:lineRule="auto"/>
        <w:rPr>
          <w:rFonts w:cs="Times New Roman"/>
          <w:color w:val="FF0000"/>
        </w:rPr>
      </w:pPr>
    </w:p>
    <w:p w14:paraId="2E4C99EC" w14:textId="222BA387" w:rsidR="001462CC" w:rsidRPr="0086238E" w:rsidRDefault="001462CC" w:rsidP="00422FC7">
      <w:pPr>
        <w:autoSpaceDE w:val="0"/>
        <w:autoSpaceDN w:val="0"/>
        <w:adjustRightInd w:val="0"/>
        <w:spacing w:after="0" w:line="240" w:lineRule="auto"/>
        <w:rPr>
          <w:rFonts w:cs="Times New Roman"/>
          <w:color w:val="FF0000"/>
        </w:rPr>
      </w:pPr>
      <w:r w:rsidRPr="0086238E">
        <w:rPr>
          <w:rFonts w:cs="Times New Roman"/>
          <w:color w:val="FF0000"/>
        </w:rPr>
        <w:t xml:space="preserve">The </w:t>
      </w:r>
      <w:r w:rsidRPr="0086238E">
        <w:rPr>
          <w:rFonts w:cs="Times New Roman"/>
          <w:b/>
          <w:color w:val="FF0000"/>
        </w:rPr>
        <w:t>Convergent Validity</w:t>
      </w:r>
      <w:r w:rsidRPr="0086238E">
        <w:rPr>
          <w:rFonts w:cs="Times New Roman"/>
          <w:color w:val="FF0000"/>
        </w:rPr>
        <w:t xml:space="preserve"> table displays the results for the correlations of the RSRRs with similar measures and domains in the 2015 performance year.</w:t>
      </w:r>
    </w:p>
    <w:p w14:paraId="3404AC0B" w14:textId="77777777" w:rsidR="00122055" w:rsidRPr="0086238E" w:rsidRDefault="00122055" w:rsidP="00422FC7">
      <w:pPr>
        <w:autoSpaceDE w:val="0"/>
        <w:autoSpaceDN w:val="0"/>
        <w:adjustRightInd w:val="0"/>
        <w:spacing w:after="0" w:line="240" w:lineRule="auto"/>
        <w:rPr>
          <w:rFonts w:cs="Times New Roman"/>
          <w:b/>
          <w:color w:val="FF0000"/>
        </w:rPr>
      </w:pPr>
    </w:p>
    <w:p w14:paraId="3FF08451" w14:textId="336B3CB5" w:rsidR="00833918" w:rsidRPr="0086238E" w:rsidRDefault="00A6522A" w:rsidP="00422FC7">
      <w:pPr>
        <w:autoSpaceDE w:val="0"/>
        <w:autoSpaceDN w:val="0"/>
        <w:adjustRightInd w:val="0"/>
        <w:spacing w:after="0" w:line="240" w:lineRule="auto"/>
        <w:rPr>
          <w:rFonts w:cs="Times New Roman"/>
          <w:b/>
          <w:color w:val="FF0000"/>
        </w:rPr>
      </w:pPr>
      <w:r w:rsidRPr="0086238E">
        <w:rPr>
          <w:rFonts w:cs="Times New Roman"/>
          <w:b/>
          <w:color w:val="FF0000"/>
        </w:rPr>
        <w:t>Convergent Validity</w:t>
      </w:r>
    </w:p>
    <w:tbl>
      <w:tblPr>
        <w:tblStyle w:val="TableGrid1"/>
        <w:tblW w:w="0" w:type="auto"/>
        <w:tblLook w:val="04A0" w:firstRow="1" w:lastRow="0" w:firstColumn="1" w:lastColumn="0" w:noHBand="0" w:noVBand="1"/>
      </w:tblPr>
      <w:tblGrid>
        <w:gridCol w:w="6835"/>
        <w:gridCol w:w="2160"/>
      </w:tblGrid>
      <w:tr w:rsidR="0086238E" w:rsidRPr="0086238E" w14:paraId="3431FF88" w14:textId="77777777" w:rsidTr="001462CC">
        <w:tc>
          <w:tcPr>
            <w:tcW w:w="6835" w:type="dxa"/>
            <w:shd w:val="clear" w:color="auto" w:fill="DBE5F1" w:themeFill="accent1" w:themeFillTint="33"/>
          </w:tcPr>
          <w:p w14:paraId="35980EB6" w14:textId="17CD96E1" w:rsidR="00833918" w:rsidRPr="0086238E" w:rsidRDefault="00AF694F" w:rsidP="00833918">
            <w:pPr>
              <w:autoSpaceDE w:val="0"/>
              <w:autoSpaceDN w:val="0"/>
              <w:adjustRightInd w:val="0"/>
              <w:spacing w:line="276" w:lineRule="auto"/>
              <w:rPr>
                <w:rFonts w:cs="Times New Roman"/>
                <w:b/>
                <w:color w:val="FF0000"/>
              </w:rPr>
            </w:pPr>
            <w:r w:rsidRPr="0086238E">
              <w:rPr>
                <w:rFonts w:cstheme="minorHAnsi"/>
                <w:b/>
                <w:bCs/>
                <w:color w:val="FF0000"/>
              </w:rPr>
              <w:t xml:space="preserve"> Measure/ Domain</w:t>
            </w:r>
          </w:p>
        </w:tc>
        <w:tc>
          <w:tcPr>
            <w:tcW w:w="2160" w:type="dxa"/>
            <w:shd w:val="clear" w:color="auto" w:fill="DBE5F1" w:themeFill="accent1" w:themeFillTint="33"/>
          </w:tcPr>
          <w:p w14:paraId="2579294C" w14:textId="77777777" w:rsidR="00833918" w:rsidRPr="0086238E" w:rsidRDefault="00833918" w:rsidP="00833918">
            <w:pPr>
              <w:autoSpaceDE w:val="0"/>
              <w:autoSpaceDN w:val="0"/>
              <w:adjustRightInd w:val="0"/>
              <w:spacing w:after="200" w:line="276" w:lineRule="auto"/>
              <w:rPr>
                <w:rFonts w:cs="Times New Roman"/>
                <w:b/>
                <w:color w:val="FF0000"/>
              </w:rPr>
            </w:pPr>
            <w:r w:rsidRPr="0086238E">
              <w:rPr>
                <w:rFonts w:cs="Times New Roman"/>
                <w:b/>
                <w:color w:val="FF0000"/>
              </w:rPr>
              <w:t xml:space="preserve">Correlation </w:t>
            </w:r>
          </w:p>
        </w:tc>
      </w:tr>
      <w:tr w:rsidR="0086238E" w:rsidRPr="0086238E" w14:paraId="4DF0C16E" w14:textId="77777777" w:rsidTr="00872E84">
        <w:tc>
          <w:tcPr>
            <w:tcW w:w="6835" w:type="dxa"/>
          </w:tcPr>
          <w:p w14:paraId="7D24E3B6" w14:textId="77777777" w:rsidR="00833918" w:rsidRPr="0086238E" w:rsidRDefault="00833918" w:rsidP="00833918">
            <w:pPr>
              <w:autoSpaceDE w:val="0"/>
              <w:autoSpaceDN w:val="0"/>
              <w:adjustRightInd w:val="0"/>
              <w:spacing w:line="276" w:lineRule="auto"/>
              <w:rPr>
                <w:rFonts w:cs="Times New Roman"/>
                <w:color w:val="FF0000"/>
              </w:rPr>
            </w:pPr>
            <w:r w:rsidRPr="0086238E">
              <w:rPr>
                <w:rFonts w:cs="Times New Roman"/>
                <w:color w:val="FF0000"/>
              </w:rPr>
              <w:t>Care Coordination/ Patient Safety pay-for-performance points</w:t>
            </w:r>
          </w:p>
        </w:tc>
        <w:tc>
          <w:tcPr>
            <w:tcW w:w="2160" w:type="dxa"/>
          </w:tcPr>
          <w:p w14:paraId="0B40BF1F" w14:textId="77777777" w:rsidR="00833918" w:rsidRPr="0086238E" w:rsidRDefault="00833918" w:rsidP="00833918">
            <w:pPr>
              <w:autoSpaceDE w:val="0"/>
              <w:autoSpaceDN w:val="0"/>
              <w:adjustRightInd w:val="0"/>
              <w:spacing w:after="200" w:line="276" w:lineRule="auto"/>
              <w:rPr>
                <w:rFonts w:cs="Times New Roman"/>
                <w:color w:val="FF0000"/>
              </w:rPr>
            </w:pPr>
            <w:r w:rsidRPr="0086238E">
              <w:rPr>
                <w:rFonts w:cs="Times New Roman"/>
                <w:color w:val="FF0000"/>
              </w:rPr>
              <w:t>-0.5197</w:t>
            </w:r>
          </w:p>
        </w:tc>
      </w:tr>
      <w:tr w:rsidR="0086238E" w:rsidRPr="0086238E" w14:paraId="01FB5DB5" w14:textId="77777777" w:rsidTr="00872E84">
        <w:tc>
          <w:tcPr>
            <w:tcW w:w="6835" w:type="dxa"/>
          </w:tcPr>
          <w:p w14:paraId="28398981" w14:textId="77777777" w:rsidR="00833918" w:rsidRPr="0086238E" w:rsidRDefault="00833918" w:rsidP="00833918">
            <w:pPr>
              <w:autoSpaceDE w:val="0"/>
              <w:autoSpaceDN w:val="0"/>
              <w:adjustRightInd w:val="0"/>
              <w:spacing w:line="276" w:lineRule="auto"/>
              <w:rPr>
                <w:rFonts w:cs="Times New Roman"/>
                <w:color w:val="FF0000"/>
              </w:rPr>
            </w:pPr>
            <w:r w:rsidRPr="0086238E">
              <w:rPr>
                <w:rFonts w:cs="Times New Roman"/>
                <w:color w:val="FF0000"/>
              </w:rPr>
              <w:t>Overall Performance Score</w:t>
            </w:r>
          </w:p>
        </w:tc>
        <w:tc>
          <w:tcPr>
            <w:tcW w:w="2160" w:type="dxa"/>
          </w:tcPr>
          <w:p w14:paraId="425CECF5" w14:textId="77777777" w:rsidR="00833918" w:rsidRPr="0086238E" w:rsidRDefault="00833918" w:rsidP="00833918">
            <w:pPr>
              <w:autoSpaceDE w:val="0"/>
              <w:autoSpaceDN w:val="0"/>
              <w:adjustRightInd w:val="0"/>
              <w:spacing w:after="200" w:line="276" w:lineRule="auto"/>
              <w:rPr>
                <w:rFonts w:cs="Times New Roman"/>
                <w:color w:val="FF0000"/>
              </w:rPr>
            </w:pPr>
            <w:r w:rsidRPr="0086238E">
              <w:rPr>
                <w:rFonts w:cs="Times New Roman"/>
                <w:color w:val="FF0000"/>
              </w:rPr>
              <w:t>-0.3101</w:t>
            </w:r>
          </w:p>
        </w:tc>
      </w:tr>
      <w:tr w:rsidR="0086238E" w:rsidRPr="0086238E" w14:paraId="10391073" w14:textId="77777777" w:rsidTr="00872E84">
        <w:tc>
          <w:tcPr>
            <w:tcW w:w="6835" w:type="dxa"/>
          </w:tcPr>
          <w:p w14:paraId="23468F0B" w14:textId="77777777" w:rsidR="00833918" w:rsidRPr="0086238E" w:rsidRDefault="00833918" w:rsidP="00833918">
            <w:pPr>
              <w:autoSpaceDE w:val="0"/>
              <w:autoSpaceDN w:val="0"/>
              <w:adjustRightInd w:val="0"/>
              <w:spacing w:line="276" w:lineRule="auto"/>
              <w:rPr>
                <w:rFonts w:cs="Times New Roman"/>
                <w:color w:val="FF0000"/>
              </w:rPr>
            </w:pPr>
            <w:r w:rsidRPr="0086238E">
              <w:rPr>
                <w:rFonts w:cs="Times New Roman"/>
                <w:color w:val="FF0000"/>
              </w:rPr>
              <w:t xml:space="preserve">ACO-36: Diabetes Admissions </w:t>
            </w:r>
          </w:p>
        </w:tc>
        <w:tc>
          <w:tcPr>
            <w:tcW w:w="2160" w:type="dxa"/>
          </w:tcPr>
          <w:p w14:paraId="64EA6BDE" w14:textId="77777777" w:rsidR="00833918" w:rsidRPr="0086238E" w:rsidRDefault="00833918" w:rsidP="00833918">
            <w:pPr>
              <w:autoSpaceDE w:val="0"/>
              <w:autoSpaceDN w:val="0"/>
              <w:adjustRightInd w:val="0"/>
              <w:spacing w:after="200" w:line="276" w:lineRule="auto"/>
              <w:rPr>
                <w:rFonts w:cs="Times New Roman"/>
                <w:color w:val="FF0000"/>
              </w:rPr>
            </w:pPr>
            <w:r w:rsidRPr="0086238E">
              <w:rPr>
                <w:rFonts w:cs="Times New Roman"/>
                <w:color w:val="FF0000"/>
              </w:rPr>
              <w:t xml:space="preserve"> 0.6673</w:t>
            </w:r>
          </w:p>
        </w:tc>
      </w:tr>
      <w:tr w:rsidR="0086238E" w:rsidRPr="0086238E" w14:paraId="39C61A58" w14:textId="77777777" w:rsidTr="00872E84">
        <w:tc>
          <w:tcPr>
            <w:tcW w:w="6835" w:type="dxa"/>
          </w:tcPr>
          <w:p w14:paraId="7838B55C" w14:textId="77777777" w:rsidR="00833918" w:rsidRPr="0086238E" w:rsidRDefault="00833918" w:rsidP="00833918">
            <w:pPr>
              <w:autoSpaceDE w:val="0"/>
              <w:autoSpaceDN w:val="0"/>
              <w:adjustRightInd w:val="0"/>
              <w:spacing w:line="276" w:lineRule="auto"/>
              <w:rPr>
                <w:rFonts w:cs="Times New Roman"/>
                <w:color w:val="FF0000"/>
              </w:rPr>
            </w:pPr>
            <w:r w:rsidRPr="0086238E">
              <w:rPr>
                <w:rFonts w:cs="Times New Roman"/>
                <w:color w:val="FF0000"/>
              </w:rPr>
              <w:t>ACO-37: Heart Failure Admissions</w:t>
            </w:r>
          </w:p>
        </w:tc>
        <w:tc>
          <w:tcPr>
            <w:tcW w:w="2160" w:type="dxa"/>
          </w:tcPr>
          <w:p w14:paraId="3292835B" w14:textId="77777777" w:rsidR="00833918" w:rsidRPr="0086238E" w:rsidRDefault="00833918" w:rsidP="00833918">
            <w:pPr>
              <w:autoSpaceDE w:val="0"/>
              <w:autoSpaceDN w:val="0"/>
              <w:adjustRightInd w:val="0"/>
              <w:spacing w:after="200" w:line="276" w:lineRule="auto"/>
              <w:rPr>
                <w:rFonts w:cs="Times New Roman"/>
                <w:color w:val="FF0000"/>
              </w:rPr>
            </w:pPr>
            <w:r w:rsidRPr="0086238E">
              <w:rPr>
                <w:rFonts w:cs="Times New Roman"/>
                <w:color w:val="FF0000"/>
              </w:rPr>
              <w:t xml:space="preserve"> 0.6721</w:t>
            </w:r>
          </w:p>
        </w:tc>
      </w:tr>
      <w:tr w:rsidR="0086238E" w:rsidRPr="0086238E" w14:paraId="00CC409C" w14:textId="77777777" w:rsidTr="00872E84">
        <w:tc>
          <w:tcPr>
            <w:tcW w:w="6835" w:type="dxa"/>
            <w:tcBorders>
              <w:bottom w:val="single" w:sz="4" w:space="0" w:color="auto"/>
            </w:tcBorders>
          </w:tcPr>
          <w:p w14:paraId="7FED651A" w14:textId="77777777" w:rsidR="00833918" w:rsidRPr="0086238E" w:rsidRDefault="00833918" w:rsidP="00833918">
            <w:pPr>
              <w:autoSpaceDE w:val="0"/>
              <w:autoSpaceDN w:val="0"/>
              <w:adjustRightInd w:val="0"/>
              <w:spacing w:line="276" w:lineRule="auto"/>
              <w:rPr>
                <w:rFonts w:cs="Times New Roman"/>
                <w:color w:val="FF0000"/>
              </w:rPr>
            </w:pPr>
            <w:r w:rsidRPr="0086238E">
              <w:rPr>
                <w:rFonts w:cs="Times New Roman"/>
                <w:color w:val="FF0000"/>
              </w:rPr>
              <w:t>ACO-38: Multiple Chronic Conditions</w:t>
            </w:r>
          </w:p>
        </w:tc>
        <w:tc>
          <w:tcPr>
            <w:tcW w:w="2160" w:type="dxa"/>
            <w:tcBorders>
              <w:bottom w:val="single" w:sz="4" w:space="0" w:color="auto"/>
            </w:tcBorders>
          </w:tcPr>
          <w:p w14:paraId="514C8D0E" w14:textId="77777777" w:rsidR="00833918" w:rsidRPr="0086238E" w:rsidRDefault="00833918" w:rsidP="00833918">
            <w:pPr>
              <w:autoSpaceDE w:val="0"/>
              <w:autoSpaceDN w:val="0"/>
              <w:adjustRightInd w:val="0"/>
              <w:spacing w:after="200" w:line="276" w:lineRule="auto"/>
              <w:rPr>
                <w:rFonts w:cs="Times New Roman"/>
                <w:color w:val="FF0000"/>
              </w:rPr>
            </w:pPr>
            <w:r w:rsidRPr="0086238E">
              <w:rPr>
                <w:rFonts w:cs="Times New Roman"/>
                <w:color w:val="FF0000"/>
              </w:rPr>
              <w:t xml:space="preserve"> 0.6603</w:t>
            </w:r>
          </w:p>
        </w:tc>
      </w:tr>
      <w:tr w:rsidR="0086238E" w:rsidRPr="0086238E" w14:paraId="3B18C2A8" w14:textId="77777777" w:rsidTr="00872E84">
        <w:tc>
          <w:tcPr>
            <w:tcW w:w="6835" w:type="dxa"/>
            <w:tcBorders>
              <w:left w:val="nil"/>
              <w:bottom w:val="nil"/>
              <w:right w:val="nil"/>
            </w:tcBorders>
          </w:tcPr>
          <w:p w14:paraId="36D75114" w14:textId="60F4C89B" w:rsidR="00F83038" w:rsidRPr="0086238E" w:rsidRDefault="00833918" w:rsidP="00122055">
            <w:pPr>
              <w:autoSpaceDE w:val="0"/>
              <w:autoSpaceDN w:val="0"/>
              <w:adjustRightInd w:val="0"/>
              <w:spacing w:line="276" w:lineRule="auto"/>
              <w:rPr>
                <w:rFonts w:cs="Times New Roman"/>
                <w:color w:val="FF0000"/>
              </w:rPr>
            </w:pPr>
            <w:r w:rsidRPr="0086238E">
              <w:rPr>
                <w:rFonts w:cs="Times New Roman"/>
                <w:color w:val="FF0000"/>
              </w:rPr>
              <w:t>All p values are &lt;.001</w:t>
            </w:r>
          </w:p>
        </w:tc>
        <w:tc>
          <w:tcPr>
            <w:tcW w:w="2160" w:type="dxa"/>
            <w:tcBorders>
              <w:left w:val="nil"/>
              <w:bottom w:val="nil"/>
              <w:right w:val="nil"/>
            </w:tcBorders>
          </w:tcPr>
          <w:p w14:paraId="7D4E2CC7" w14:textId="77777777" w:rsidR="00833918" w:rsidRPr="0086238E" w:rsidRDefault="00833918" w:rsidP="00833918">
            <w:pPr>
              <w:autoSpaceDE w:val="0"/>
              <w:autoSpaceDN w:val="0"/>
              <w:adjustRightInd w:val="0"/>
              <w:spacing w:after="200" w:line="276" w:lineRule="auto"/>
              <w:rPr>
                <w:rFonts w:cs="Times New Roman"/>
                <w:color w:val="FF0000"/>
              </w:rPr>
            </w:pPr>
          </w:p>
        </w:tc>
      </w:tr>
    </w:tbl>
    <w:p w14:paraId="2627E3CF" w14:textId="772507F7" w:rsidR="00122055" w:rsidRPr="0086238E" w:rsidRDefault="001462CC" w:rsidP="00422FC7">
      <w:pPr>
        <w:autoSpaceDE w:val="0"/>
        <w:autoSpaceDN w:val="0"/>
        <w:adjustRightInd w:val="0"/>
        <w:spacing w:after="0" w:line="240" w:lineRule="auto"/>
        <w:rPr>
          <w:rFonts w:cs="Times New Roman"/>
          <w:color w:val="FF0000"/>
        </w:rPr>
      </w:pPr>
      <w:r w:rsidRPr="0086238E">
        <w:rPr>
          <w:rFonts w:cs="Times New Roman"/>
          <w:color w:val="FF0000"/>
        </w:rPr>
        <w:t xml:space="preserve">The </w:t>
      </w:r>
      <w:r w:rsidRPr="0086238E">
        <w:rPr>
          <w:rFonts w:cs="Times New Roman"/>
          <w:b/>
          <w:color w:val="FF0000"/>
        </w:rPr>
        <w:t>Discriminative Validity</w:t>
      </w:r>
      <w:r w:rsidRPr="0086238E">
        <w:rPr>
          <w:rFonts w:cs="Times New Roman"/>
          <w:color w:val="FF0000"/>
        </w:rPr>
        <w:t xml:space="preserve"> table displays the correlations for the RSRR with unrelated measures in performance year 2015.</w:t>
      </w:r>
    </w:p>
    <w:p w14:paraId="2FD04638" w14:textId="77777777" w:rsidR="00122055" w:rsidRPr="002A6580" w:rsidRDefault="00122055" w:rsidP="00422FC7">
      <w:pPr>
        <w:autoSpaceDE w:val="0"/>
        <w:autoSpaceDN w:val="0"/>
        <w:adjustRightInd w:val="0"/>
        <w:spacing w:after="0" w:line="240" w:lineRule="auto"/>
        <w:rPr>
          <w:rFonts w:cs="Times New Roman"/>
          <w:b/>
        </w:rPr>
      </w:pPr>
    </w:p>
    <w:p w14:paraId="339291DF" w14:textId="73FF59E0" w:rsidR="00642EF1" w:rsidRPr="0086238E" w:rsidRDefault="00833918" w:rsidP="00422FC7">
      <w:pPr>
        <w:autoSpaceDE w:val="0"/>
        <w:autoSpaceDN w:val="0"/>
        <w:adjustRightInd w:val="0"/>
        <w:spacing w:after="0" w:line="240" w:lineRule="auto"/>
        <w:rPr>
          <w:rFonts w:cs="Times New Roman"/>
          <w:b/>
          <w:color w:val="FF0000"/>
        </w:rPr>
      </w:pPr>
      <w:r w:rsidRPr="0086238E">
        <w:rPr>
          <w:rFonts w:cs="Times New Roman"/>
          <w:b/>
          <w:color w:val="FF0000"/>
        </w:rPr>
        <w:lastRenderedPageBreak/>
        <w:t>Discriminative Validity</w:t>
      </w:r>
    </w:p>
    <w:tbl>
      <w:tblPr>
        <w:tblStyle w:val="TableGrid"/>
        <w:tblW w:w="0" w:type="auto"/>
        <w:tblLook w:val="04A0" w:firstRow="1" w:lastRow="0" w:firstColumn="1" w:lastColumn="0" w:noHBand="0" w:noVBand="1"/>
      </w:tblPr>
      <w:tblGrid>
        <w:gridCol w:w="6896"/>
        <w:gridCol w:w="2200"/>
      </w:tblGrid>
      <w:tr w:rsidR="0086238E" w:rsidRPr="0086238E" w14:paraId="64ADA885" w14:textId="77777777" w:rsidTr="001462CC">
        <w:trPr>
          <w:trHeight w:val="177"/>
        </w:trPr>
        <w:tc>
          <w:tcPr>
            <w:tcW w:w="6896" w:type="dxa"/>
            <w:shd w:val="clear" w:color="auto" w:fill="DBE5F1" w:themeFill="accent1" w:themeFillTint="33"/>
          </w:tcPr>
          <w:p w14:paraId="702338E8" w14:textId="6251E705" w:rsidR="00833918" w:rsidRPr="0086238E" w:rsidRDefault="00AF694F" w:rsidP="00351535">
            <w:pPr>
              <w:autoSpaceDE w:val="0"/>
              <w:autoSpaceDN w:val="0"/>
              <w:adjustRightInd w:val="0"/>
              <w:rPr>
                <w:rFonts w:cstheme="minorHAnsi"/>
                <w:b/>
                <w:bCs/>
                <w:color w:val="FF0000"/>
              </w:rPr>
            </w:pPr>
            <w:r w:rsidRPr="0086238E">
              <w:rPr>
                <w:rFonts w:cstheme="minorHAnsi"/>
                <w:b/>
                <w:bCs/>
                <w:color w:val="FF0000"/>
              </w:rPr>
              <w:t xml:space="preserve"> Measure/ Domain</w:t>
            </w:r>
          </w:p>
        </w:tc>
        <w:tc>
          <w:tcPr>
            <w:tcW w:w="2200" w:type="dxa"/>
            <w:shd w:val="clear" w:color="auto" w:fill="DBE5F1" w:themeFill="accent1" w:themeFillTint="33"/>
          </w:tcPr>
          <w:p w14:paraId="124B0FE6" w14:textId="77777777" w:rsidR="00833918" w:rsidRPr="0086238E" w:rsidRDefault="00833918" w:rsidP="00351535">
            <w:pPr>
              <w:rPr>
                <w:rFonts w:cs="Times New Roman"/>
                <w:b/>
                <w:color w:val="FF0000"/>
              </w:rPr>
            </w:pPr>
            <w:r w:rsidRPr="0086238E">
              <w:rPr>
                <w:rFonts w:cs="Times New Roman"/>
                <w:b/>
                <w:color w:val="FF0000"/>
              </w:rPr>
              <w:t>Correlation</w:t>
            </w:r>
          </w:p>
        </w:tc>
      </w:tr>
      <w:tr w:rsidR="0086238E" w:rsidRPr="0086238E" w14:paraId="5F5B6E38" w14:textId="77777777" w:rsidTr="00FF5E45">
        <w:trPr>
          <w:trHeight w:val="166"/>
        </w:trPr>
        <w:tc>
          <w:tcPr>
            <w:tcW w:w="6896" w:type="dxa"/>
          </w:tcPr>
          <w:p w14:paraId="7526D878" w14:textId="6E76BBEA" w:rsidR="00833918" w:rsidRPr="0086238E" w:rsidRDefault="00833918" w:rsidP="00351535">
            <w:pPr>
              <w:rPr>
                <w:rFonts w:cs="Times New Roman"/>
                <w:color w:val="FF0000"/>
              </w:rPr>
            </w:pPr>
            <w:r w:rsidRPr="0086238E">
              <w:rPr>
                <w:rFonts w:cs="Times New Roman"/>
                <w:color w:val="FF0000"/>
              </w:rPr>
              <w:t>Preventive Care Domain points</w:t>
            </w:r>
          </w:p>
        </w:tc>
        <w:tc>
          <w:tcPr>
            <w:tcW w:w="2200" w:type="dxa"/>
          </w:tcPr>
          <w:p w14:paraId="6E4B71D8" w14:textId="5C13F891" w:rsidR="00833918" w:rsidRPr="0086238E" w:rsidRDefault="00833918" w:rsidP="00351535">
            <w:pPr>
              <w:rPr>
                <w:rFonts w:cs="Times New Roman"/>
                <w:color w:val="FF0000"/>
              </w:rPr>
            </w:pPr>
            <w:r w:rsidRPr="0086238E">
              <w:rPr>
                <w:rFonts w:cs="Times New Roman"/>
                <w:color w:val="FF0000"/>
              </w:rPr>
              <w:t>0.</w:t>
            </w:r>
            <w:r w:rsidR="00AF694F" w:rsidRPr="0086238E">
              <w:rPr>
                <w:rFonts w:cs="Times New Roman"/>
                <w:color w:val="FF0000"/>
              </w:rPr>
              <w:t>2094</w:t>
            </w:r>
            <w:r w:rsidRPr="0086238E">
              <w:rPr>
                <w:rFonts w:cs="Times New Roman"/>
                <w:color w:val="FF0000"/>
              </w:rPr>
              <w:t>*</w:t>
            </w:r>
          </w:p>
        </w:tc>
      </w:tr>
      <w:tr w:rsidR="0086238E" w:rsidRPr="0086238E" w14:paraId="4C41C6BE" w14:textId="77777777" w:rsidTr="00FF5E45">
        <w:trPr>
          <w:trHeight w:val="177"/>
        </w:trPr>
        <w:tc>
          <w:tcPr>
            <w:tcW w:w="6896" w:type="dxa"/>
          </w:tcPr>
          <w:p w14:paraId="51A032D5" w14:textId="77777777" w:rsidR="00833918" w:rsidRPr="0086238E" w:rsidRDefault="00833918" w:rsidP="00351535">
            <w:pPr>
              <w:rPr>
                <w:rFonts w:cs="Times New Roman"/>
                <w:color w:val="FF0000"/>
              </w:rPr>
            </w:pPr>
            <w:r w:rsidRPr="0086238E">
              <w:rPr>
                <w:rFonts w:cs="Times New Roman"/>
                <w:color w:val="FF0000"/>
              </w:rPr>
              <w:t>ACO-14: Influenza Immunization</w:t>
            </w:r>
          </w:p>
        </w:tc>
        <w:tc>
          <w:tcPr>
            <w:tcW w:w="2200" w:type="dxa"/>
          </w:tcPr>
          <w:p w14:paraId="09CB0314" w14:textId="77777777" w:rsidR="00833918" w:rsidRPr="0086238E" w:rsidRDefault="00833918" w:rsidP="00351535">
            <w:pPr>
              <w:rPr>
                <w:rFonts w:cs="Times New Roman"/>
                <w:color w:val="FF0000"/>
              </w:rPr>
            </w:pPr>
            <w:r w:rsidRPr="0086238E">
              <w:rPr>
                <w:rFonts w:cs="Times New Roman"/>
                <w:color w:val="FF0000"/>
              </w:rPr>
              <w:t>-0.1087</w:t>
            </w:r>
          </w:p>
        </w:tc>
      </w:tr>
      <w:tr w:rsidR="0086238E" w:rsidRPr="0086238E" w14:paraId="64C01433" w14:textId="77777777" w:rsidTr="00FF5E45">
        <w:trPr>
          <w:trHeight w:val="98"/>
        </w:trPr>
        <w:tc>
          <w:tcPr>
            <w:tcW w:w="6896" w:type="dxa"/>
          </w:tcPr>
          <w:p w14:paraId="127254DF" w14:textId="77777777" w:rsidR="00833918" w:rsidRPr="0086238E" w:rsidRDefault="00833918" w:rsidP="00351535">
            <w:pPr>
              <w:rPr>
                <w:rFonts w:cs="Times New Roman"/>
                <w:color w:val="FF0000"/>
              </w:rPr>
            </w:pPr>
            <w:r w:rsidRPr="0086238E">
              <w:rPr>
                <w:rFonts w:cs="Times New Roman"/>
                <w:color w:val="FF0000"/>
              </w:rPr>
              <w:t>ACO-16: BMI Screening and Follow-up</w:t>
            </w:r>
          </w:p>
        </w:tc>
        <w:tc>
          <w:tcPr>
            <w:tcW w:w="2200" w:type="dxa"/>
          </w:tcPr>
          <w:p w14:paraId="472EAD6D" w14:textId="77777777" w:rsidR="00833918" w:rsidRPr="0086238E" w:rsidRDefault="00833918" w:rsidP="00351535">
            <w:pPr>
              <w:rPr>
                <w:rFonts w:cs="Times New Roman"/>
                <w:color w:val="FF0000"/>
              </w:rPr>
            </w:pPr>
            <w:r w:rsidRPr="0086238E">
              <w:rPr>
                <w:rFonts w:cs="Times New Roman"/>
                <w:color w:val="FF0000"/>
              </w:rPr>
              <w:t>0.0772</w:t>
            </w:r>
          </w:p>
        </w:tc>
      </w:tr>
      <w:tr w:rsidR="0086238E" w:rsidRPr="0086238E" w14:paraId="0EA215A0" w14:textId="77777777" w:rsidTr="00FF5E45">
        <w:trPr>
          <w:trHeight w:val="177"/>
        </w:trPr>
        <w:tc>
          <w:tcPr>
            <w:tcW w:w="6896" w:type="dxa"/>
          </w:tcPr>
          <w:p w14:paraId="37D3CE0E" w14:textId="77777777" w:rsidR="00833918" w:rsidRPr="0086238E" w:rsidRDefault="00833918" w:rsidP="00351535">
            <w:pPr>
              <w:rPr>
                <w:rFonts w:cs="Times New Roman"/>
                <w:color w:val="FF0000"/>
              </w:rPr>
            </w:pPr>
            <w:r w:rsidRPr="0086238E">
              <w:rPr>
                <w:rFonts w:cs="Times New Roman"/>
                <w:color w:val="FF0000"/>
              </w:rPr>
              <w:t>ACO-17: Tobacco Use: Screening and Cessation Intervention</w:t>
            </w:r>
          </w:p>
        </w:tc>
        <w:tc>
          <w:tcPr>
            <w:tcW w:w="2200" w:type="dxa"/>
          </w:tcPr>
          <w:p w14:paraId="5394CDA5" w14:textId="77777777" w:rsidR="00833918" w:rsidRPr="0086238E" w:rsidRDefault="00833918" w:rsidP="00351535">
            <w:pPr>
              <w:rPr>
                <w:rFonts w:cs="Times New Roman"/>
                <w:color w:val="FF0000"/>
              </w:rPr>
            </w:pPr>
            <w:r w:rsidRPr="0086238E">
              <w:rPr>
                <w:rFonts w:cs="Times New Roman"/>
                <w:color w:val="FF0000"/>
              </w:rPr>
              <w:t>-0.1870**</w:t>
            </w:r>
          </w:p>
        </w:tc>
      </w:tr>
      <w:tr w:rsidR="0086238E" w:rsidRPr="0086238E" w14:paraId="2758B382" w14:textId="77777777" w:rsidTr="00FF5E45">
        <w:trPr>
          <w:trHeight w:val="249"/>
        </w:trPr>
        <w:tc>
          <w:tcPr>
            <w:tcW w:w="6896" w:type="dxa"/>
          </w:tcPr>
          <w:p w14:paraId="7B245710" w14:textId="77777777" w:rsidR="00833918" w:rsidRPr="0086238E" w:rsidRDefault="00833918" w:rsidP="00351535">
            <w:pPr>
              <w:rPr>
                <w:rFonts w:cs="Times New Roman"/>
                <w:color w:val="FF0000"/>
              </w:rPr>
            </w:pPr>
            <w:r w:rsidRPr="0086238E">
              <w:rPr>
                <w:rFonts w:cs="Times New Roman"/>
                <w:color w:val="FF0000"/>
              </w:rPr>
              <w:t>ACO-18: Screening for Clinical Depression and Follow-up Plan</w:t>
            </w:r>
          </w:p>
        </w:tc>
        <w:tc>
          <w:tcPr>
            <w:tcW w:w="2200" w:type="dxa"/>
          </w:tcPr>
          <w:p w14:paraId="3C2D0D01" w14:textId="77777777" w:rsidR="00833918" w:rsidRPr="0086238E" w:rsidRDefault="00833918" w:rsidP="00351535">
            <w:pPr>
              <w:rPr>
                <w:rFonts w:cs="Times New Roman"/>
                <w:color w:val="FF0000"/>
              </w:rPr>
            </w:pPr>
            <w:r w:rsidRPr="0086238E">
              <w:rPr>
                <w:rFonts w:cs="Times New Roman"/>
                <w:color w:val="FF0000"/>
              </w:rPr>
              <w:t>-0.0561</w:t>
            </w:r>
          </w:p>
        </w:tc>
      </w:tr>
      <w:tr w:rsidR="0086238E" w:rsidRPr="0086238E" w14:paraId="06CDAA36" w14:textId="77777777" w:rsidTr="00FF5E45">
        <w:trPr>
          <w:trHeight w:val="463"/>
        </w:trPr>
        <w:tc>
          <w:tcPr>
            <w:tcW w:w="6896" w:type="dxa"/>
          </w:tcPr>
          <w:p w14:paraId="10EB5B65" w14:textId="77777777" w:rsidR="00833918" w:rsidRPr="0086238E" w:rsidRDefault="00833918" w:rsidP="00351535">
            <w:pPr>
              <w:rPr>
                <w:rFonts w:cs="Times New Roman"/>
                <w:color w:val="FF0000"/>
              </w:rPr>
            </w:pPr>
            <w:r w:rsidRPr="0086238E">
              <w:rPr>
                <w:rFonts w:cs="Times New Roman"/>
                <w:color w:val="FF0000"/>
              </w:rPr>
              <w:t>ACO-20: Breast Cancer Screening</w:t>
            </w:r>
          </w:p>
        </w:tc>
        <w:tc>
          <w:tcPr>
            <w:tcW w:w="2200" w:type="dxa"/>
          </w:tcPr>
          <w:p w14:paraId="301DEB03" w14:textId="77777777" w:rsidR="00833918" w:rsidRPr="0086238E" w:rsidRDefault="00833918" w:rsidP="00351535">
            <w:pPr>
              <w:rPr>
                <w:rFonts w:cs="Times New Roman"/>
                <w:color w:val="FF0000"/>
              </w:rPr>
            </w:pPr>
            <w:r w:rsidRPr="0086238E">
              <w:rPr>
                <w:rFonts w:cs="Times New Roman"/>
                <w:color w:val="FF0000"/>
              </w:rPr>
              <w:t>0.1874**</w:t>
            </w:r>
          </w:p>
        </w:tc>
      </w:tr>
      <w:tr w:rsidR="0086238E" w:rsidRPr="0086238E" w14:paraId="37D25296" w14:textId="77777777" w:rsidTr="00FF5E45">
        <w:trPr>
          <w:trHeight w:val="166"/>
        </w:trPr>
        <w:tc>
          <w:tcPr>
            <w:tcW w:w="6896" w:type="dxa"/>
          </w:tcPr>
          <w:p w14:paraId="1B077E1C" w14:textId="77777777" w:rsidR="00833918" w:rsidRPr="0086238E" w:rsidRDefault="00833918" w:rsidP="00351535">
            <w:pPr>
              <w:rPr>
                <w:rFonts w:cs="Times New Roman"/>
                <w:color w:val="FF0000"/>
              </w:rPr>
            </w:pPr>
            <w:r w:rsidRPr="0086238E">
              <w:rPr>
                <w:rFonts w:cs="Times New Roman"/>
                <w:color w:val="FF0000"/>
              </w:rPr>
              <w:t>ACO-19: Colorectal Cancer Screening</w:t>
            </w:r>
          </w:p>
        </w:tc>
        <w:tc>
          <w:tcPr>
            <w:tcW w:w="2200" w:type="dxa"/>
          </w:tcPr>
          <w:p w14:paraId="097DBD42" w14:textId="77777777" w:rsidR="00833918" w:rsidRPr="0086238E" w:rsidRDefault="00833918" w:rsidP="00351535">
            <w:pPr>
              <w:rPr>
                <w:rFonts w:cs="Times New Roman"/>
                <w:color w:val="FF0000"/>
              </w:rPr>
            </w:pPr>
            <w:r w:rsidRPr="0086238E">
              <w:rPr>
                <w:rFonts w:cs="Times New Roman"/>
                <w:color w:val="FF0000"/>
              </w:rPr>
              <w:t xml:space="preserve">-0.2567 ** </w:t>
            </w:r>
          </w:p>
        </w:tc>
      </w:tr>
      <w:tr w:rsidR="0086238E" w:rsidRPr="0086238E" w14:paraId="5D62EEEF" w14:textId="77777777" w:rsidTr="00FF5E45">
        <w:trPr>
          <w:trHeight w:val="166"/>
        </w:trPr>
        <w:tc>
          <w:tcPr>
            <w:tcW w:w="6896" w:type="dxa"/>
          </w:tcPr>
          <w:p w14:paraId="1AB71485" w14:textId="77777777" w:rsidR="00833918" w:rsidRPr="0086238E" w:rsidRDefault="00833918" w:rsidP="00351535">
            <w:pPr>
              <w:rPr>
                <w:rFonts w:cs="Times New Roman"/>
                <w:color w:val="FF0000"/>
              </w:rPr>
            </w:pPr>
            <w:r w:rsidRPr="0086238E">
              <w:rPr>
                <w:rFonts w:cs="Times New Roman"/>
                <w:color w:val="FF0000"/>
              </w:rPr>
              <w:t>ACO 21: Screening for High Blood Pressure and Follow-up Documented</w:t>
            </w:r>
          </w:p>
        </w:tc>
        <w:tc>
          <w:tcPr>
            <w:tcW w:w="2200" w:type="dxa"/>
          </w:tcPr>
          <w:p w14:paraId="7C9AE57D" w14:textId="77777777" w:rsidR="00833918" w:rsidRPr="0086238E" w:rsidRDefault="00833918" w:rsidP="00351535">
            <w:pPr>
              <w:rPr>
                <w:rFonts w:cs="Times New Roman"/>
                <w:color w:val="FF0000"/>
              </w:rPr>
            </w:pPr>
            <w:r w:rsidRPr="0086238E">
              <w:rPr>
                <w:rFonts w:cs="Times New Roman"/>
                <w:color w:val="FF0000"/>
              </w:rPr>
              <w:t>0.0666</w:t>
            </w:r>
          </w:p>
        </w:tc>
      </w:tr>
      <w:tr w:rsidR="0086238E" w:rsidRPr="0086238E" w14:paraId="399B38F4" w14:textId="77777777" w:rsidTr="00FF5E45">
        <w:trPr>
          <w:trHeight w:val="166"/>
        </w:trPr>
        <w:tc>
          <w:tcPr>
            <w:tcW w:w="6896" w:type="dxa"/>
            <w:tcBorders>
              <w:bottom w:val="single" w:sz="4" w:space="0" w:color="auto"/>
            </w:tcBorders>
          </w:tcPr>
          <w:p w14:paraId="377530B3" w14:textId="77777777" w:rsidR="00833918" w:rsidRPr="0086238E" w:rsidRDefault="00833918" w:rsidP="00351535">
            <w:pPr>
              <w:rPr>
                <w:rFonts w:cs="Times New Roman"/>
                <w:color w:val="FF0000"/>
              </w:rPr>
            </w:pPr>
            <w:r w:rsidRPr="0086238E">
              <w:rPr>
                <w:rFonts w:cs="Times New Roman"/>
                <w:color w:val="FF0000"/>
              </w:rPr>
              <w:t>ACO-average SES index among all beneficiaries</w:t>
            </w:r>
          </w:p>
        </w:tc>
        <w:tc>
          <w:tcPr>
            <w:tcW w:w="2200" w:type="dxa"/>
            <w:tcBorders>
              <w:bottom w:val="single" w:sz="4" w:space="0" w:color="auto"/>
            </w:tcBorders>
          </w:tcPr>
          <w:p w14:paraId="25DA0FC1" w14:textId="77777777" w:rsidR="00833918" w:rsidRPr="0086238E" w:rsidRDefault="00833918" w:rsidP="00351535">
            <w:pPr>
              <w:rPr>
                <w:rFonts w:cs="Times New Roman"/>
                <w:color w:val="FF0000"/>
              </w:rPr>
            </w:pPr>
            <w:r w:rsidRPr="0086238E">
              <w:rPr>
                <w:rFonts w:cs="Times New Roman"/>
                <w:color w:val="FF0000"/>
              </w:rPr>
              <w:t>-0.014</w:t>
            </w:r>
          </w:p>
        </w:tc>
      </w:tr>
      <w:tr w:rsidR="0086238E" w:rsidRPr="0086238E" w14:paraId="1BCFF85E" w14:textId="77777777" w:rsidTr="00FF5E45">
        <w:trPr>
          <w:trHeight w:val="166"/>
        </w:trPr>
        <w:tc>
          <w:tcPr>
            <w:tcW w:w="6896" w:type="dxa"/>
            <w:tcBorders>
              <w:left w:val="nil"/>
              <w:bottom w:val="nil"/>
              <w:right w:val="nil"/>
            </w:tcBorders>
          </w:tcPr>
          <w:p w14:paraId="12E4BA51" w14:textId="77777777" w:rsidR="00833918" w:rsidRPr="0086238E" w:rsidRDefault="00833918" w:rsidP="00351535">
            <w:pPr>
              <w:tabs>
                <w:tab w:val="left" w:pos="1560"/>
              </w:tabs>
              <w:rPr>
                <w:rFonts w:cs="Times New Roman"/>
                <w:color w:val="FF0000"/>
              </w:rPr>
            </w:pPr>
            <w:r w:rsidRPr="0086238E">
              <w:rPr>
                <w:rFonts w:cs="Times New Roman"/>
                <w:color w:val="FF0000"/>
              </w:rPr>
              <w:t>Note: *p&lt;.05 **p&lt;.001</w:t>
            </w:r>
          </w:p>
        </w:tc>
        <w:tc>
          <w:tcPr>
            <w:tcW w:w="2200" w:type="dxa"/>
            <w:tcBorders>
              <w:left w:val="nil"/>
              <w:bottom w:val="nil"/>
              <w:right w:val="nil"/>
            </w:tcBorders>
          </w:tcPr>
          <w:p w14:paraId="6BCC6873" w14:textId="77777777" w:rsidR="00833918" w:rsidRPr="0086238E" w:rsidRDefault="00833918" w:rsidP="00351535">
            <w:pPr>
              <w:rPr>
                <w:rFonts w:cs="Times New Roman"/>
                <w:color w:val="FF0000"/>
              </w:rPr>
            </w:pPr>
          </w:p>
        </w:tc>
      </w:tr>
    </w:tbl>
    <w:p w14:paraId="63F8A3DC" w14:textId="77777777" w:rsidR="00642EF1" w:rsidRPr="00461642" w:rsidRDefault="00642EF1" w:rsidP="00422FC7">
      <w:pPr>
        <w:autoSpaceDE w:val="0"/>
        <w:autoSpaceDN w:val="0"/>
        <w:adjustRightInd w:val="0"/>
        <w:spacing w:after="0" w:line="240" w:lineRule="auto"/>
        <w:rPr>
          <w:rFonts w:cs="Times New Roman"/>
          <w:color w:val="FF0000"/>
        </w:rPr>
      </w:pPr>
    </w:p>
    <w:p w14:paraId="0C69620C" w14:textId="2DF99401" w:rsidR="00422FC7" w:rsidRPr="002F2AE5" w:rsidRDefault="0072000B" w:rsidP="00521132">
      <w:pPr>
        <w:pStyle w:val="Default"/>
        <w:rPr>
          <w:rFonts w:asciiTheme="minorHAnsi" w:hAnsiTheme="minorHAnsi"/>
          <w:b/>
          <w:sz w:val="22"/>
          <w:szCs w:val="22"/>
        </w:rPr>
      </w:pPr>
      <w:r w:rsidRPr="002F2AE5">
        <w:rPr>
          <w:rFonts w:cstheme="minorHAnsi"/>
          <w:b/>
          <w:bCs/>
        </w:rPr>
        <w:t xml:space="preserve"> </w:t>
      </w:r>
    </w:p>
    <w:p w14:paraId="0D695A36" w14:textId="77777777" w:rsidR="00642EF1" w:rsidRPr="002F2AE5" w:rsidRDefault="00092566" w:rsidP="00DB3627">
      <w:pPr>
        <w:autoSpaceDE w:val="0"/>
        <w:autoSpaceDN w:val="0"/>
        <w:adjustRightInd w:val="0"/>
        <w:spacing w:after="0" w:line="240" w:lineRule="auto"/>
        <w:rPr>
          <w:rFonts w:cstheme="minorHAnsi"/>
          <w:bCs/>
        </w:rPr>
      </w:pPr>
      <w:r w:rsidRPr="002F2AE5">
        <w:rPr>
          <w:rFonts w:cstheme="minorHAnsi"/>
          <w:b/>
          <w:bCs/>
        </w:rPr>
        <w:t>2b2.</w:t>
      </w:r>
      <w:r w:rsidR="007757CE" w:rsidRPr="002F2AE5">
        <w:rPr>
          <w:rFonts w:cstheme="minorHAnsi"/>
          <w:b/>
          <w:bCs/>
        </w:rPr>
        <w:t xml:space="preserve">4. </w:t>
      </w:r>
      <w:r w:rsidR="000B2DF7" w:rsidRPr="002F2AE5">
        <w:rPr>
          <w:rFonts w:cstheme="minorHAnsi"/>
          <w:b/>
          <w:bCs/>
        </w:rPr>
        <w:t xml:space="preserve">What is your interpretation of the results </w:t>
      </w:r>
      <w:r w:rsidR="007422FD" w:rsidRPr="002F2AE5">
        <w:rPr>
          <w:rFonts w:cstheme="minorHAnsi"/>
          <w:b/>
          <w:bCs/>
        </w:rPr>
        <w:t>in terms of demonstrating validity</w:t>
      </w:r>
      <w:r w:rsidR="007422FD" w:rsidRPr="002F2AE5">
        <w:rPr>
          <w:rFonts w:cstheme="minorHAnsi"/>
          <w:bCs/>
        </w:rPr>
        <w:t xml:space="preserve">? </w:t>
      </w:r>
      <w:r w:rsidR="000B2DF7" w:rsidRPr="002F2AE5">
        <w:rPr>
          <w:rFonts w:cstheme="minorHAnsi"/>
          <w:bCs/>
        </w:rPr>
        <w:t>(i</w:t>
      </w:r>
      <w:r w:rsidR="000B2DF7" w:rsidRPr="002F2AE5">
        <w:rPr>
          <w:rFonts w:cstheme="minorHAnsi"/>
          <w:bCs/>
          <w:i/>
        </w:rPr>
        <w:t>.e., what do the results mean and what are the norms for the test conducted</w:t>
      </w:r>
      <w:r w:rsidR="00A25024" w:rsidRPr="002F2AE5">
        <w:rPr>
          <w:rFonts w:cstheme="minorHAnsi"/>
          <w:bCs/>
          <w:i/>
        </w:rPr>
        <w:t>?</w:t>
      </w:r>
      <w:r w:rsidR="000B2DF7" w:rsidRPr="002F2AE5">
        <w:rPr>
          <w:rFonts w:cstheme="minorHAnsi"/>
          <w:bCs/>
        </w:rPr>
        <w:t>)</w:t>
      </w:r>
      <w:r w:rsidR="007422FD" w:rsidRPr="002F2AE5">
        <w:rPr>
          <w:rFonts w:cstheme="minorHAnsi"/>
          <w:bCs/>
        </w:rPr>
        <w:br/>
      </w:r>
    </w:p>
    <w:p w14:paraId="21D88AEE" w14:textId="70166CF9" w:rsidR="001462CC" w:rsidRDefault="0098732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b/>
          <w:u w:val="single"/>
        </w:rPr>
      </w:pPr>
      <w:r>
        <w:rPr>
          <w:rFonts w:cs="Times New Roman"/>
          <w:b/>
          <w:u w:val="single"/>
        </w:rPr>
        <w:t>HWR</w:t>
      </w:r>
    </w:p>
    <w:p w14:paraId="7916FB4B" w14:textId="77777777" w:rsidR="001B555C" w:rsidRPr="00521132" w:rsidRDefault="001B555C"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b/>
          <w:u w:val="single"/>
        </w:rPr>
      </w:pPr>
    </w:p>
    <w:p w14:paraId="3DB12758" w14:textId="275F894A" w:rsidR="00461642" w:rsidRPr="00461642" w:rsidRDefault="001462CC"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rPr>
      </w:pPr>
      <w:r>
        <w:rPr>
          <w:rFonts w:cs="Times New Roman"/>
        </w:rPr>
        <w:t xml:space="preserve">For the </w:t>
      </w:r>
      <w:r w:rsidR="00FC2E8E">
        <w:rPr>
          <w:rFonts w:cs="Times New Roman"/>
        </w:rPr>
        <w:t>HWR</w:t>
      </w:r>
      <w:r w:rsidR="00B96B4D">
        <w:rPr>
          <w:rFonts w:cs="Times New Roman"/>
        </w:rPr>
        <w:t xml:space="preserve"> measure</w:t>
      </w:r>
      <w:r w:rsidR="00461642" w:rsidRPr="00461642">
        <w:rPr>
          <w:rFonts w:cs="Times New Roman"/>
        </w:rPr>
        <w:t xml:space="preserve">, </w:t>
      </w:r>
      <w:r>
        <w:rPr>
          <w:rFonts w:cs="Times New Roman"/>
        </w:rPr>
        <w:t>the</w:t>
      </w:r>
      <w:r w:rsidR="00461642" w:rsidRPr="00461642">
        <w:rPr>
          <w:rFonts w:cs="Times New Roman"/>
        </w:rPr>
        <w:t xml:space="preserve"> construct validity analyses demonstrated results consistent with our expectations. There is a significant correlation between patient satisfaction and RSRR as measured by the HWR measure. “Top performers” as defined by Thomson Reuters have lower RSRRs as measured by the HWR measure. On the other hand, hospitals identified by The Joint Commission as having superior performance on all four categories of clinical process measures have identical performance as those with lower performance, consistent with published studies.</w:t>
      </w:r>
    </w:p>
    <w:p w14:paraId="680572C5" w14:textId="62E2C2E8" w:rsidR="00461642" w:rsidRDefault="00461642"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color w:val="FF0000"/>
        </w:rPr>
      </w:pPr>
    </w:p>
    <w:p w14:paraId="305C3CC3" w14:textId="276EE53B" w:rsidR="001462CC" w:rsidRPr="0086238E" w:rsidRDefault="0098732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b/>
          <w:color w:val="FF0000"/>
          <w:u w:val="single"/>
        </w:rPr>
      </w:pPr>
      <w:r w:rsidRPr="0086238E">
        <w:rPr>
          <w:rFonts w:cs="Times New Roman"/>
          <w:b/>
          <w:color w:val="FF0000"/>
          <w:u w:val="single"/>
        </w:rPr>
        <w:t>ACR</w:t>
      </w:r>
    </w:p>
    <w:p w14:paraId="4A5998EA" w14:textId="77777777" w:rsidR="001B555C" w:rsidRPr="0086238E" w:rsidRDefault="001B555C"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b/>
          <w:color w:val="FF0000"/>
          <w:u w:val="single"/>
        </w:rPr>
      </w:pPr>
    </w:p>
    <w:p w14:paraId="02654545" w14:textId="6E0E5474" w:rsidR="00CA1FB0" w:rsidRPr="0086238E" w:rsidRDefault="00833918"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color w:val="FF0000"/>
        </w:rPr>
      </w:pPr>
      <w:r w:rsidRPr="0086238E">
        <w:rPr>
          <w:rFonts w:cs="Times New Roman"/>
          <w:color w:val="FF0000"/>
        </w:rPr>
        <w:t>For the ACR measure</w:t>
      </w:r>
      <w:r w:rsidR="00642EF1" w:rsidRPr="0086238E">
        <w:rPr>
          <w:rFonts w:cs="Times New Roman"/>
          <w:color w:val="FF0000"/>
        </w:rPr>
        <w:t xml:space="preserve">, the construct validity analyses demonstrated results consistent with our expectations. </w:t>
      </w:r>
      <w:r w:rsidR="00CA1FB0" w:rsidRPr="0086238E">
        <w:rPr>
          <w:rFonts w:cs="Times New Roman"/>
          <w:color w:val="FF0000"/>
        </w:rPr>
        <w:t xml:space="preserve">Conventional standards consider a </w:t>
      </w:r>
      <w:r w:rsidR="00933533" w:rsidRPr="0086238E">
        <w:rPr>
          <w:rFonts w:cs="Times New Roman"/>
          <w:color w:val="FF0000"/>
        </w:rPr>
        <w:t>Pearson</w:t>
      </w:r>
      <w:r w:rsidR="00CA1FB0" w:rsidRPr="0086238E">
        <w:rPr>
          <w:rFonts w:cs="Times New Roman"/>
          <w:color w:val="FF0000"/>
        </w:rPr>
        <w:t xml:space="preserve"> correlation of </w:t>
      </w:r>
      <w:r w:rsidR="00C926A1" w:rsidRPr="0086238E">
        <w:rPr>
          <w:rFonts w:cs="Times New Roman"/>
          <w:color w:val="FF0000"/>
        </w:rPr>
        <w:t>0</w:t>
      </w:r>
      <w:r w:rsidR="00CA1FB0" w:rsidRPr="0086238E">
        <w:rPr>
          <w:rFonts w:cs="Times New Roman"/>
          <w:color w:val="FF0000"/>
        </w:rPr>
        <w:t xml:space="preserve">.37 or larger to be a large association (Cohen, 1988 and 1992). </w:t>
      </w:r>
      <w:r w:rsidR="00642EF1" w:rsidRPr="0086238E">
        <w:rPr>
          <w:rFonts w:cs="Times New Roman"/>
          <w:color w:val="FF0000"/>
        </w:rPr>
        <w:t>As expected, the</w:t>
      </w:r>
      <w:r w:rsidR="00CA1FB0" w:rsidRPr="0086238E">
        <w:rPr>
          <w:rFonts w:cs="Times New Roman"/>
          <w:color w:val="FF0000"/>
        </w:rPr>
        <w:t xml:space="preserve"> ACO </w:t>
      </w:r>
      <w:r w:rsidR="00AF694F" w:rsidRPr="0086238E">
        <w:rPr>
          <w:rFonts w:cs="Times New Roman"/>
          <w:color w:val="FF0000"/>
        </w:rPr>
        <w:t xml:space="preserve">ACR </w:t>
      </w:r>
      <w:r w:rsidR="00CA1FB0" w:rsidRPr="0086238E">
        <w:rPr>
          <w:rFonts w:cs="Times New Roman"/>
          <w:color w:val="FF0000"/>
        </w:rPr>
        <w:t xml:space="preserve">performance in 2015 is strongly </w:t>
      </w:r>
      <w:r w:rsidR="00F24CEB" w:rsidRPr="0086238E">
        <w:rPr>
          <w:rFonts w:cs="Times New Roman"/>
          <w:color w:val="FF0000"/>
        </w:rPr>
        <w:t xml:space="preserve">negatively </w:t>
      </w:r>
      <w:r w:rsidR="00CA1FB0" w:rsidRPr="0086238E">
        <w:rPr>
          <w:rFonts w:cs="Times New Roman"/>
          <w:color w:val="FF0000"/>
        </w:rPr>
        <w:t>correlated with the Care Coordination/Patient Safety Domain</w:t>
      </w:r>
      <w:r w:rsidR="00F24CEB" w:rsidRPr="0086238E">
        <w:rPr>
          <w:rFonts w:cs="Times New Roman"/>
          <w:color w:val="FF0000"/>
        </w:rPr>
        <w:t xml:space="preserve"> (higher domain score indicates higher performance)</w:t>
      </w:r>
      <w:r w:rsidR="00CA1FB0" w:rsidRPr="0086238E">
        <w:rPr>
          <w:rFonts w:cs="Times New Roman"/>
          <w:color w:val="FF0000"/>
        </w:rPr>
        <w:t xml:space="preserve"> and strongly correlated with three admissions measures.</w:t>
      </w:r>
      <w:r w:rsidR="00AF694F" w:rsidRPr="0086238E">
        <w:rPr>
          <w:rFonts w:cs="Times New Roman"/>
          <w:color w:val="FF0000"/>
        </w:rPr>
        <w:t xml:space="preserve"> ACR</w:t>
      </w:r>
      <w:r w:rsidR="008C6732" w:rsidRPr="0086238E">
        <w:rPr>
          <w:rFonts w:cs="Times New Roman"/>
          <w:color w:val="FF0000"/>
        </w:rPr>
        <w:t xml:space="preserve"> ACO performance in 2014 is strongly correlated with performance in 2015 for several related claims</w:t>
      </w:r>
      <w:r w:rsidR="007701CD" w:rsidRPr="0086238E">
        <w:rPr>
          <w:rFonts w:cs="Times New Roman"/>
          <w:color w:val="FF0000"/>
        </w:rPr>
        <w:t>-</w:t>
      </w:r>
      <w:r w:rsidR="008C6732" w:rsidRPr="0086238E">
        <w:rPr>
          <w:rFonts w:cs="Times New Roman"/>
          <w:color w:val="FF0000"/>
        </w:rPr>
        <w:t xml:space="preserve">based measures as well as the </w:t>
      </w:r>
      <w:r w:rsidR="00A53652" w:rsidRPr="0086238E">
        <w:rPr>
          <w:rFonts w:cs="Times New Roman"/>
          <w:color w:val="FF0000"/>
        </w:rPr>
        <w:t xml:space="preserve">ACR </w:t>
      </w:r>
      <w:r w:rsidR="008C6732" w:rsidRPr="0086238E">
        <w:rPr>
          <w:rFonts w:cs="Times New Roman"/>
          <w:color w:val="FF0000"/>
        </w:rPr>
        <w:t xml:space="preserve">ACO performance in 2015. </w:t>
      </w:r>
      <w:r w:rsidR="008729DE">
        <w:rPr>
          <w:rFonts w:cs="Times New Roman"/>
          <w:color w:val="FF0000"/>
        </w:rPr>
        <w:t xml:space="preserve">The ACO ACR performance in 2014 is negatively correlated, as expected (higher overall quality score is better), with overall quality performance in 2015. </w:t>
      </w:r>
      <w:r w:rsidR="008C6732" w:rsidRPr="0086238E">
        <w:rPr>
          <w:rFonts w:cs="Times New Roman"/>
          <w:color w:val="FF0000"/>
        </w:rPr>
        <w:t xml:space="preserve">The ACO </w:t>
      </w:r>
      <w:r w:rsidR="00A53652" w:rsidRPr="0086238E">
        <w:rPr>
          <w:rFonts w:cs="Times New Roman"/>
          <w:color w:val="FF0000"/>
        </w:rPr>
        <w:t xml:space="preserve">ACR </w:t>
      </w:r>
      <w:r w:rsidR="008C6732" w:rsidRPr="0086238E">
        <w:rPr>
          <w:rFonts w:cs="Times New Roman"/>
          <w:color w:val="FF0000"/>
        </w:rPr>
        <w:t xml:space="preserve">performance in 2015 is not strongly correlated with other ACO performance on measures that would not be expected to be correlated with the </w:t>
      </w:r>
      <w:r w:rsidR="00A53652" w:rsidRPr="0086238E">
        <w:rPr>
          <w:rFonts w:cs="Times New Roman"/>
          <w:color w:val="FF0000"/>
        </w:rPr>
        <w:t xml:space="preserve">ACR </w:t>
      </w:r>
      <w:r w:rsidR="008C6732" w:rsidRPr="0086238E">
        <w:rPr>
          <w:rFonts w:cs="Times New Roman"/>
          <w:color w:val="FF0000"/>
        </w:rPr>
        <w:t>measure. The small correlations are expected, to the extent that high performance on the preventive care domain might influence hospital readmissions.</w:t>
      </w:r>
      <w:r w:rsidR="00CA1FB0" w:rsidRPr="0086238E">
        <w:rPr>
          <w:rFonts w:cs="Times New Roman"/>
          <w:color w:val="FF0000"/>
        </w:rPr>
        <w:t xml:space="preserve"> </w:t>
      </w:r>
      <w:r w:rsidR="00A53652" w:rsidRPr="0086238E">
        <w:rPr>
          <w:rFonts w:cs="Times New Roman"/>
          <w:color w:val="FF0000"/>
        </w:rPr>
        <w:t>Quality across even unrelated clinical area or processes of care might be weakly correlated because they all reflect the global quality of the measured ACO.</w:t>
      </w:r>
      <w:r w:rsidR="00A772BC" w:rsidRPr="0086238E">
        <w:rPr>
          <w:rFonts w:cs="Times New Roman"/>
          <w:color w:val="FF0000"/>
        </w:rPr>
        <w:t xml:space="preserve"> </w:t>
      </w:r>
    </w:p>
    <w:p w14:paraId="5C87300B" w14:textId="494AF30F" w:rsidR="000F5AF2" w:rsidRPr="0086238E" w:rsidRDefault="000F5AF2"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color w:val="FF0000"/>
        </w:rPr>
      </w:pPr>
    </w:p>
    <w:p w14:paraId="4BB7A838" w14:textId="77777777" w:rsidR="000F5AF2" w:rsidRPr="0086238E" w:rsidRDefault="000F5AF2"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color w:val="FF0000"/>
        </w:rPr>
      </w:pPr>
      <w:r w:rsidRPr="0086238E">
        <w:rPr>
          <w:rFonts w:cs="Times New Roman"/>
          <w:color w:val="FF0000"/>
        </w:rPr>
        <w:t xml:space="preserve">1. Cohen J, Statistical Power Analysis for the Behavioral Sciences, 2nd ed., 1988. </w:t>
      </w:r>
    </w:p>
    <w:p w14:paraId="5B5B50DA" w14:textId="5FBD4834" w:rsidR="000F5AF2" w:rsidRPr="0086238E" w:rsidRDefault="000F5AF2"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imes New Roman"/>
          <w:color w:val="FF0000"/>
        </w:rPr>
      </w:pPr>
      <w:r w:rsidRPr="0086238E">
        <w:rPr>
          <w:rFonts w:cs="Times New Roman"/>
          <w:color w:val="FF0000"/>
        </w:rPr>
        <w:t>2. Cohen J, A power primer, Psychol Bull, 1992;112(1):155-159.</w:t>
      </w:r>
    </w:p>
    <w:p w14:paraId="5A6D3EB7" w14:textId="7222A08E" w:rsidR="00CA1FB0" w:rsidRPr="002F2AE5" w:rsidRDefault="00CA1FB0" w:rsidP="00DB3627">
      <w:pPr>
        <w:autoSpaceDE w:val="0"/>
        <w:autoSpaceDN w:val="0"/>
        <w:adjustRightInd w:val="0"/>
        <w:spacing w:after="0" w:line="240" w:lineRule="auto"/>
        <w:rPr>
          <w:rFonts w:cs="Times New Roman"/>
        </w:rPr>
      </w:pPr>
    </w:p>
    <w:p w14:paraId="2AE9B17E" w14:textId="77777777" w:rsidR="008A403A" w:rsidRPr="002F2AE5" w:rsidRDefault="00483E94" w:rsidP="00DB3627">
      <w:pPr>
        <w:autoSpaceDE w:val="0"/>
        <w:autoSpaceDN w:val="0"/>
        <w:adjustRightInd w:val="0"/>
        <w:spacing w:after="0" w:line="240" w:lineRule="auto"/>
        <w:rPr>
          <w:rFonts w:cstheme="minorHAnsi"/>
          <w:bCs/>
        </w:rPr>
      </w:pPr>
      <w:r w:rsidRPr="002F2AE5">
        <w:rPr>
          <w:rFonts w:cstheme="minorHAnsi"/>
          <w:bCs/>
        </w:rPr>
        <w:t>_________________________</w:t>
      </w:r>
    </w:p>
    <w:p w14:paraId="2AE9B17F" w14:textId="77777777" w:rsidR="00097012" w:rsidRPr="002F2AE5" w:rsidRDefault="00021170" w:rsidP="00DB3627">
      <w:pPr>
        <w:autoSpaceDE w:val="0"/>
        <w:autoSpaceDN w:val="0"/>
        <w:adjustRightInd w:val="0"/>
        <w:spacing w:after="0" w:line="240" w:lineRule="auto"/>
        <w:rPr>
          <w:rFonts w:cstheme="minorHAnsi"/>
          <w:b/>
          <w:bCs/>
        </w:rPr>
      </w:pPr>
      <w:r w:rsidRPr="002F2AE5">
        <w:rPr>
          <w:rFonts w:cstheme="minorHAnsi"/>
          <w:b/>
          <w:bCs/>
        </w:rPr>
        <w:lastRenderedPageBreak/>
        <w:t>2</w:t>
      </w:r>
      <w:r w:rsidR="00EA5F47" w:rsidRPr="002F2AE5">
        <w:rPr>
          <w:rFonts w:cstheme="minorHAnsi"/>
          <w:b/>
          <w:bCs/>
        </w:rPr>
        <w:t>b</w:t>
      </w:r>
      <w:r w:rsidRPr="002F2AE5">
        <w:rPr>
          <w:rFonts w:cstheme="minorHAnsi"/>
          <w:b/>
          <w:bCs/>
        </w:rPr>
        <w:t>3. EXCLUSIONS</w:t>
      </w:r>
      <w:r w:rsidR="005333CC" w:rsidRPr="002F2AE5">
        <w:rPr>
          <w:rFonts w:cstheme="minorHAnsi"/>
          <w:b/>
          <w:bCs/>
        </w:rPr>
        <w:t xml:space="preserve"> </w:t>
      </w:r>
      <w:r w:rsidR="00356BAD" w:rsidRPr="002F2AE5">
        <w:rPr>
          <w:rFonts w:cstheme="minorHAnsi"/>
          <w:b/>
          <w:bCs/>
        </w:rPr>
        <w:t>ANALYSIS</w:t>
      </w:r>
    </w:p>
    <w:p w14:paraId="2AE9B180" w14:textId="77777777" w:rsidR="00B037BA" w:rsidRPr="002F2AE5" w:rsidRDefault="001E4DD4" w:rsidP="00DB3627">
      <w:pPr>
        <w:autoSpaceDE w:val="0"/>
        <w:autoSpaceDN w:val="0"/>
        <w:adjustRightInd w:val="0"/>
        <w:spacing w:after="0" w:line="240" w:lineRule="auto"/>
        <w:rPr>
          <w:rFonts w:cstheme="minorHAnsi"/>
          <w:b/>
          <w:bCs/>
        </w:rPr>
      </w:pPr>
      <w:r w:rsidRPr="002F2AE5">
        <w:rPr>
          <w:rFonts w:eastAsia="MS Gothic" w:cstheme="minorHAnsi"/>
          <w:b/>
          <w:bCs/>
        </w:rPr>
        <w:t>NA</w:t>
      </w:r>
      <w:r w:rsidRPr="00682370">
        <w:rPr>
          <w:rFonts w:eastAsia="MS Gothic" w:cstheme="minorHAnsi"/>
          <w:b/>
          <w:bCs/>
        </w:rPr>
        <w:t xml:space="preserve"> </w:t>
      </w:r>
      <w:sdt>
        <w:sdtPr>
          <w:rPr>
            <w:rFonts w:cstheme="minorHAnsi"/>
            <w:bCs/>
          </w:rPr>
          <w:id w:val="854622499"/>
          <w14:checkbox>
            <w14:checked w14:val="0"/>
            <w14:checkedState w14:val="2612" w14:font="MS Gothic"/>
            <w14:uncheckedState w14:val="2610" w14:font="MS Gothic"/>
          </w14:checkbox>
        </w:sdtPr>
        <w:sdtEndPr/>
        <w:sdtContent>
          <w:r w:rsidR="006574D2" w:rsidRPr="00682370">
            <w:rPr>
              <w:rFonts w:ascii="Segoe UI Symbol" w:eastAsia="MS Gothic" w:hAnsi="Segoe UI Symbol" w:cs="Segoe UI Symbol"/>
              <w:bCs/>
            </w:rPr>
            <w:t>☐</w:t>
          </w:r>
        </w:sdtContent>
      </w:sdt>
      <w:r w:rsidRPr="00682370">
        <w:rPr>
          <w:rFonts w:eastAsia="MS Gothic" w:cstheme="minorHAnsi"/>
          <w:b/>
          <w:bCs/>
        </w:rPr>
        <w:t xml:space="preserve"> </w:t>
      </w:r>
      <w:r w:rsidR="00484120" w:rsidRPr="00682370">
        <w:rPr>
          <w:rFonts w:cstheme="minorHAnsi"/>
          <w:b/>
          <w:bCs/>
        </w:rPr>
        <w:t>no exclusions</w:t>
      </w:r>
      <w:r w:rsidRPr="00682370">
        <w:rPr>
          <w:rFonts w:cstheme="minorHAnsi"/>
          <w:b/>
          <w:bCs/>
        </w:rPr>
        <w:t xml:space="preserve"> </w:t>
      </w:r>
      <w:r w:rsidRPr="00682370">
        <w:rPr>
          <w:rFonts w:eastAsia="MS Gothic" w:cstheme="minorHAnsi"/>
          <w:b/>
          <w:bCs/>
        </w:rPr>
        <w:t>—</w:t>
      </w:r>
      <w:r w:rsidRPr="00682370">
        <w:rPr>
          <w:rFonts w:cstheme="minorHAnsi"/>
          <w:b/>
          <w:bCs/>
          <w:i/>
        </w:rPr>
        <w:t xml:space="preserve"> </w:t>
      </w:r>
      <w:r w:rsidR="00B037BA" w:rsidRPr="00682370">
        <w:rPr>
          <w:rFonts w:cstheme="minorHAnsi"/>
          <w:b/>
          <w:bCs/>
          <w:i/>
        </w:rPr>
        <w:t xml:space="preserve">skip </w:t>
      </w:r>
      <w:r w:rsidR="008A4C13" w:rsidRPr="00682370">
        <w:rPr>
          <w:rFonts w:cstheme="minorHAnsi"/>
          <w:b/>
          <w:bCs/>
          <w:i/>
        </w:rPr>
        <w:t xml:space="preserve">to </w:t>
      </w:r>
      <w:r w:rsidR="00BE592D" w:rsidRPr="00682370">
        <w:rPr>
          <w:rFonts w:cstheme="minorHAnsi"/>
          <w:b/>
          <w:bCs/>
          <w:i/>
        </w:rPr>
        <w:t xml:space="preserve">section </w:t>
      </w:r>
      <w:hyperlink w:anchor="section2b4" w:history="1">
        <w:r w:rsidR="00483E94" w:rsidRPr="00682370">
          <w:rPr>
            <w:rStyle w:val="Hyperlink"/>
            <w:rFonts w:cstheme="minorHAnsi"/>
            <w:b/>
            <w:bCs/>
            <w:i/>
            <w:color w:val="auto"/>
          </w:rPr>
          <w:t>2b</w:t>
        </w:r>
        <w:r w:rsidR="00AC1D8E" w:rsidRPr="00682370">
          <w:rPr>
            <w:rStyle w:val="Hyperlink"/>
            <w:rFonts w:cstheme="minorHAnsi"/>
            <w:b/>
            <w:bCs/>
            <w:i/>
            <w:color w:val="auto"/>
          </w:rPr>
          <w:t>4</w:t>
        </w:r>
      </w:hyperlink>
    </w:p>
    <w:p w14:paraId="2AE9B181" w14:textId="77777777" w:rsidR="00001D73" w:rsidRPr="002F2AE5" w:rsidRDefault="00001D73" w:rsidP="00DB3627">
      <w:pPr>
        <w:autoSpaceDE w:val="0"/>
        <w:autoSpaceDN w:val="0"/>
        <w:adjustRightInd w:val="0"/>
        <w:spacing w:after="0" w:line="240" w:lineRule="auto"/>
        <w:rPr>
          <w:rFonts w:cstheme="minorHAnsi"/>
          <w:b/>
          <w:bCs/>
        </w:rPr>
      </w:pPr>
    </w:p>
    <w:p w14:paraId="73CFBE24" w14:textId="77777777" w:rsidR="008027BA" w:rsidRDefault="00092566" w:rsidP="00DB3627">
      <w:pPr>
        <w:autoSpaceDE w:val="0"/>
        <w:autoSpaceDN w:val="0"/>
        <w:adjustRightInd w:val="0"/>
        <w:spacing w:after="0" w:line="240" w:lineRule="auto"/>
        <w:rPr>
          <w:rFonts w:cstheme="minorHAnsi"/>
          <w:bCs/>
        </w:rPr>
      </w:pPr>
      <w:r w:rsidRPr="002F2AE5">
        <w:rPr>
          <w:rFonts w:cstheme="minorHAnsi"/>
          <w:b/>
          <w:bCs/>
        </w:rPr>
        <w:t>2b3.</w:t>
      </w:r>
      <w:r w:rsidR="00A25024" w:rsidRPr="002F2AE5">
        <w:rPr>
          <w:rFonts w:cstheme="minorHAnsi"/>
          <w:b/>
          <w:bCs/>
        </w:rPr>
        <w:t>1. Describe the method of</w:t>
      </w:r>
      <w:r w:rsidR="00E672D6" w:rsidRPr="002F2AE5">
        <w:rPr>
          <w:rFonts w:cstheme="minorHAnsi"/>
          <w:b/>
          <w:bCs/>
        </w:rPr>
        <w:t xml:space="preserve"> </w:t>
      </w:r>
      <w:r w:rsidR="005333CC" w:rsidRPr="002F2AE5">
        <w:rPr>
          <w:rFonts w:cstheme="minorHAnsi"/>
          <w:b/>
          <w:bCs/>
        </w:rPr>
        <w:t>testing</w:t>
      </w:r>
      <w:r w:rsidR="00833325" w:rsidRPr="002F2AE5">
        <w:rPr>
          <w:rFonts w:cstheme="minorHAnsi"/>
          <w:b/>
          <w:bCs/>
        </w:rPr>
        <w:t xml:space="preserve"> </w:t>
      </w:r>
      <w:r w:rsidR="004B6CEE" w:rsidRPr="002F2AE5">
        <w:rPr>
          <w:rFonts w:cstheme="minorHAnsi"/>
          <w:b/>
          <w:bCs/>
        </w:rPr>
        <w:t xml:space="preserve">exclusions </w:t>
      </w:r>
      <w:r w:rsidR="00A25024" w:rsidRPr="002F2AE5">
        <w:rPr>
          <w:rFonts w:cstheme="minorHAnsi"/>
          <w:b/>
          <w:bCs/>
        </w:rPr>
        <w:t>and what it tests</w:t>
      </w:r>
      <w:r w:rsidR="00833325" w:rsidRPr="002F2AE5">
        <w:rPr>
          <w:rFonts w:cstheme="minorHAnsi"/>
          <w:bCs/>
        </w:rPr>
        <w:t xml:space="preserve"> (</w:t>
      </w:r>
      <w:r w:rsidR="00A25024" w:rsidRPr="002F2AE5">
        <w:rPr>
          <w:rFonts w:cstheme="minorHAnsi"/>
          <w:bCs/>
          <w:i/>
        </w:rPr>
        <w:t>describe the steps―do not just name a method; what was tested, e.g., whether exclusions affect overall performance scores</w:t>
      </w:r>
      <w:r w:rsidR="0022691B" w:rsidRPr="002F2AE5">
        <w:rPr>
          <w:rFonts w:cstheme="minorHAnsi"/>
          <w:bCs/>
          <w:i/>
        </w:rPr>
        <w:t>; what statistical analysis was used</w:t>
      </w:r>
      <w:r w:rsidR="00EA7E22">
        <w:rPr>
          <w:rFonts w:cstheme="minorHAnsi"/>
          <w:bCs/>
        </w:rPr>
        <w:t>)</w:t>
      </w:r>
    </w:p>
    <w:p w14:paraId="3AB69993" w14:textId="3D4F8A79" w:rsidR="008027BA" w:rsidRDefault="008027BA" w:rsidP="008027BA">
      <w:pPr>
        <w:autoSpaceDE w:val="0"/>
        <w:autoSpaceDN w:val="0"/>
        <w:adjustRightInd w:val="0"/>
        <w:spacing w:after="0" w:line="240" w:lineRule="auto"/>
        <w:rPr>
          <w:rFonts w:cstheme="minorHAnsi"/>
          <w:bCs/>
        </w:rPr>
      </w:pPr>
    </w:p>
    <w:p w14:paraId="0A2E7858" w14:textId="270B00EF" w:rsidR="008027BA" w:rsidRPr="008D2BD7"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5D7765">
        <w:rPr>
          <w:rFonts w:cstheme="minorHAnsi"/>
          <w:bCs/>
        </w:rPr>
        <w:t>All exclusions were determined by careful clinical review and have been made based on clinically relevant decisions and to ensure accurate calculation of the measure. To ascertain impact of exclusions on the cohort, we examined overall frequencies and proportions of the total cohort excluded for each exclusion criterion (</w:t>
      </w:r>
      <w:r w:rsidRPr="00F45C75">
        <w:rPr>
          <w:rFonts w:cstheme="minorHAnsi"/>
          <w:b/>
          <w:bCs/>
        </w:rPr>
        <w:t>Dataset 1</w:t>
      </w:r>
      <w:r w:rsidR="001B555C">
        <w:rPr>
          <w:rFonts w:cstheme="minorHAnsi"/>
          <w:b/>
          <w:bCs/>
        </w:rPr>
        <w:t xml:space="preserve"> </w:t>
      </w:r>
      <w:r w:rsidR="001B555C" w:rsidRPr="00B86072">
        <w:rPr>
          <w:rFonts w:cstheme="minorHAnsi"/>
          <w:bCs/>
        </w:rPr>
        <w:t>and</w:t>
      </w:r>
      <w:r w:rsidR="001B555C">
        <w:rPr>
          <w:rFonts w:cstheme="minorHAnsi"/>
          <w:b/>
          <w:bCs/>
        </w:rPr>
        <w:t xml:space="preserve"> Dataset 6</w:t>
      </w:r>
      <w:r w:rsidRPr="005D7765">
        <w:rPr>
          <w:rFonts w:cstheme="minorHAnsi"/>
          <w:bCs/>
        </w:rPr>
        <w:t>). These exclusions are consistent with similar NQF-endorsed outcome measures. Rationales for the exclusions are detailed in data field S.10 (Denominator Exclusions).</w:t>
      </w:r>
    </w:p>
    <w:p w14:paraId="2AE9B182" w14:textId="2AFE7518" w:rsidR="00833325" w:rsidRPr="002F2AE5" w:rsidRDefault="00833325" w:rsidP="00DB3627">
      <w:pPr>
        <w:autoSpaceDE w:val="0"/>
        <w:autoSpaceDN w:val="0"/>
        <w:adjustRightInd w:val="0"/>
        <w:spacing w:after="0" w:line="240" w:lineRule="auto"/>
        <w:rPr>
          <w:rFonts w:cstheme="minorHAnsi"/>
          <w:bCs/>
        </w:rPr>
      </w:pPr>
    </w:p>
    <w:p w14:paraId="2AE9B183" w14:textId="77777777" w:rsidR="00833325" w:rsidRPr="002F2AE5" w:rsidRDefault="00833325" w:rsidP="00DB3627">
      <w:pPr>
        <w:autoSpaceDE w:val="0"/>
        <w:autoSpaceDN w:val="0"/>
        <w:adjustRightInd w:val="0"/>
        <w:spacing w:after="0" w:line="240" w:lineRule="auto"/>
        <w:rPr>
          <w:rFonts w:cstheme="minorHAnsi"/>
          <w:bCs/>
        </w:rPr>
      </w:pPr>
    </w:p>
    <w:p w14:paraId="37682387" w14:textId="1635E60F" w:rsidR="001462CC" w:rsidRDefault="00092566" w:rsidP="00092566">
      <w:pPr>
        <w:autoSpaceDE w:val="0"/>
        <w:autoSpaceDN w:val="0"/>
        <w:adjustRightInd w:val="0"/>
        <w:spacing w:after="0" w:line="240" w:lineRule="auto"/>
        <w:rPr>
          <w:rFonts w:cstheme="minorHAnsi"/>
          <w:bCs/>
        </w:rPr>
      </w:pPr>
      <w:r w:rsidRPr="002F2AE5">
        <w:rPr>
          <w:rFonts w:cstheme="minorHAnsi"/>
          <w:b/>
          <w:bCs/>
        </w:rPr>
        <w:t>2b3.</w:t>
      </w:r>
      <w:r w:rsidR="00A25024" w:rsidRPr="002F2AE5">
        <w:rPr>
          <w:rFonts w:cstheme="minorHAnsi"/>
          <w:b/>
          <w:bCs/>
        </w:rPr>
        <w:t xml:space="preserve">2. </w:t>
      </w:r>
      <w:r w:rsidR="00833325" w:rsidRPr="002F2AE5">
        <w:rPr>
          <w:rFonts w:cstheme="minorHAnsi"/>
          <w:b/>
          <w:bCs/>
        </w:rPr>
        <w:t xml:space="preserve">What were the statistical results </w:t>
      </w:r>
      <w:r w:rsidR="007422FD" w:rsidRPr="002F2AE5">
        <w:rPr>
          <w:rFonts w:cstheme="minorHAnsi"/>
          <w:b/>
          <w:bCs/>
        </w:rPr>
        <w:t>from testing exclusions</w:t>
      </w:r>
      <w:r w:rsidR="00833325" w:rsidRPr="002F2AE5">
        <w:rPr>
          <w:rFonts w:cstheme="minorHAnsi"/>
          <w:bCs/>
        </w:rPr>
        <w:t>?</w:t>
      </w:r>
      <w:r w:rsidR="000B2DF7" w:rsidRPr="002F2AE5">
        <w:rPr>
          <w:rFonts w:cstheme="minorHAnsi"/>
          <w:bCs/>
        </w:rPr>
        <w:t xml:space="preserve"> (</w:t>
      </w:r>
      <w:r w:rsidR="000B2DF7" w:rsidRPr="002F2AE5">
        <w:rPr>
          <w:rFonts w:cstheme="minorHAnsi"/>
          <w:bCs/>
          <w:i/>
        </w:rPr>
        <w:t xml:space="preserve">include </w:t>
      </w:r>
      <w:r w:rsidR="00356BAD" w:rsidRPr="002F2AE5">
        <w:rPr>
          <w:rFonts w:cstheme="minorHAnsi"/>
          <w:bCs/>
          <w:i/>
        </w:rPr>
        <w:t xml:space="preserve">overall </w:t>
      </w:r>
      <w:r w:rsidR="000B2DF7" w:rsidRPr="002F2AE5">
        <w:rPr>
          <w:rFonts w:cstheme="minorHAnsi"/>
          <w:bCs/>
          <w:i/>
        </w:rPr>
        <w:t>number and percentage of individuals excluded</w:t>
      </w:r>
      <w:r w:rsidR="0025762F" w:rsidRPr="002F2AE5">
        <w:rPr>
          <w:rFonts w:cstheme="minorHAnsi"/>
          <w:bCs/>
          <w:i/>
        </w:rPr>
        <w:t>, frequency distribution of exclusions across measured entities,</w:t>
      </w:r>
      <w:r w:rsidR="000B2DF7" w:rsidRPr="002F2AE5">
        <w:rPr>
          <w:rFonts w:cstheme="minorHAnsi"/>
          <w:bCs/>
          <w:i/>
        </w:rPr>
        <w:t xml:space="preserve"> and impact on performance measure scores</w:t>
      </w:r>
      <w:r w:rsidR="000B2DF7" w:rsidRPr="002F2AE5">
        <w:rPr>
          <w:rFonts w:cstheme="minorHAnsi"/>
          <w:bCs/>
        </w:rPr>
        <w:t>)</w:t>
      </w:r>
    </w:p>
    <w:p w14:paraId="125055DA" w14:textId="6C615AE6" w:rsidR="001462CC" w:rsidRPr="00B86072" w:rsidRDefault="00833325" w:rsidP="00092566">
      <w:pPr>
        <w:autoSpaceDE w:val="0"/>
        <w:autoSpaceDN w:val="0"/>
        <w:adjustRightInd w:val="0"/>
        <w:spacing w:after="0" w:line="240" w:lineRule="auto"/>
        <w:rPr>
          <w:b/>
          <w:u w:val="single"/>
        </w:rPr>
      </w:pPr>
      <w:r w:rsidRPr="002F2AE5">
        <w:rPr>
          <w:rFonts w:cstheme="minorHAnsi"/>
          <w:bCs/>
        </w:rPr>
        <w:br/>
      </w:r>
      <w:r w:rsidR="001462CC" w:rsidRPr="00B86072">
        <w:rPr>
          <w:b/>
          <w:u w:val="single"/>
        </w:rPr>
        <w:t xml:space="preserve">The following results are for the </w:t>
      </w:r>
      <w:r w:rsidR="00466298">
        <w:rPr>
          <w:b/>
          <w:u w:val="single"/>
        </w:rPr>
        <w:t>HWR</w:t>
      </w:r>
      <w:r w:rsidR="00466298" w:rsidRPr="00B86072">
        <w:rPr>
          <w:b/>
          <w:u w:val="single"/>
        </w:rPr>
        <w:t xml:space="preserve"> </w:t>
      </w:r>
      <w:r w:rsidR="001462CC" w:rsidRPr="00B86072">
        <w:rPr>
          <w:b/>
          <w:u w:val="single"/>
        </w:rPr>
        <w:t xml:space="preserve">measure.  </w:t>
      </w:r>
    </w:p>
    <w:p w14:paraId="19FDBDA1" w14:textId="77777777" w:rsidR="001462CC" w:rsidRPr="00B86072" w:rsidRDefault="001462CC" w:rsidP="00092566">
      <w:pPr>
        <w:autoSpaceDE w:val="0"/>
        <w:autoSpaceDN w:val="0"/>
        <w:adjustRightInd w:val="0"/>
        <w:spacing w:after="0" w:line="240" w:lineRule="auto"/>
        <w:rPr>
          <w:b/>
        </w:rPr>
      </w:pPr>
    </w:p>
    <w:p w14:paraId="2AE9B184" w14:textId="7DCC28B4" w:rsidR="007422FD" w:rsidRDefault="001462CC" w:rsidP="00092566">
      <w:pPr>
        <w:autoSpaceDE w:val="0"/>
        <w:autoSpaceDN w:val="0"/>
        <w:adjustRightInd w:val="0"/>
        <w:spacing w:after="0" w:line="240" w:lineRule="auto"/>
      </w:pPr>
      <w:r w:rsidRPr="001462CC">
        <w:t>In Dataset 1</w:t>
      </w:r>
      <w:r w:rsidR="001B555C">
        <w:t xml:space="preserve"> </w:t>
      </w:r>
      <w:r w:rsidRPr="001462CC">
        <w:t>(2015 Public Reporting Cohort):</w:t>
      </w:r>
    </w:p>
    <w:tbl>
      <w:tblPr>
        <w:tblStyle w:val="TableGrid"/>
        <w:tblW w:w="0" w:type="auto"/>
        <w:tblLook w:val="04A0" w:firstRow="1" w:lastRow="0" w:firstColumn="1" w:lastColumn="0" w:noHBand="0" w:noVBand="1"/>
      </w:tblPr>
      <w:tblGrid>
        <w:gridCol w:w="3749"/>
        <w:gridCol w:w="1005"/>
        <w:gridCol w:w="731"/>
        <w:gridCol w:w="3865"/>
      </w:tblGrid>
      <w:tr w:rsidR="001462CC" w:rsidRPr="008027BA" w14:paraId="3E9EE93D" w14:textId="77777777" w:rsidTr="00206E72">
        <w:trPr>
          <w:trHeight w:val="288"/>
        </w:trPr>
        <w:tc>
          <w:tcPr>
            <w:tcW w:w="3749" w:type="dxa"/>
            <w:shd w:val="clear" w:color="auto" w:fill="DBE5F1" w:themeFill="accent1" w:themeFillTint="33"/>
            <w:noWrap/>
            <w:vAlign w:val="center"/>
            <w:hideMark/>
          </w:tcPr>
          <w:p w14:paraId="328C70C0" w14:textId="77777777" w:rsidR="001462CC" w:rsidRPr="001462CC" w:rsidRDefault="001462CC" w:rsidP="00206E72">
            <w:pPr>
              <w:autoSpaceDE w:val="0"/>
              <w:autoSpaceDN w:val="0"/>
              <w:adjustRightInd w:val="0"/>
              <w:rPr>
                <w:rFonts w:cstheme="minorHAnsi"/>
                <w:b/>
                <w:bCs/>
              </w:rPr>
            </w:pPr>
            <w:r w:rsidRPr="001462CC">
              <w:rPr>
                <w:rFonts w:cstheme="minorHAnsi"/>
                <w:b/>
                <w:bCs/>
              </w:rPr>
              <w:t>Exclusion</w:t>
            </w:r>
          </w:p>
        </w:tc>
        <w:tc>
          <w:tcPr>
            <w:tcW w:w="1005" w:type="dxa"/>
            <w:shd w:val="clear" w:color="auto" w:fill="DBE5F1" w:themeFill="accent1" w:themeFillTint="33"/>
            <w:noWrap/>
            <w:vAlign w:val="center"/>
            <w:hideMark/>
          </w:tcPr>
          <w:p w14:paraId="50CE4C84" w14:textId="77777777" w:rsidR="001462CC" w:rsidRPr="001462CC" w:rsidRDefault="001462CC" w:rsidP="00206E72">
            <w:pPr>
              <w:autoSpaceDE w:val="0"/>
              <w:autoSpaceDN w:val="0"/>
              <w:adjustRightInd w:val="0"/>
              <w:rPr>
                <w:rFonts w:cstheme="minorHAnsi"/>
                <w:b/>
                <w:bCs/>
              </w:rPr>
            </w:pPr>
            <w:r w:rsidRPr="001462CC">
              <w:rPr>
                <w:rFonts w:cstheme="minorHAnsi"/>
                <w:b/>
                <w:bCs/>
              </w:rPr>
              <w:t>N</w:t>
            </w:r>
          </w:p>
        </w:tc>
        <w:tc>
          <w:tcPr>
            <w:tcW w:w="731" w:type="dxa"/>
            <w:shd w:val="clear" w:color="auto" w:fill="DBE5F1" w:themeFill="accent1" w:themeFillTint="33"/>
            <w:noWrap/>
            <w:vAlign w:val="center"/>
            <w:hideMark/>
          </w:tcPr>
          <w:p w14:paraId="155A4AD5" w14:textId="77777777" w:rsidR="001462CC" w:rsidRPr="001462CC" w:rsidRDefault="001462CC" w:rsidP="00206E72">
            <w:pPr>
              <w:autoSpaceDE w:val="0"/>
              <w:autoSpaceDN w:val="0"/>
              <w:adjustRightInd w:val="0"/>
              <w:rPr>
                <w:rFonts w:cstheme="minorHAnsi"/>
                <w:b/>
                <w:bCs/>
              </w:rPr>
            </w:pPr>
            <w:r w:rsidRPr="001462CC">
              <w:rPr>
                <w:rFonts w:cstheme="minorHAnsi"/>
                <w:b/>
                <w:bCs/>
              </w:rPr>
              <w:t>%</w:t>
            </w:r>
          </w:p>
        </w:tc>
        <w:tc>
          <w:tcPr>
            <w:tcW w:w="3865" w:type="dxa"/>
            <w:shd w:val="clear" w:color="auto" w:fill="DBE5F1" w:themeFill="accent1" w:themeFillTint="33"/>
            <w:noWrap/>
            <w:vAlign w:val="center"/>
            <w:hideMark/>
          </w:tcPr>
          <w:p w14:paraId="43F58FEA" w14:textId="547876A6" w:rsidR="001462CC" w:rsidRPr="001462CC" w:rsidRDefault="001462CC" w:rsidP="00206E72">
            <w:pPr>
              <w:autoSpaceDE w:val="0"/>
              <w:autoSpaceDN w:val="0"/>
              <w:adjustRightInd w:val="0"/>
              <w:rPr>
                <w:rFonts w:cstheme="minorHAnsi"/>
                <w:b/>
                <w:bCs/>
              </w:rPr>
            </w:pPr>
            <w:r w:rsidRPr="001462CC">
              <w:rPr>
                <w:rFonts w:cstheme="minorHAnsi"/>
                <w:b/>
                <w:bCs/>
              </w:rPr>
              <w:t xml:space="preserve">Distribution across </w:t>
            </w:r>
            <w:r>
              <w:rPr>
                <w:rFonts w:cstheme="minorHAnsi"/>
                <w:b/>
                <w:bCs/>
              </w:rPr>
              <w:t>hospitals (N=4,802</w:t>
            </w:r>
            <w:r w:rsidRPr="001462CC">
              <w:rPr>
                <w:rFonts w:cstheme="minorHAnsi"/>
                <w:b/>
                <w:bCs/>
              </w:rPr>
              <w:t>): min, 25th, 50th, 75th, max</w:t>
            </w:r>
          </w:p>
        </w:tc>
      </w:tr>
      <w:tr w:rsidR="001462CC" w:rsidRPr="008027BA" w14:paraId="4ED6D691" w14:textId="77777777" w:rsidTr="001462CC">
        <w:trPr>
          <w:trHeight w:val="288"/>
        </w:trPr>
        <w:tc>
          <w:tcPr>
            <w:tcW w:w="3749" w:type="dxa"/>
            <w:noWrap/>
            <w:vAlign w:val="center"/>
            <w:hideMark/>
          </w:tcPr>
          <w:p w14:paraId="71668BD8" w14:textId="77777777" w:rsidR="001462CC" w:rsidRPr="001462CC" w:rsidRDefault="001462CC" w:rsidP="001462CC">
            <w:pPr>
              <w:autoSpaceDE w:val="0"/>
              <w:autoSpaceDN w:val="0"/>
              <w:adjustRightInd w:val="0"/>
              <w:rPr>
                <w:rFonts w:cstheme="minorHAnsi"/>
                <w:bCs/>
              </w:rPr>
            </w:pPr>
            <w:r w:rsidRPr="001462CC">
              <w:rPr>
                <w:rFonts w:cstheme="minorHAnsi"/>
                <w:bCs/>
              </w:rPr>
              <w:t>Admitted to PPS-Exempt Cancer Hospitals</w:t>
            </w:r>
          </w:p>
        </w:tc>
        <w:tc>
          <w:tcPr>
            <w:tcW w:w="1005" w:type="dxa"/>
            <w:noWrap/>
            <w:vAlign w:val="center"/>
            <w:hideMark/>
          </w:tcPr>
          <w:p w14:paraId="060FD0A3" w14:textId="0DB21507" w:rsidR="001462CC" w:rsidRPr="001462CC" w:rsidRDefault="001462CC" w:rsidP="001462CC">
            <w:pPr>
              <w:autoSpaceDE w:val="0"/>
              <w:autoSpaceDN w:val="0"/>
              <w:adjustRightInd w:val="0"/>
              <w:rPr>
                <w:rFonts w:cstheme="minorHAnsi"/>
                <w:bCs/>
              </w:rPr>
            </w:pPr>
            <w:r w:rsidRPr="001462CC">
              <w:t>19823</w:t>
            </w:r>
          </w:p>
        </w:tc>
        <w:tc>
          <w:tcPr>
            <w:tcW w:w="731" w:type="dxa"/>
            <w:noWrap/>
            <w:vAlign w:val="center"/>
            <w:hideMark/>
          </w:tcPr>
          <w:p w14:paraId="27C3B7BC" w14:textId="5E9231FA" w:rsidR="001462CC" w:rsidRPr="001462CC" w:rsidRDefault="001462CC" w:rsidP="001462CC">
            <w:pPr>
              <w:autoSpaceDE w:val="0"/>
              <w:autoSpaceDN w:val="0"/>
              <w:adjustRightInd w:val="0"/>
              <w:rPr>
                <w:rFonts w:cstheme="minorHAnsi"/>
                <w:bCs/>
              </w:rPr>
            </w:pPr>
            <w:r w:rsidRPr="001462CC">
              <w:t>0.28</w:t>
            </w:r>
          </w:p>
        </w:tc>
        <w:tc>
          <w:tcPr>
            <w:tcW w:w="3865" w:type="dxa"/>
            <w:noWrap/>
            <w:vAlign w:val="center"/>
            <w:hideMark/>
          </w:tcPr>
          <w:p w14:paraId="1A6C7BD2" w14:textId="375E9339" w:rsidR="001462CC" w:rsidRPr="001462CC" w:rsidRDefault="001462CC" w:rsidP="001462CC">
            <w:pPr>
              <w:autoSpaceDE w:val="0"/>
              <w:autoSpaceDN w:val="0"/>
              <w:adjustRightInd w:val="0"/>
              <w:rPr>
                <w:rFonts w:cstheme="minorHAnsi"/>
                <w:bCs/>
              </w:rPr>
            </w:pPr>
            <w:r w:rsidRPr="001462CC">
              <w:t>(0.00, 0.00, 0.00, 0.00, 100.00)</w:t>
            </w:r>
          </w:p>
        </w:tc>
      </w:tr>
      <w:tr w:rsidR="001462CC" w:rsidRPr="008027BA" w14:paraId="41C5C9B3" w14:textId="77777777" w:rsidTr="001462CC">
        <w:trPr>
          <w:trHeight w:val="288"/>
        </w:trPr>
        <w:tc>
          <w:tcPr>
            <w:tcW w:w="3749" w:type="dxa"/>
            <w:noWrap/>
            <w:vAlign w:val="center"/>
            <w:hideMark/>
          </w:tcPr>
          <w:p w14:paraId="22F26A1F" w14:textId="77777777" w:rsidR="001462CC" w:rsidRPr="001462CC" w:rsidRDefault="001462CC" w:rsidP="001462CC">
            <w:pPr>
              <w:autoSpaceDE w:val="0"/>
              <w:autoSpaceDN w:val="0"/>
              <w:adjustRightInd w:val="0"/>
              <w:rPr>
                <w:rFonts w:cstheme="minorHAnsi"/>
                <w:bCs/>
              </w:rPr>
            </w:pPr>
            <w:r w:rsidRPr="001462CC">
              <w:rPr>
                <w:rFonts w:cstheme="minorHAnsi"/>
                <w:bCs/>
              </w:rPr>
              <w:t>Without 30 Days of Post-Discharge Enrollment</w:t>
            </w:r>
          </w:p>
        </w:tc>
        <w:tc>
          <w:tcPr>
            <w:tcW w:w="1005" w:type="dxa"/>
            <w:noWrap/>
            <w:vAlign w:val="center"/>
            <w:hideMark/>
          </w:tcPr>
          <w:p w14:paraId="48DDDAE3" w14:textId="182B642A" w:rsidR="001462CC" w:rsidRPr="001462CC" w:rsidRDefault="001462CC" w:rsidP="001462CC">
            <w:pPr>
              <w:autoSpaceDE w:val="0"/>
              <w:autoSpaceDN w:val="0"/>
              <w:adjustRightInd w:val="0"/>
              <w:rPr>
                <w:rFonts w:cstheme="minorHAnsi"/>
                <w:bCs/>
              </w:rPr>
            </w:pPr>
            <w:r w:rsidRPr="001462CC">
              <w:t>36640</w:t>
            </w:r>
          </w:p>
        </w:tc>
        <w:tc>
          <w:tcPr>
            <w:tcW w:w="731" w:type="dxa"/>
            <w:noWrap/>
            <w:vAlign w:val="center"/>
            <w:hideMark/>
          </w:tcPr>
          <w:p w14:paraId="02231614" w14:textId="60E270E4" w:rsidR="001462CC" w:rsidRPr="001462CC" w:rsidRDefault="001462CC" w:rsidP="001462CC">
            <w:pPr>
              <w:autoSpaceDE w:val="0"/>
              <w:autoSpaceDN w:val="0"/>
              <w:adjustRightInd w:val="0"/>
              <w:rPr>
                <w:rFonts w:cstheme="minorHAnsi"/>
                <w:bCs/>
              </w:rPr>
            </w:pPr>
            <w:r w:rsidRPr="001462CC">
              <w:t>0.52</w:t>
            </w:r>
          </w:p>
        </w:tc>
        <w:tc>
          <w:tcPr>
            <w:tcW w:w="3865" w:type="dxa"/>
            <w:noWrap/>
            <w:vAlign w:val="center"/>
            <w:hideMark/>
          </w:tcPr>
          <w:p w14:paraId="1712A80D" w14:textId="469A1B48" w:rsidR="001462CC" w:rsidRPr="001462CC" w:rsidRDefault="001462CC" w:rsidP="001462CC">
            <w:pPr>
              <w:autoSpaceDE w:val="0"/>
              <w:autoSpaceDN w:val="0"/>
              <w:adjustRightInd w:val="0"/>
              <w:rPr>
                <w:rFonts w:cstheme="minorHAnsi"/>
                <w:bCs/>
              </w:rPr>
            </w:pPr>
            <w:r w:rsidRPr="001462CC">
              <w:t xml:space="preserve">(0.00, 2.3, 3.1, 4.0, 22.2) </w:t>
            </w:r>
          </w:p>
        </w:tc>
      </w:tr>
      <w:tr w:rsidR="001462CC" w:rsidRPr="008027BA" w14:paraId="04779EE9" w14:textId="77777777" w:rsidTr="001462CC">
        <w:trPr>
          <w:trHeight w:val="288"/>
        </w:trPr>
        <w:tc>
          <w:tcPr>
            <w:tcW w:w="3749" w:type="dxa"/>
            <w:noWrap/>
            <w:vAlign w:val="center"/>
            <w:hideMark/>
          </w:tcPr>
          <w:p w14:paraId="5BD7B3BD" w14:textId="77777777" w:rsidR="001462CC" w:rsidRPr="001462CC" w:rsidRDefault="001462CC" w:rsidP="001462CC">
            <w:pPr>
              <w:autoSpaceDE w:val="0"/>
              <w:autoSpaceDN w:val="0"/>
              <w:adjustRightInd w:val="0"/>
              <w:rPr>
                <w:rFonts w:cstheme="minorHAnsi"/>
                <w:bCs/>
              </w:rPr>
            </w:pPr>
            <w:r w:rsidRPr="001462CC">
              <w:rPr>
                <w:rFonts w:cstheme="minorHAnsi"/>
                <w:bCs/>
              </w:rPr>
              <w:t>Discharged against medical advice (AMA)</w:t>
            </w:r>
          </w:p>
        </w:tc>
        <w:tc>
          <w:tcPr>
            <w:tcW w:w="1005" w:type="dxa"/>
            <w:noWrap/>
            <w:vAlign w:val="center"/>
            <w:hideMark/>
          </w:tcPr>
          <w:p w14:paraId="7D174015" w14:textId="4EB89482" w:rsidR="001462CC" w:rsidRPr="001462CC" w:rsidRDefault="001462CC" w:rsidP="001462CC">
            <w:pPr>
              <w:autoSpaceDE w:val="0"/>
              <w:autoSpaceDN w:val="0"/>
              <w:adjustRightInd w:val="0"/>
              <w:rPr>
                <w:rFonts w:cstheme="minorHAnsi"/>
                <w:bCs/>
              </w:rPr>
            </w:pPr>
            <w:r w:rsidRPr="001462CC">
              <w:t>26665</w:t>
            </w:r>
          </w:p>
        </w:tc>
        <w:tc>
          <w:tcPr>
            <w:tcW w:w="731" w:type="dxa"/>
            <w:noWrap/>
            <w:vAlign w:val="center"/>
            <w:hideMark/>
          </w:tcPr>
          <w:p w14:paraId="00027173" w14:textId="418B5F22" w:rsidR="001462CC" w:rsidRPr="001462CC" w:rsidRDefault="001462CC" w:rsidP="001462CC">
            <w:pPr>
              <w:autoSpaceDE w:val="0"/>
              <w:autoSpaceDN w:val="0"/>
              <w:adjustRightInd w:val="0"/>
              <w:rPr>
                <w:rFonts w:cstheme="minorHAnsi"/>
                <w:bCs/>
              </w:rPr>
            </w:pPr>
            <w:r w:rsidRPr="001462CC">
              <w:t>0.38</w:t>
            </w:r>
          </w:p>
        </w:tc>
        <w:tc>
          <w:tcPr>
            <w:tcW w:w="3865" w:type="dxa"/>
            <w:noWrap/>
            <w:vAlign w:val="center"/>
            <w:hideMark/>
          </w:tcPr>
          <w:p w14:paraId="78C6FA27" w14:textId="58323DAB" w:rsidR="001462CC" w:rsidRPr="001462CC" w:rsidRDefault="001462CC" w:rsidP="001462CC">
            <w:pPr>
              <w:autoSpaceDE w:val="0"/>
              <w:autoSpaceDN w:val="0"/>
              <w:adjustRightInd w:val="0"/>
              <w:rPr>
                <w:rFonts w:cstheme="minorHAnsi"/>
                <w:bCs/>
              </w:rPr>
            </w:pPr>
            <w:r w:rsidRPr="001462CC">
              <w:t>(0.00, 0.20, 0.50, 1.00, 21.1)</w:t>
            </w:r>
          </w:p>
        </w:tc>
      </w:tr>
      <w:tr w:rsidR="001462CC" w:rsidRPr="008027BA" w14:paraId="351FC4D5" w14:textId="77777777" w:rsidTr="001462CC">
        <w:trPr>
          <w:trHeight w:val="288"/>
        </w:trPr>
        <w:tc>
          <w:tcPr>
            <w:tcW w:w="3749" w:type="dxa"/>
            <w:noWrap/>
            <w:vAlign w:val="center"/>
            <w:hideMark/>
          </w:tcPr>
          <w:p w14:paraId="7C1811E7" w14:textId="77777777" w:rsidR="001462CC" w:rsidRPr="001462CC" w:rsidRDefault="001462CC" w:rsidP="001462CC">
            <w:pPr>
              <w:autoSpaceDE w:val="0"/>
              <w:autoSpaceDN w:val="0"/>
              <w:adjustRightInd w:val="0"/>
              <w:rPr>
                <w:rFonts w:cstheme="minorHAnsi"/>
                <w:bCs/>
              </w:rPr>
            </w:pPr>
            <w:r w:rsidRPr="001462CC">
              <w:rPr>
                <w:rFonts w:cstheme="minorHAnsi"/>
                <w:bCs/>
              </w:rPr>
              <w:t>Admitted for Primary Psychiatric Diagnosis</w:t>
            </w:r>
          </w:p>
        </w:tc>
        <w:tc>
          <w:tcPr>
            <w:tcW w:w="1005" w:type="dxa"/>
            <w:noWrap/>
            <w:vAlign w:val="center"/>
            <w:hideMark/>
          </w:tcPr>
          <w:p w14:paraId="4273D323" w14:textId="09A4D1A2" w:rsidR="001462CC" w:rsidRPr="001462CC" w:rsidRDefault="001462CC" w:rsidP="001462CC">
            <w:pPr>
              <w:autoSpaceDE w:val="0"/>
              <w:autoSpaceDN w:val="0"/>
              <w:adjustRightInd w:val="0"/>
              <w:rPr>
                <w:rFonts w:cstheme="minorHAnsi"/>
                <w:bCs/>
              </w:rPr>
            </w:pPr>
            <w:r w:rsidRPr="001462CC">
              <w:t>19691</w:t>
            </w:r>
          </w:p>
        </w:tc>
        <w:tc>
          <w:tcPr>
            <w:tcW w:w="731" w:type="dxa"/>
            <w:noWrap/>
            <w:vAlign w:val="center"/>
            <w:hideMark/>
          </w:tcPr>
          <w:p w14:paraId="7077C83E" w14:textId="277B4F1B" w:rsidR="001462CC" w:rsidRPr="001462CC" w:rsidRDefault="001462CC" w:rsidP="001462CC">
            <w:pPr>
              <w:autoSpaceDE w:val="0"/>
              <w:autoSpaceDN w:val="0"/>
              <w:adjustRightInd w:val="0"/>
              <w:rPr>
                <w:rFonts w:cstheme="minorHAnsi"/>
                <w:bCs/>
              </w:rPr>
            </w:pPr>
            <w:r w:rsidRPr="001462CC">
              <w:t>0.28</w:t>
            </w:r>
          </w:p>
        </w:tc>
        <w:tc>
          <w:tcPr>
            <w:tcW w:w="3865" w:type="dxa"/>
            <w:noWrap/>
            <w:vAlign w:val="center"/>
            <w:hideMark/>
          </w:tcPr>
          <w:p w14:paraId="3E49ED42" w14:textId="6C84C8CF" w:rsidR="001462CC" w:rsidRPr="001462CC" w:rsidRDefault="001462CC" w:rsidP="001462CC">
            <w:pPr>
              <w:autoSpaceDE w:val="0"/>
              <w:autoSpaceDN w:val="0"/>
              <w:adjustRightInd w:val="0"/>
              <w:rPr>
                <w:rFonts w:cstheme="minorHAnsi"/>
                <w:bCs/>
              </w:rPr>
            </w:pPr>
            <w:r w:rsidRPr="001462CC">
              <w:t>(0.00, 0.00, 0.10, 0.40, 100.00)</w:t>
            </w:r>
          </w:p>
        </w:tc>
      </w:tr>
      <w:tr w:rsidR="001462CC" w:rsidRPr="008027BA" w14:paraId="20C696F4" w14:textId="77777777" w:rsidTr="001462CC">
        <w:trPr>
          <w:trHeight w:val="288"/>
        </w:trPr>
        <w:tc>
          <w:tcPr>
            <w:tcW w:w="3749" w:type="dxa"/>
            <w:noWrap/>
            <w:vAlign w:val="center"/>
            <w:hideMark/>
          </w:tcPr>
          <w:p w14:paraId="1ECF00A3" w14:textId="77777777" w:rsidR="001462CC" w:rsidRPr="001462CC" w:rsidRDefault="001462CC" w:rsidP="001462CC">
            <w:pPr>
              <w:autoSpaceDE w:val="0"/>
              <w:autoSpaceDN w:val="0"/>
              <w:adjustRightInd w:val="0"/>
              <w:rPr>
                <w:rFonts w:cstheme="minorHAnsi"/>
                <w:bCs/>
              </w:rPr>
            </w:pPr>
            <w:r w:rsidRPr="001462CC">
              <w:rPr>
                <w:rFonts w:cstheme="minorHAnsi"/>
                <w:bCs/>
              </w:rPr>
              <w:t>Admitted for Rehabilitation</w:t>
            </w:r>
          </w:p>
        </w:tc>
        <w:tc>
          <w:tcPr>
            <w:tcW w:w="1005" w:type="dxa"/>
            <w:noWrap/>
            <w:vAlign w:val="center"/>
            <w:hideMark/>
          </w:tcPr>
          <w:p w14:paraId="06583E37" w14:textId="76E0B8D0" w:rsidR="001462CC" w:rsidRPr="001462CC" w:rsidRDefault="001462CC" w:rsidP="001462CC">
            <w:pPr>
              <w:autoSpaceDE w:val="0"/>
              <w:autoSpaceDN w:val="0"/>
              <w:adjustRightInd w:val="0"/>
              <w:rPr>
                <w:rFonts w:cstheme="minorHAnsi"/>
                <w:bCs/>
              </w:rPr>
            </w:pPr>
            <w:r w:rsidRPr="001462CC">
              <w:t>7152</w:t>
            </w:r>
          </w:p>
        </w:tc>
        <w:tc>
          <w:tcPr>
            <w:tcW w:w="731" w:type="dxa"/>
            <w:noWrap/>
            <w:vAlign w:val="center"/>
            <w:hideMark/>
          </w:tcPr>
          <w:p w14:paraId="02578506" w14:textId="0FDA5CC7" w:rsidR="001462CC" w:rsidRPr="001462CC" w:rsidRDefault="001462CC" w:rsidP="001462CC">
            <w:pPr>
              <w:autoSpaceDE w:val="0"/>
              <w:autoSpaceDN w:val="0"/>
              <w:adjustRightInd w:val="0"/>
              <w:rPr>
                <w:rFonts w:cstheme="minorHAnsi"/>
                <w:bCs/>
              </w:rPr>
            </w:pPr>
            <w:r w:rsidRPr="001462CC">
              <w:t>0.10</w:t>
            </w:r>
          </w:p>
        </w:tc>
        <w:tc>
          <w:tcPr>
            <w:tcW w:w="3865" w:type="dxa"/>
            <w:noWrap/>
            <w:vAlign w:val="center"/>
            <w:hideMark/>
          </w:tcPr>
          <w:p w14:paraId="7296DDC4" w14:textId="15C183DA" w:rsidR="001462CC" w:rsidRPr="001462CC" w:rsidRDefault="001462CC" w:rsidP="001462CC">
            <w:pPr>
              <w:autoSpaceDE w:val="0"/>
              <w:autoSpaceDN w:val="0"/>
              <w:adjustRightInd w:val="0"/>
              <w:rPr>
                <w:rFonts w:cstheme="minorHAnsi"/>
                <w:bCs/>
              </w:rPr>
            </w:pPr>
            <w:r w:rsidRPr="001462CC">
              <w:t>(0.00, 0.00, 0.00, 0.00, 100.00)</w:t>
            </w:r>
          </w:p>
        </w:tc>
      </w:tr>
      <w:tr w:rsidR="001462CC" w:rsidRPr="008027BA" w14:paraId="0C1275BD" w14:textId="77777777" w:rsidTr="001462CC">
        <w:trPr>
          <w:trHeight w:val="288"/>
        </w:trPr>
        <w:tc>
          <w:tcPr>
            <w:tcW w:w="3749" w:type="dxa"/>
            <w:noWrap/>
            <w:vAlign w:val="center"/>
            <w:hideMark/>
          </w:tcPr>
          <w:p w14:paraId="7D99C4A9" w14:textId="77777777" w:rsidR="001462CC" w:rsidRPr="001462CC" w:rsidRDefault="001462CC" w:rsidP="001462CC">
            <w:pPr>
              <w:autoSpaceDE w:val="0"/>
              <w:autoSpaceDN w:val="0"/>
              <w:adjustRightInd w:val="0"/>
              <w:rPr>
                <w:rFonts w:cstheme="minorHAnsi"/>
                <w:bCs/>
              </w:rPr>
            </w:pPr>
            <w:r w:rsidRPr="001462CC">
              <w:rPr>
                <w:rFonts w:cstheme="minorHAnsi"/>
                <w:bCs/>
              </w:rPr>
              <w:t>Admitted for Medical Treatment of Cancer</w:t>
            </w:r>
          </w:p>
        </w:tc>
        <w:tc>
          <w:tcPr>
            <w:tcW w:w="1005" w:type="dxa"/>
            <w:noWrap/>
            <w:vAlign w:val="center"/>
            <w:hideMark/>
          </w:tcPr>
          <w:p w14:paraId="0F1A862D" w14:textId="6A10CD0E" w:rsidR="001462CC" w:rsidRPr="001462CC" w:rsidRDefault="001462CC" w:rsidP="001462CC">
            <w:pPr>
              <w:autoSpaceDE w:val="0"/>
              <w:autoSpaceDN w:val="0"/>
              <w:adjustRightInd w:val="0"/>
              <w:rPr>
                <w:rFonts w:cstheme="minorHAnsi"/>
                <w:bCs/>
              </w:rPr>
            </w:pPr>
            <w:r w:rsidRPr="001462CC">
              <w:rPr>
                <w:rFonts w:cs="Arial"/>
              </w:rPr>
              <w:t>152288</w:t>
            </w:r>
          </w:p>
        </w:tc>
        <w:tc>
          <w:tcPr>
            <w:tcW w:w="731" w:type="dxa"/>
            <w:noWrap/>
            <w:vAlign w:val="center"/>
            <w:hideMark/>
          </w:tcPr>
          <w:p w14:paraId="079A2CB7" w14:textId="4B223D1A" w:rsidR="001462CC" w:rsidRPr="001462CC" w:rsidRDefault="001462CC" w:rsidP="001462CC">
            <w:pPr>
              <w:autoSpaceDE w:val="0"/>
              <w:autoSpaceDN w:val="0"/>
              <w:adjustRightInd w:val="0"/>
              <w:rPr>
                <w:rFonts w:cstheme="minorHAnsi"/>
                <w:bCs/>
              </w:rPr>
            </w:pPr>
            <w:r w:rsidRPr="001462CC">
              <w:rPr>
                <w:rFonts w:cs="Arial"/>
              </w:rPr>
              <w:t>2.15</w:t>
            </w:r>
          </w:p>
        </w:tc>
        <w:tc>
          <w:tcPr>
            <w:tcW w:w="3865" w:type="dxa"/>
            <w:noWrap/>
            <w:vAlign w:val="center"/>
            <w:hideMark/>
          </w:tcPr>
          <w:p w14:paraId="40B21D15" w14:textId="3657D456" w:rsidR="001462CC" w:rsidRPr="001462CC" w:rsidRDefault="001462CC" w:rsidP="001462CC">
            <w:pPr>
              <w:autoSpaceDE w:val="0"/>
              <w:autoSpaceDN w:val="0"/>
              <w:adjustRightInd w:val="0"/>
              <w:rPr>
                <w:rFonts w:cstheme="minorHAnsi"/>
                <w:bCs/>
              </w:rPr>
            </w:pPr>
            <w:r w:rsidRPr="001462CC">
              <w:rPr>
                <w:rFonts w:cs="Arial"/>
              </w:rPr>
              <w:t>(0.00, 0.60, 1.30, 1.90, 55.00)</w:t>
            </w:r>
          </w:p>
        </w:tc>
      </w:tr>
    </w:tbl>
    <w:p w14:paraId="4AB0058D" w14:textId="77777777" w:rsidR="001462CC" w:rsidRDefault="001462CC" w:rsidP="00092566">
      <w:pPr>
        <w:autoSpaceDE w:val="0"/>
        <w:autoSpaceDN w:val="0"/>
        <w:adjustRightInd w:val="0"/>
        <w:spacing w:after="0" w:line="240" w:lineRule="auto"/>
      </w:pPr>
    </w:p>
    <w:p w14:paraId="6CCE3EF5" w14:textId="6DE92961" w:rsidR="00D34B4B" w:rsidRPr="0086238E" w:rsidRDefault="001462CC" w:rsidP="00092566">
      <w:pPr>
        <w:autoSpaceDE w:val="0"/>
        <w:autoSpaceDN w:val="0"/>
        <w:adjustRightInd w:val="0"/>
        <w:spacing w:after="0" w:line="240" w:lineRule="auto"/>
        <w:rPr>
          <w:rFonts w:cstheme="minorHAnsi"/>
          <w:b/>
          <w:bCs/>
          <w:color w:val="FF0000"/>
          <w:u w:val="single"/>
        </w:rPr>
      </w:pPr>
      <w:r w:rsidRPr="0086238E">
        <w:rPr>
          <w:rFonts w:cstheme="minorHAnsi"/>
          <w:b/>
          <w:bCs/>
          <w:color w:val="FF0000"/>
          <w:u w:val="single"/>
        </w:rPr>
        <w:t xml:space="preserve">The following results are for the ACR measure.  </w:t>
      </w:r>
    </w:p>
    <w:p w14:paraId="43C0FB40" w14:textId="77777777" w:rsidR="006324AE" w:rsidRPr="0086238E" w:rsidRDefault="006324AE" w:rsidP="00092566">
      <w:pPr>
        <w:autoSpaceDE w:val="0"/>
        <w:autoSpaceDN w:val="0"/>
        <w:adjustRightInd w:val="0"/>
        <w:spacing w:after="0" w:line="240" w:lineRule="auto"/>
        <w:rPr>
          <w:rFonts w:cstheme="minorHAnsi"/>
          <w:b/>
          <w:bCs/>
          <w:color w:val="FF0000"/>
        </w:rPr>
      </w:pPr>
    </w:p>
    <w:p w14:paraId="5784C0E8" w14:textId="1C4286EA" w:rsidR="00B9154C" w:rsidRPr="0086238E" w:rsidRDefault="00B9154C" w:rsidP="00092566">
      <w:pPr>
        <w:autoSpaceDE w:val="0"/>
        <w:autoSpaceDN w:val="0"/>
        <w:adjustRightInd w:val="0"/>
        <w:spacing w:after="0" w:line="240" w:lineRule="auto"/>
        <w:rPr>
          <w:rFonts w:cstheme="minorHAnsi"/>
          <w:bCs/>
          <w:color w:val="FF0000"/>
        </w:rPr>
      </w:pPr>
      <w:r w:rsidRPr="0086238E">
        <w:rPr>
          <w:rFonts w:cstheme="minorHAnsi"/>
          <w:bCs/>
          <w:color w:val="FF0000"/>
        </w:rPr>
        <w:t xml:space="preserve">In </w:t>
      </w:r>
      <w:r w:rsidR="001B555C" w:rsidRPr="0086238E">
        <w:rPr>
          <w:rFonts w:cstheme="minorHAnsi"/>
          <w:bCs/>
          <w:color w:val="FF0000"/>
        </w:rPr>
        <w:t>Dataset 6 (2016 Public Reporting Cohort)</w:t>
      </w:r>
    </w:p>
    <w:tbl>
      <w:tblPr>
        <w:tblStyle w:val="TableGrid"/>
        <w:tblW w:w="0" w:type="auto"/>
        <w:tblLook w:val="04A0" w:firstRow="1" w:lastRow="0" w:firstColumn="1" w:lastColumn="0" w:noHBand="0" w:noVBand="1"/>
      </w:tblPr>
      <w:tblGrid>
        <w:gridCol w:w="3749"/>
        <w:gridCol w:w="1005"/>
        <w:gridCol w:w="731"/>
        <w:gridCol w:w="3865"/>
      </w:tblGrid>
      <w:tr w:rsidR="0086238E" w:rsidRPr="0086238E" w14:paraId="11584B06" w14:textId="77777777" w:rsidTr="00B86072">
        <w:trPr>
          <w:trHeight w:val="288"/>
        </w:trPr>
        <w:tc>
          <w:tcPr>
            <w:tcW w:w="3749" w:type="dxa"/>
            <w:shd w:val="clear" w:color="auto" w:fill="DBE5F1" w:themeFill="accent1" w:themeFillTint="33"/>
            <w:noWrap/>
            <w:vAlign w:val="center"/>
            <w:hideMark/>
          </w:tcPr>
          <w:p w14:paraId="79262BF2" w14:textId="77777777" w:rsidR="00207675" w:rsidRPr="0086238E" w:rsidRDefault="00207675" w:rsidP="001462CC">
            <w:pPr>
              <w:autoSpaceDE w:val="0"/>
              <w:autoSpaceDN w:val="0"/>
              <w:adjustRightInd w:val="0"/>
              <w:rPr>
                <w:rFonts w:cstheme="minorHAnsi"/>
                <w:b/>
                <w:bCs/>
                <w:color w:val="FF0000"/>
              </w:rPr>
            </w:pPr>
            <w:r w:rsidRPr="0086238E">
              <w:rPr>
                <w:rFonts w:cstheme="minorHAnsi"/>
                <w:b/>
                <w:bCs/>
                <w:color w:val="FF0000"/>
              </w:rPr>
              <w:t>Exclusion</w:t>
            </w:r>
          </w:p>
        </w:tc>
        <w:tc>
          <w:tcPr>
            <w:tcW w:w="1005" w:type="dxa"/>
            <w:shd w:val="clear" w:color="auto" w:fill="DBE5F1" w:themeFill="accent1" w:themeFillTint="33"/>
            <w:noWrap/>
            <w:vAlign w:val="center"/>
            <w:hideMark/>
          </w:tcPr>
          <w:p w14:paraId="4870EEE1" w14:textId="77777777" w:rsidR="00207675" w:rsidRPr="0086238E" w:rsidRDefault="00207675" w:rsidP="001462CC">
            <w:pPr>
              <w:autoSpaceDE w:val="0"/>
              <w:autoSpaceDN w:val="0"/>
              <w:adjustRightInd w:val="0"/>
              <w:rPr>
                <w:rFonts w:cstheme="minorHAnsi"/>
                <w:b/>
                <w:bCs/>
                <w:color w:val="FF0000"/>
              </w:rPr>
            </w:pPr>
            <w:r w:rsidRPr="0086238E">
              <w:rPr>
                <w:rFonts w:cstheme="minorHAnsi"/>
                <w:b/>
                <w:bCs/>
                <w:color w:val="FF0000"/>
              </w:rPr>
              <w:t>N</w:t>
            </w:r>
          </w:p>
        </w:tc>
        <w:tc>
          <w:tcPr>
            <w:tcW w:w="731" w:type="dxa"/>
            <w:shd w:val="clear" w:color="auto" w:fill="DBE5F1" w:themeFill="accent1" w:themeFillTint="33"/>
            <w:noWrap/>
            <w:vAlign w:val="center"/>
            <w:hideMark/>
          </w:tcPr>
          <w:p w14:paraId="2F891344" w14:textId="77777777" w:rsidR="00207675" w:rsidRPr="0086238E" w:rsidRDefault="00207675" w:rsidP="001462CC">
            <w:pPr>
              <w:autoSpaceDE w:val="0"/>
              <w:autoSpaceDN w:val="0"/>
              <w:adjustRightInd w:val="0"/>
              <w:rPr>
                <w:rFonts w:cstheme="minorHAnsi"/>
                <w:b/>
                <w:bCs/>
                <w:color w:val="FF0000"/>
              </w:rPr>
            </w:pPr>
            <w:r w:rsidRPr="0086238E">
              <w:rPr>
                <w:rFonts w:cstheme="minorHAnsi"/>
                <w:b/>
                <w:bCs/>
                <w:color w:val="FF0000"/>
              </w:rPr>
              <w:t>%</w:t>
            </w:r>
          </w:p>
        </w:tc>
        <w:tc>
          <w:tcPr>
            <w:tcW w:w="3865" w:type="dxa"/>
            <w:shd w:val="clear" w:color="auto" w:fill="DBE5F1" w:themeFill="accent1" w:themeFillTint="33"/>
            <w:noWrap/>
            <w:vAlign w:val="center"/>
            <w:hideMark/>
          </w:tcPr>
          <w:p w14:paraId="38B4F643" w14:textId="77777777" w:rsidR="00207675" w:rsidRPr="0086238E" w:rsidRDefault="00207675" w:rsidP="001462CC">
            <w:pPr>
              <w:autoSpaceDE w:val="0"/>
              <w:autoSpaceDN w:val="0"/>
              <w:adjustRightInd w:val="0"/>
              <w:rPr>
                <w:rFonts w:cstheme="minorHAnsi"/>
                <w:b/>
                <w:bCs/>
                <w:color w:val="FF0000"/>
              </w:rPr>
            </w:pPr>
            <w:r w:rsidRPr="0086238E">
              <w:rPr>
                <w:rFonts w:cstheme="minorHAnsi"/>
                <w:b/>
                <w:bCs/>
                <w:color w:val="FF0000"/>
              </w:rPr>
              <w:t>Distribution across ACOs (N=416): min, 25th, 50th, 75th, max</w:t>
            </w:r>
          </w:p>
        </w:tc>
      </w:tr>
      <w:tr w:rsidR="0086238E" w:rsidRPr="0086238E" w14:paraId="488450D9" w14:textId="77777777" w:rsidTr="00B86072">
        <w:trPr>
          <w:trHeight w:val="288"/>
        </w:trPr>
        <w:tc>
          <w:tcPr>
            <w:tcW w:w="3749" w:type="dxa"/>
            <w:noWrap/>
            <w:vAlign w:val="center"/>
            <w:hideMark/>
          </w:tcPr>
          <w:p w14:paraId="0342E120"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Admitted to PPS-Exempt Cancer Hospitals</w:t>
            </w:r>
          </w:p>
        </w:tc>
        <w:tc>
          <w:tcPr>
            <w:tcW w:w="1005" w:type="dxa"/>
            <w:noWrap/>
            <w:vAlign w:val="center"/>
            <w:hideMark/>
          </w:tcPr>
          <w:p w14:paraId="37C34817"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4058</w:t>
            </w:r>
          </w:p>
        </w:tc>
        <w:tc>
          <w:tcPr>
            <w:tcW w:w="731" w:type="dxa"/>
            <w:noWrap/>
            <w:vAlign w:val="center"/>
            <w:hideMark/>
          </w:tcPr>
          <w:p w14:paraId="59B16E6D"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0.22</w:t>
            </w:r>
          </w:p>
        </w:tc>
        <w:tc>
          <w:tcPr>
            <w:tcW w:w="3865" w:type="dxa"/>
            <w:noWrap/>
            <w:vAlign w:val="center"/>
            <w:hideMark/>
          </w:tcPr>
          <w:p w14:paraId="06E634CD"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(0.00, 0.00, 0.07, 0.26, 2.73)</w:t>
            </w:r>
          </w:p>
        </w:tc>
      </w:tr>
      <w:tr w:rsidR="0086238E" w:rsidRPr="0086238E" w14:paraId="19858FD9" w14:textId="77777777" w:rsidTr="00B86072">
        <w:trPr>
          <w:trHeight w:val="288"/>
        </w:trPr>
        <w:tc>
          <w:tcPr>
            <w:tcW w:w="3749" w:type="dxa"/>
            <w:noWrap/>
            <w:vAlign w:val="center"/>
            <w:hideMark/>
          </w:tcPr>
          <w:p w14:paraId="171E6D66"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Without 30 Days of Post-Discharge Enrollment</w:t>
            </w:r>
          </w:p>
        </w:tc>
        <w:tc>
          <w:tcPr>
            <w:tcW w:w="1005" w:type="dxa"/>
            <w:noWrap/>
            <w:vAlign w:val="center"/>
            <w:hideMark/>
          </w:tcPr>
          <w:p w14:paraId="0557B05C"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6062</w:t>
            </w:r>
          </w:p>
        </w:tc>
        <w:tc>
          <w:tcPr>
            <w:tcW w:w="731" w:type="dxa"/>
            <w:noWrap/>
            <w:vAlign w:val="center"/>
            <w:hideMark/>
          </w:tcPr>
          <w:p w14:paraId="101565C8"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0.34</w:t>
            </w:r>
          </w:p>
        </w:tc>
        <w:tc>
          <w:tcPr>
            <w:tcW w:w="3865" w:type="dxa"/>
            <w:noWrap/>
            <w:vAlign w:val="center"/>
            <w:hideMark/>
          </w:tcPr>
          <w:p w14:paraId="1FEE7184"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(0.00, 0.21, 0.30, 0.42, 1.03)</w:t>
            </w:r>
          </w:p>
        </w:tc>
      </w:tr>
      <w:tr w:rsidR="0086238E" w:rsidRPr="0086238E" w14:paraId="367BEA94" w14:textId="77777777" w:rsidTr="00B86072">
        <w:trPr>
          <w:trHeight w:val="288"/>
        </w:trPr>
        <w:tc>
          <w:tcPr>
            <w:tcW w:w="3749" w:type="dxa"/>
            <w:noWrap/>
            <w:vAlign w:val="center"/>
            <w:hideMark/>
          </w:tcPr>
          <w:p w14:paraId="33EC48D5"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Discharged against medical advice (AMA)</w:t>
            </w:r>
          </w:p>
        </w:tc>
        <w:tc>
          <w:tcPr>
            <w:tcW w:w="1005" w:type="dxa"/>
            <w:noWrap/>
            <w:vAlign w:val="center"/>
            <w:hideMark/>
          </w:tcPr>
          <w:p w14:paraId="0AB2D46C"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6313</w:t>
            </w:r>
          </w:p>
        </w:tc>
        <w:tc>
          <w:tcPr>
            <w:tcW w:w="731" w:type="dxa"/>
            <w:noWrap/>
            <w:vAlign w:val="center"/>
            <w:hideMark/>
          </w:tcPr>
          <w:p w14:paraId="098BD9D3"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0.35</w:t>
            </w:r>
          </w:p>
        </w:tc>
        <w:tc>
          <w:tcPr>
            <w:tcW w:w="3865" w:type="dxa"/>
            <w:noWrap/>
            <w:vAlign w:val="center"/>
            <w:hideMark/>
          </w:tcPr>
          <w:p w14:paraId="55303C08"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(0.00, 0.19, 0.30, 0.48, 1.85)</w:t>
            </w:r>
          </w:p>
        </w:tc>
      </w:tr>
      <w:tr w:rsidR="0086238E" w:rsidRPr="0086238E" w14:paraId="61142C90" w14:textId="77777777" w:rsidTr="00B86072">
        <w:trPr>
          <w:trHeight w:val="288"/>
        </w:trPr>
        <w:tc>
          <w:tcPr>
            <w:tcW w:w="3749" w:type="dxa"/>
            <w:noWrap/>
            <w:vAlign w:val="center"/>
            <w:hideMark/>
          </w:tcPr>
          <w:p w14:paraId="4AE30A47"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lastRenderedPageBreak/>
              <w:t>Admitted for Primary Psychiatric Diagnosis</w:t>
            </w:r>
          </w:p>
        </w:tc>
        <w:tc>
          <w:tcPr>
            <w:tcW w:w="1005" w:type="dxa"/>
            <w:noWrap/>
            <w:vAlign w:val="center"/>
            <w:hideMark/>
          </w:tcPr>
          <w:p w14:paraId="030E2FD2"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4483</w:t>
            </w:r>
          </w:p>
        </w:tc>
        <w:tc>
          <w:tcPr>
            <w:tcW w:w="731" w:type="dxa"/>
            <w:noWrap/>
            <w:vAlign w:val="center"/>
            <w:hideMark/>
          </w:tcPr>
          <w:p w14:paraId="524D3F97"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0.25</w:t>
            </w:r>
          </w:p>
        </w:tc>
        <w:tc>
          <w:tcPr>
            <w:tcW w:w="3865" w:type="dxa"/>
            <w:noWrap/>
            <w:vAlign w:val="center"/>
            <w:hideMark/>
          </w:tcPr>
          <w:p w14:paraId="788D5574"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(0.00, 0.13, 0.20, 0.31, 1.74)</w:t>
            </w:r>
          </w:p>
        </w:tc>
      </w:tr>
      <w:tr w:rsidR="0086238E" w:rsidRPr="0086238E" w14:paraId="49945149" w14:textId="77777777" w:rsidTr="00B86072">
        <w:trPr>
          <w:trHeight w:val="288"/>
        </w:trPr>
        <w:tc>
          <w:tcPr>
            <w:tcW w:w="3749" w:type="dxa"/>
            <w:noWrap/>
            <w:vAlign w:val="center"/>
            <w:hideMark/>
          </w:tcPr>
          <w:p w14:paraId="5DFE8007"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Admitted for Rehabilitation</w:t>
            </w:r>
          </w:p>
        </w:tc>
        <w:tc>
          <w:tcPr>
            <w:tcW w:w="1005" w:type="dxa"/>
            <w:noWrap/>
            <w:vAlign w:val="center"/>
            <w:hideMark/>
          </w:tcPr>
          <w:p w14:paraId="07828615"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1391</w:t>
            </w:r>
          </w:p>
        </w:tc>
        <w:tc>
          <w:tcPr>
            <w:tcW w:w="731" w:type="dxa"/>
            <w:noWrap/>
            <w:vAlign w:val="center"/>
            <w:hideMark/>
          </w:tcPr>
          <w:p w14:paraId="355E7892"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0.08</w:t>
            </w:r>
          </w:p>
        </w:tc>
        <w:tc>
          <w:tcPr>
            <w:tcW w:w="3865" w:type="dxa"/>
            <w:noWrap/>
            <w:vAlign w:val="center"/>
            <w:hideMark/>
          </w:tcPr>
          <w:p w14:paraId="04444193"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(0.00, 0.00, 0.00, 0.02, 3.65)</w:t>
            </w:r>
          </w:p>
        </w:tc>
      </w:tr>
      <w:tr w:rsidR="0086238E" w:rsidRPr="0086238E" w14:paraId="65018C8A" w14:textId="77777777" w:rsidTr="00B86072">
        <w:trPr>
          <w:trHeight w:val="288"/>
        </w:trPr>
        <w:tc>
          <w:tcPr>
            <w:tcW w:w="3749" w:type="dxa"/>
            <w:noWrap/>
            <w:vAlign w:val="center"/>
            <w:hideMark/>
          </w:tcPr>
          <w:p w14:paraId="59FF2FCA"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Admitted for Medical Treatment of Cancer</w:t>
            </w:r>
          </w:p>
        </w:tc>
        <w:tc>
          <w:tcPr>
            <w:tcW w:w="1005" w:type="dxa"/>
            <w:noWrap/>
            <w:vAlign w:val="center"/>
            <w:hideMark/>
          </w:tcPr>
          <w:p w14:paraId="2DD94328"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37767</w:t>
            </w:r>
          </w:p>
        </w:tc>
        <w:tc>
          <w:tcPr>
            <w:tcW w:w="731" w:type="dxa"/>
            <w:noWrap/>
            <w:vAlign w:val="center"/>
            <w:hideMark/>
          </w:tcPr>
          <w:p w14:paraId="02F22928"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2.09</w:t>
            </w:r>
          </w:p>
        </w:tc>
        <w:tc>
          <w:tcPr>
            <w:tcW w:w="3865" w:type="dxa"/>
            <w:noWrap/>
            <w:vAlign w:val="center"/>
            <w:hideMark/>
          </w:tcPr>
          <w:p w14:paraId="1F218BEC" w14:textId="77777777" w:rsidR="00207675" w:rsidRPr="0086238E" w:rsidRDefault="00207675" w:rsidP="001462CC">
            <w:pPr>
              <w:autoSpaceDE w:val="0"/>
              <w:autoSpaceDN w:val="0"/>
              <w:adjustRightInd w:val="0"/>
              <w:rPr>
                <w:rFonts w:cstheme="minorHAnsi"/>
                <w:bCs/>
                <w:color w:val="FF0000"/>
              </w:rPr>
            </w:pPr>
            <w:r w:rsidRPr="0086238E">
              <w:rPr>
                <w:rFonts w:cstheme="minorHAnsi"/>
                <w:bCs/>
                <w:color w:val="FF0000"/>
              </w:rPr>
              <w:t>(0.39, 1.62, 1.93, 2.28, 7.40)</w:t>
            </w:r>
          </w:p>
        </w:tc>
      </w:tr>
    </w:tbl>
    <w:p w14:paraId="242BD356" w14:textId="77777777" w:rsidR="00B9154C" w:rsidRPr="002F2AE5" w:rsidRDefault="00B9154C" w:rsidP="00092566">
      <w:pPr>
        <w:autoSpaceDE w:val="0"/>
        <w:autoSpaceDN w:val="0"/>
        <w:adjustRightInd w:val="0"/>
        <w:spacing w:after="0" w:line="240" w:lineRule="auto"/>
        <w:rPr>
          <w:rFonts w:cstheme="minorHAnsi"/>
          <w:bCs/>
        </w:rPr>
      </w:pPr>
    </w:p>
    <w:p w14:paraId="2AE9B185" w14:textId="77777777" w:rsidR="00092566" w:rsidRPr="002F2AE5" w:rsidRDefault="00092566" w:rsidP="00092566">
      <w:pPr>
        <w:autoSpaceDE w:val="0"/>
        <w:autoSpaceDN w:val="0"/>
        <w:adjustRightInd w:val="0"/>
        <w:spacing w:after="0" w:line="240" w:lineRule="auto"/>
        <w:rPr>
          <w:rFonts w:cstheme="minorHAnsi"/>
          <w:bCs/>
        </w:rPr>
      </w:pPr>
    </w:p>
    <w:p w14:paraId="2AE9B186" w14:textId="00CD66F7" w:rsidR="007422FD" w:rsidRPr="002F2AE5" w:rsidRDefault="00092566" w:rsidP="00DB3627">
      <w:pPr>
        <w:autoSpaceDE w:val="0"/>
        <w:autoSpaceDN w:val="0"/>
        <w:adjustRightInd w:val="0"/>
        <w:spacing w:after="0" w:line="240" w:lineRule="auto"/>
        <w:rPr>
          <w:rFonts w:cstheme="minorHAnsi"/>
          <w:bCs/>
        </w:rPr>
      </w:pPr>
      <w:r w:rsidRPr="002F2AE5">
        <w:rPr>
          <w:rFonts w:cstheme="minorHAnsi"/>
          <w:b/>
          <w:bCs/>
        </w:rPr>
        <w:t>2b3.</w:t>
      </w:r>
      <w:r w:rsidR="00A25024" w:rsidRPr="002F2AE5">
        <w:rPr>
          <w:rFonts w:cstheme="minorHAnsi"/>
          <w:b/>
          <w:bCs/>
        </w:rPr>
        <w:t xml:space="preserve">3. </w:t>
      </w:r>
      <w:r w:rsidR="000B2DF7" w:rsidRPr="002F2AE5">
        <w:rPr>
          <w:rFonts w:cstheme="minorHAnsi"/>
          <w:b/>
          <w:bCs/>
        </w:rPr>
        <w:t xml:space="preserve">What is your interpretation of the results </w:t>
      </w:r>
      <w:r w:rsidR="007422FD" w:rsidRPr="002F2AE5">
        <w:rPr>
          <w:rFonts w:cstheme="minorHAnsi"/>
          <w:b/>
          <w:bCs/>
        </w:rPr>
        <w:t xml:space="preserve">in terms of </w:t>
      </w:r>
      <w:r w:rsidR="00713394" w:rsidRPr="002F2AE5">
        <w:rPr>
          <w:rFonts w:cstheme="minorHAnsi"/>
          <w:b/>
          <w:bCs/>
        </w:rPr>
        <w:t>demonstrating</w:t>
      </w:r>
      <w:r w:rsidR="007422FD" w:rsidRPr="002F2AE5">
        <w:rPr>
          <w:rFonts w:cstheme="minorHAnsi"/>
          <w:b/>
          <w:bCs/>
        </w:rPr>
        <w:t xml:space="preserve"> </w:t>
      </w:r>
      <w:r w:rsidR="00713394" w:rsidRPr="002F2AE5">
        <w:rPr>
          <w:rFonts w:cstheme="minorHAnsi"/>
          <w:b/>
          <w:bCs/>
        </w:rPr>
        <w:t>that exclusions are needed to prevent unfair distortion of performance results</w:t>
      </w:r>
      <w:r w:rsidR="007422FD" w:rsidRPr="002F2AE5">
        <w:rPr>
          <w:rFonts w:cstheme="minorHAnsi"/>
          <w:b/>
          <w:bCs/>
        </w:rPr>
        <w:t>?</w:t>
      </w:r>
      <w:r w:rsidR="007422FD" w:rsidRPr="002F2AE5">
        <w:rPr>
          <w:rFonts w:cstheme="minorHAnsi"/>
          <w:bCs/>
        </w:rPr>
        <w:t xml:space="preserve"> </w:t>
      </w:r>
      <w:r w:rsidR="000B2DF7" w:rsidRPr="002F2AE5">
        <w:rPr>
          <w:rFonts w:cstheme="minorHAnsi"/>
          <w:bCs/>
        </w:rPr>
        <w:t>(</w:t>
      </w:r>
      <w:r w:rsidR="00713394" w:rsidRPr="002F2AE5">
        <w:rPr>
          <w:rFonts w:cstheme="minorHAnsi"/>
          <w:bCs/>
          <w:i/>
        </w:rPr>
        <w:t>i.e.,</w:t>
      </w:r>
      <w:r w:rsidR="000B2DF7" w:rsidRPr="002F2AE5">
        <w:rPr>
          <w:rFonts w:cstheme="minorHAnsi"/>
          <w:bCs/>
          <w:i/>
        </w:rPr>
        <w:t xml:space="preserve"> the value </w:t>
      </w:r>
      <w:r w:rsidR="00713394" w:rsidRPr="002F2AE5">
        <w:rPr>
          <w:rFonts w:cstheme="minorHAnsi"/>
          <w:bCs/>
          <w:i/>
        </w:rPr>
        <w:t>outweighs the</w:t>
      </w:r>
      <w:r w:rsidR="000B2DF7" w:rsidRPr="002F2AE5">
        <w:rPr>
          <w:rFonts w:cstheme="minorHAnsi"/>
          <w:bCs/>
          <w:i/>
        </w:rPr>
        <w:t xml:space="preserve"> burden of increased data collection and analysi</w:t>
      </w:r>
      <w:r w:rsidR="00CC086A" w:rsidRPr="002F2AE5">
        <w:rPr>
          <w:rFonts w:cstheme="minorHAnsi"/>
          <w:bCs/>
          <w:i/>
        </w:rPr>
        <w:t xml:space="preserve">s. </w:t>
      </w:r>
      <w:r w:rsidR="00713394" w:rsidRPr="002F2AE5">
        <w:rPr>
          <w:rFonts w:cstheme="minorHAnsi"/>
          <w:bCs/>
        </w:rPr>
        <w:t xml:space="preserve"> </w:t>
      </w:r>
      <w:r w:rsidR="00713394" w:rsidRPr="002F2AE5">
        <w:rPr>
          <w:rFonts w:cstheme="minorHAnsi"/>
          <w:bCs/>
          <w:i/>
          <w:u w:val="single"/>
        </w:rPr>
        <w:t>Note</w:t>
      </w:r>
      <w:r w:rsidR="00713394" w:rsidRPr="002F2AE5">
        <w:rPr>
          <w:rFonts w:cstheme="minorHAnsi"/>
          <w:bCs/>
          <w:i/>
        </w:rPr>
        <w:t xml:space="preserve">: </w:t>
      </w:r>
      <w:r w:rsidR="00713394" w:rsidRPr="002F2AE5">
        <w:rPr>
          <w:rFonts w:cstheme="minorHAnsi"/>
          <w:b/>
          <w:bCs/>
          <w:i/>
        </w:rPr>
        <w:t>If patient preference is an exclusion</w:t>
      </w:r>
      <w:r w:rsidR="00713394" w:rsidRPr="002F2AE5">
        <w:rPr>
          <w:rFonts w:cstheme="minorHAnsi"/>
          <w:bCs/>
          <w:i/>
        </w:rPr>
        <w:t>, the measure must be specified so that the effect on the performance score is transparent, e.g., scores with and without exclusion</w:t>
      </w:r>
      <w:r w:rsidR="00713394" w:rsidRPr="002F2AE5">
        <w:rPr>
          <w:rFonts w:cstheme="minorHAnsi"/>
          <w:bCs/>
        </w:rPr>
        <w:t>)</w:t>
      </w:r>
      <w:r w:rsidR="007422FD" w:rsidRPr="002F2AE5">
        <w:rPr>
          <w:rFonts w:cstheme="minorHAnsi"/>
          <w:bCs/>
        </w:rPr>
        <w:br/>
      </w:r>
    </w:p>
    <w:p w14:paraId="6F59B798" w14:textId="7352BF06" w:rsidR="009E68A7" w:rsidRPr="00B8607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r w:rsidRPr="00B86072">
        <w:rPr>
          <w:rFonts w:cstheme="minorHAnsi"/>
          <w:b/>
          <w:bCs/>
          <w:u w:val="single"/>
        </w:rPr>
        <w:t xml:space="preserve">Exclusions applied to the </w:t>
      </w:r>
      <w:r w:rsidR="00DD5F11">
        <w:rPr>
          <w:rFonts w:cstheme="minorHAnsi"/>
          <w:b/>
          <w:bCs/>
          <w:u w:val="single"/>
        </w:rPr>
        <w:t>HWR</w:t>
      </w:r>
      <w:r w:rsidR="00DD5F11" w:rsidRPr="00B86072">
        <w:rPr>
          <w:rFonts w:cstheme="minorHAnsi"/>
          <w:b/>
          <w:bCs/>
          <w:u w:val="single"/>
        </w:rPr>
        <w:t xml:space="preserve"> </w:t>
      </w:r>
      <w:r w:rsidRPr="00B86072">
        <w:rPr>
          <w:rFonts w:cstheme="minorHAnsi"/>
          <w:b/>
          <w:bCs/>
          <w:u w:val="single"/>
        </w:rPr>
        <w:t>measure cohort</w:t>
      </w:r>
      <w:r w:rsidR="009E68A7">
        <w:rPr>
          <w:rFonts w:cstheme="minorHAnsi"/>
          <w:b/>
          <w:bCs/>
          <w:u w:val="single"/>
        </w:rPr>
        <w:t>:</w:t>
      </w:r>
    </w:p>
    <w:p w14:paraId="52112BE3" w14:textId="77777777"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77CD7B81" w14:textId="77777777"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8027BA">
        <w:rPr>
          <w:rFonts w:cstheme="minorHAnsi"/>
          <w:bCs/>
        </w:rPr>
        <w:t>1. Patients admitted to Inpatient Prospective Payment System (IPPS)-exempt cancer hospitals account for 0.28% of all index admissions excluded from the initial cohort. Admissions for treatment of cancer are associated with a very different mortality and readmission risk compared with admissions to other IPPS hospitals for treatment of other diseases. Additionally, outcomes for these admissions do not correlate well with outcomes for other types of admissions. (Patients with cancer who are admitted for other diagnoses or for surgical treatment of their cancer remain in the measure).</w:t>
      </w:r>
    </w:p>
    <w:p w14:paraId="2107EE1D" w14:textId="77777777"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8027BA">
        <w:rPr>
          <w:rFonts w:cstheme="minorHAnsi"/>
          <w:bCs/>
        </w:rPr>
        <w:t>2. Patients without at least 30 days post-discharge enrollment in FFS Medicare following discharge account for 0.52% of all index admissions excluded from the initial cohort. This exclusion is needed since the 30-day readmission outcome cannot be assessed in patients who do not maintain enrollment for at least 30 days following discharge.</w:t>
      </w:r>
    </w:p>
    <w:p w14:paraId="484697E4" w14:textId="77777777"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8027BA">
        <w:rPr>
          <w:rFonts w:cstheme="minorHAnsi"/>
          <w:bCs/>
        </w:rPr>
        <w:t xml:space="preserve">3. Patients discharged against medical advice (AMA) account for 0.38% of all index admissions excluded from the initial index cohort. This exclusion is needed for acceptability of the measure to hospitals, who do not have the opportunity to adequately deliver full care and prepare the patient for discharge. </w:t>
      </w:r>
    </w:p>
    <w:p w14:paraId="573DD8FF" w14:textId="77777777"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8027BA">
        <w:rPr>
          <w:rFonts w:cstheme="minorHAnsi"/>
          <w:bCs/>
        </w:rPr>
        <w:t xml:space="preserve">4. Patients admitted for primary psychiatric diagnoses account for 0.28% of all index admissions excluded from the initial cohort. This exclusion is needed because these patients are typically cared for in separate psychiatric or rehabilitation centers which are not comparable to acute care hospitals. </w:t>
      </w:r>
    </w:p>
    <w:p w14:paraId="7ABAA04D" w14:textId="77777777"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8027BA">
        <w:rPr>
          <w:rFonts w:cstheme="minorHAnsi"/>
          <w:bCs/>
        </w:rPr>
        <w:t>5. Patients admitted for rehabilitation account for 0.10% of all index admissions excluded from the initial cohort. This exclusion is needed because patients admitted for rehabilitation are not admitted for treatment of acute illness and the care provided in rehabilitation centers is not comparable to care provided in acute care hospitals.</w:t>
      </w:r>
    </w:p>
    <w:p w14:paraId="1BF22B15" w14:textId="64A498DD"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highlight w:val="lightGray"/>
        </w:rPr>
      </w:pPr>
      <w:r w:rsidRPr="008027BA">
        <w:rPr>
          <w:rFonts w:cstheme="minorHAnsi"/>
          <w:bCs/>
        </w:rPr>
        <w:t>6. Patients admitted for medical treatment of cancer account for 2.15% of all index admissions excluded from the initial cohort. Admissions for treatment of cancer are associated with a very different mortality and readmission risk compared with admissions to other IPPS hospitals for treatment of other diseases. Additionally, outcomes for these admissions do not correlate well with outcomes for other types of admissions. (Patients with cancer who are admitted for other diagnoses or for surgical treatment of their cancer remain in the measure).</w:t>
      </w:r>
    </w:p>
    <w:p w14:paraId="38178D85" w14:textId="77777777" w:rsidR="008027BA" w:rsidRPr="008027BA" w:rsidRDefault="008027BA"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03FCEB23" w14:textId="48774988" w:rsidR="009E68A7"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r w:rsidRPr="0086238E">
        <w:rPr>
          <w:rFonts w:cstheme="minorHAnsi"/>
          <w:b/>
          <w:bCs/>
          <w:color w:val="FF0000"/>
          <w:u w:val="single"/>
        </w:rPr>
        <w:t xml:space="preserve">Exclusions applied to the </w:t>
      </w:r>
      <w:r w:rsidR="0015451D" w:rsidRPr="0086238E">
        <w:rPr>
          <w:rFonts w:cstheme="minorHAnsi"/>
          <w:b/>
          <w:bCs/>
          <w:color w:val="FF0000"/>
          <w:u w:val="single"/>
        </w:rPr>
        <w:t>ACR measure</w:t>
      </w:r>
      <w:r w:rsidR="009E68A7" w:rsidRPr="0086238E">
        <w:rPr>
          <w:rFonts w:cstheme="minorHAnsi"/>
          <w:b/>
          <w:bCs/>
          <w:color w:val="FF0000"/>
          <w:u w:val="single"/>
        </w:rPr>
        <w:t xml:space="preserve"> cohort:</w:t>
      </w:r>
    </w:p>
    <w:p w14:paraId="62F3AF7A" w14:textId="0FB795C0" w:rsidR="00685E74"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p>
    <w:p w14:paraId="38EA1FB7" w14:textId="606A5FE6" w:rsidR="00685E74"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t xml:space="preserve">1. Patients admitted to Inpatient Prospective Payment System (IPPS)-exempt cancer hospitals account for </w:t>
      </w:r>
      <w:r w:rsidR="00D5672F">
        <w:rPr>
          <w:rFonts w:cstheme="minorHAnsi"/>
          <w:bCs/>
          <w:color w:val="FF0000"/>
        </w:rPr>
        <w:t>0</w:t>
      </w:r>
      <w:r w:rsidRPr="0086238E">
        <w:rPr>
          <w:rFonts w:cstheme="minorHAnsi"/>
          <w:bCs/>
          <w:color w:val="FF0000"/>
        </w:rPr>
        <w:t>.22% of all index admissions excluded from the initial cohort</w:t>
      </w:r>
      <w:r w:rsidR="007701CD" w:rsidRPr="0086238E">
        <w:rPr>
          <w:rFonts w:cstheme="minorHAnsi"/>
          <w:bCs/>
          <w:color w:val="FF0000"/>
        </w:rPr>
        <w:t>.</w:t>
      </w:r>
    </w:p>
    <w:p w14:paraId="08CF87AD" w14:textId="0DFEDE4C" w:rsidR="00685E74"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t>2. Patients without at least 30 days post-discharge enrollment in Medicare</w:t>
      </w:r>
      <w:r w:rsidR="00D5672F">
        <w:rPr>
          <w:rFonts w:cstheme="minorHAnsi"/>
          <w:bCs/>
          <w:color w:val="FF0000"/>
        </w:rPr>
        <w:t xml:space="preserve"> FFS</w:t>
      </w:r>
      <w:r w:rsidRPr="0086238E">
        <w:rPr>
          <w:rFonts w:cstheme="minorHAnsi"/>
          <w:bCs/>
          <w:color w:val="FF0000"/>
        </w:rPr>
        <w:t xml:space="preserve"> following discharge account for 0.3</w:t>
      </w:r>
      <w:r w:rsidR="005F0083" w:rsidRPr="0086238E">
        <w:rPr>
          <w:rFonts w:cstheme="minorHAnsi"/>
          <w:bCs/>
          <w:color w:val="FF0000"/>
        </w:rPr>
        <w:t>4</w:t>
      </w:r>
      <w:r w:rsidRPr="0086238E">
        <w:rPr>
          <w:rFonts w:cstheme="minorHAnsi"/>
          <w:bCs/>
          <w:color w:val="FF0000"/>
        </w:rPr>
        <w:t xml:space="preserve">% of all index admissions excluded from the initial cohort. </w:t>
      </w:r>
    </w:p>
    <w:p w14:paraId="1C94A34F" w14:textId="4711BBE1" w:rsidR="00685E74"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lastRenderedPageBreak/>
        <w:t xml:space="preserve">3. Patients discharged against medical advice (AMA) account for 0.35% of all index admissions excluded from the initial index cohort. </w:t>
      </w:r>
    </w:p>
    <w:p w14:paraId="0D49CEAA" w14:textId="4D5AC1C4" w:rsidR="00685E74"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t>4. Patients admitted for primary psychiatric diagnoses account f</w:t>
      </w:r>
      <w:r w:rsidR="005F0083" w:rsidRPr="0086238E">
        <w:rPr>
          <w:rFonts w:cstheme="minorHAnsi"/>
          <w:bCs/>
          <w:color w:val="FF0000"/>
        </w:rPr>
        <w:t>or 0.25</w:t>
      </w:r>
      <w:r w:rsidRPr="0086238E">
        <w:rPr>
          <w:rFonts w:cstheme="minorHAnsi"/>
          <w:bCs/>
          <w:color w:val="FF0000"/>
        </w:rPr>
        <w:t xml:space="preserve">% of all index admissions excluded from the initial cohort. </w:t>
      </w:r>
    </w:p>
    <w:p w14:paraId="638A15BD" w14:textId="7926BAD6" w:rsidR="00685E74" w:rsidRPr="0086238E" w:rsidRDefault="00685E74"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t xml:space="preserve">5. Patients admitted for rehabilitation account for 0.08% of all index admissions excluded from the initial cohort. </w:t>
      </w:r>
    </w:p>
    <w:p w14:paraId="49D7E5A1" w14:textId="77777777" w:rsidR="008027BA" w:rsidRPr="0086238E" w:rsidRDefault="00685E74"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t>6. Patients admitted for medical treatment of cancer account for 2.09% of all index admissions excluded from the initial cohort</w:t>
      </w:r>
      <w:r w:rsidR="008027BA" w:rsidRPr="0086238E">
        <w:rPr>
          <w:rFonts w:cstheme="minorHAnsi"/>
          <w:bCs/>
          <w:color w:val="FF0000"/>
        </w:rPr>
        <w:t>.</w:t>
      </w:r>
    </w:p>
    <w:p w14:paraId="1652E5ED" w14:textId="201B13EB" w:rsidR="00685E74" w:rsidRPr="0086238E" w:rsidRDefault="000D2FCC"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6238E">
        <w:rPr>
          <w:rFonts w:cstheme="minorHAnsi"/>
          <w:bCs/>
          <w:color w:val="FF0000"/>
        </w:rPr>
        <w:t>In general, these exclusions have a minor impact on the performances.</w:t>
      </w:r>
    </w:p>
    <w:p w14:paraId="2AE9B187" w14:textId="77777777" w:rsidR="001202E9" w:rsidRPr="008027BA" w:rsidRDefault="0086464B" w:rsidP="00DB3627">
      <w:pPr>
        <w:autoSpaceDE w:val="0"/>
        <w:autoSpaceDN w:val="0"/>
        <w:adjustRightInd w:val="0"/>
        <w:spacing w:after="0" w:line="240" w:lineRule="auto"/>
        <w:rPr>
          <w:rFonts w:cstheme="minorHAnsi"/>
          <w:bCs/>
        </w:rPr>
      </w:pPr>
      <w:r w:rsidRPr="008027BA">
        <w:rPr>
          <w:rFonts w:cstheme="minorHAnsi"/>
          <w:bCs/>
        </w:rPr>
        <w:t>____________________________</w:t>
      </w:r>
    </w:p>
    <w:p w14:paraId="2AE9B188" w14:textId="77777777" w:rsidR="00AC1D8E" w:rsidRPr="008027BA" w:rsidRDefault="00092566" w:rsidP="00AC1D8E">
      <w:pPr>
        <w:autoSpaceDE w:val="0"/>
        <w:autoSpaceDN w:val="0"/>
        <w:adjustRightInd w:val="0"/>
        <w:spacing w:after="0" w:line="240" w:lineRule="auto"/>
        <w:rPr>
          <w:rFonts w:cstheme="minorHAnsi"/>
          <w:b/>
          <w:bCs/>
          <w:i/>
        </w:rPr>
      </w:pPr>
      <w:bookmarkStart w:id="11" w:name="section2b4"/>
      <w:bookmarkEnd w:id="11"/>
      <w:r w:rsidRPr="008027BA">
        <w:rPr>
          <w:rFonts w:cstheme="minorHAnsi"/>
          <w:b/>
          <w:bCs/>
        </w:rPr>
        <w:t>2b4. RISK ADJUSTMENT/STRATIFICATION FOR OUTCOME OR RESOURCE USE MEASURES</w:t>
      </w:r>
      <w:r w:rsidRPr="008027BA">
        <w:rPr>
          <w:rFonts w:cstheme="minorHAnsi"/>
          <w:bCs/>
        </w:rPr>
        <w:br/>
      </w:r>
      <w:r w:rsidR="00AC1D8E" w:rsidRPr="008027BA">
        <w:rPr>
          <w:rFonts w:cstheme="minorHAnsi"/>
          <w:b/>
          <w:bCs/>
          <w:i/>
        </w:rPr>
        <w:t>If not an intermediate or health outcome</w:t>
      </w:r>
      <w:r w:rsidR="00127C06" w:rsidRPr="008027BA">
        <w:rPr>
          <w:rFonts w:cstheme="minorHAnsi"/>
          <w:b/>
          <w:bCs/>
          <w:i/>
        </w:rPr>
        <w:t>,</w:t>
      </w:r>
      <w:r w:rsidR="00AC1D8E" w:rsidRPr="008027BA">
        <w:rPr>
          <w:rFonts w:cstheme="minorHAnsi"/>
          <w:b/>
          <w:bCs/>
          <w:i/>
        </w:rPr>
        <w:t xml:space="preserve"> </w:t>
      </w:r>
      <w:r w:rsidR="00127C06" w:rsidRPr="008027BA">
        <w:rPr>
          <w:rFonts w:cstheme="minorHAnsi"/>
          <w:b/>
          <w:bCs/>
          <w:i/>
        </w:rPr>
        <w:t xml:space="preserve">or PRO-PM, </w:t>
      </w:r>
      <w:r w:rsidR="00AC1D8E" w:rsidRPr="008027BA">
        <w:rPr>
          <w:rFonts w:cstheme="minorHAnsi"/>
          <w:b/>
          <w:bCs/>
          <w:i/>
        </w:rPr>
        <w:t xml:space="preserve">or resource use measure, </w:t>
      </w:r>
      <w:r w:rsidR="00BE592D" w:rsidRPr="008027BA">
        <w:rPr>
          <w:rFonts w:cstheme="minorHAnsi"/>
          <w:b/>
          <w:bCs/>
          <w:i/>
        </w:rPr>
        <w:t xml:space="preserve">skip to </w:t>
      </w:r>
      <w:r w:rsidR="00BE592D" w:rsidRPr="00B5481F">
        <w:rPr>
          <w:rFonts w:cstheme="minorHAnsi"/>
          <w:b/>
          <w:bCs/>
          <w:i/>
        </w:rPr>
        <w:t xml:space="preserve">section </w:t>
      </w:r>
      <w:hyperlink w:anchor="section2b5" w:history="1">
        <w:r w:rsidR="00BE592D" w:rsidRPr="00B5481F">
          <w:rPr>
            <w:rStyle w:val="Hyperlink"/>
            <w:rFonts w:cstheme="minorHAnsi"/>
            <w:b/>
            <w:bCs/>
            <w:i/>
            <w:color w:val="auto"/>
          </w:rPr>
          <w:t>2b5</w:t>
        </w:r>
      </w:hyperlink>
      <w:r w:rsidR="00BE592D" w:rsidRPr="00B5481F">
        <w:rPr>
          <w:rFonts w:cstheme="minorHAnsi"/>
          <w:b/>
          <w:bCs/>
          <w:i/>
        </w:rPr>
        <w:t>.</w:t>
      </w:r>
    </w:p>
    <w:p w14:paraId="2AE9B189" w14:textId="77777777" w:rsidR="008871A9" w:rsidRPr="008027BA" w:rsidRDefault="008871A9" w:rsidP="00092566">
      <w:pPr>
        <w:autoSpaceDE w:val="0"/>
        <w:autoSpaceDN w:val="0"/>
        <w:adjustRightInd w:val="0"/>
        <w:spacing w:after="0" w:line="240" w:lineRule="auto"/>
        <w:rPr>
          <w:rFonts w:cstheme="minorHAnsi"/>
          <w:b/>
          <w:bCs/>
        </w:rPr>
      </w:pPr>
    </w:p>
    <w:p w14:paraId="2AE9B18A" w14:textId="77777777" w:rsidR="00743E46" w:rsidRPr="00B5481F" w:rsidRDefault="00092566" w:rsidP="00092566">
      <w:pPr>
        <w:autoSpaceDE w:val="0"/>
        <w:autoSpaceDN w:val="0"/>
        <w:adjustRightInd w:val="0"/>
        <w:spacing w:after="0" w:line="240" w:lineRule="auto"/>
        <w:rPr>
          <w:rFonts w:cstheme="minorHAnsi"/>
          <w:b/>
          <w:bCs/>
        </w:rPr>
      </w:pPr>
      <w:r w:rsidRPr="00B5481F">
        <w:rPr>
          <w:rFonts w:cstheme="minorHAnsi"/>
          <w:b/>
          <w:bCs/>
        </w:rPr>
        <w:t xml:space="preserve">2b4.1. </w:t>
      </w:r>
      <w:r w:rsidR="00743E46" w:rsidRPr="00B5481F">
        <w:rPr>
          <w:rFonts w:cstheme="minorHAnsi"/>
          <w:b/>
          <w:bCs/>
        </w:rPr>
        <w:t>What method of controlling for differences in case mix is used?</w:t>
      </w:r>
    </w:p>
    <w:p w14:paraId="2AE9B18B" w14:textId="77777777" w:rsidR="00033038" w:rsidRPr="00B5481F" w:rsidRDefault="00E85A92" w:rsidP="00092566">
      <w:pPr>
        <w:autoSpaceDE w:val="0"/>
        <w:autoSpaceDN w:val="0"/>
        <w:adjustRightInd w:val="0"/>
        <w:spacing w:after="0" w:line="240" w:lineRule="auto"/>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033038" w:rsidRPr="00B5481F">
            <w:rPr>
              <w:rFonts w:ascii="Segoe UI Symbol" w:eastAsia="MS Gothic" w:hAnsi="Segoe UI Symbol" w:cs="Segoe UI Symbol"/>
              <w:bCs/>
            </w:rPr>
            <w:t>☐</w:t>
          </w:r>
        </w:sdtContent>
      </w:sdt>
      <w:r w:rsidR="00033038" w:rsidRPr="00B5481F">
        <w:rPr>
          <w:rFonts w:eastAsia="MS Mincho" w:cstheme="minorHAnsi"/>
          <w:b/>
          <w:bCs/>
        </w:rPr>
        <w:t xml:space="preserve"> </w:t>
      </w:r>
      <w:r w:rsidR="00033038" w:rsidRPr="00B5481F">
        <w:rPr>
          <w:rFonts w:cstheme="minorHAnsi"/>
          <w:b/>
          <w:bCs/>
        </w:rPr>
        <w:t>No risk adjustment or stratification</w:t>
      </w:r>
    </w:p>
    <w:p w14:paraId="2AE9B18C" w14:textId="7B72F881" w:rsidR="00743E46" w:rsidRPr="00B5481F" w:rsidRDefault="00E85A92" w:rsidP="00092566">
      <w:pPr>
        <w:autoSpaceDE w:val="0"/>
        <w:autoSpaceDN w:val="0"/>
        <w:adjustRightInd w:val="0"/>
        <w:spacing w:after="0" w:line="240" w:lineRule="auto"/>
        <w:rPr>
          <w:rFonts w:cstheme="minorHAnsi"/>
          <w:b/>
          <w:bCs/>
        </w:rPr>
      </w:pPr>
      <w:sdt>
        <w:sdtPr>
          <w:rPr>
            <w:rFonts w:cstheme="minorHAnsi"/>
            <w:bCs/>
          </w:rPr>
          <w:id w:val="-912162535"/>
          <w14:checkbox>
            <w14:checked w14:val="1"/>
            <w14:checkedState w14:val="2612" w14:font="MS Gothic"/>
            <w14:uncheckedState w14:val="2610" w14:font="MS Gothic"/>
          </w14:checkbox>
        </w:sdtPr>
        <w:sdtEndPr/>
        <w:sdtContent>
          <w:r w:rsidR="00C926A1" w:rsidRPr="00B5481F">
            <w:rPr>
              <w:rFonts w:ascii="Segoe UI Symbol" w:eastAsia="MS Gothic" w:hAnsi="Segoe UI Symbol" w:cs="Segoe UI Symbol"/>
              <w:bCs/>
            </w:rPr>
            <w:t>☒</w:t>
          </w:r>
        </w:sdtContent>
      </w:sdt>
      <w:r w:rsidR="006574D2" w:rsidRPr="00B5481F">
        <w:rPr>
          <w:rFonts w:cstheme="minorHAnsi"/>
          <w:bCs/>
        </w:rPr>
        <w:t xml:space="preserve"> </w:t>
      </w:r>
      <w:r w:rsidR="00743E46" w:rsidRPr="00B5481F">
        <w:rPr>
          <w:rFonts w:cstheme="minorHAnsi"/>
          <w:b/>
          <w:bCs/>
        </w:rPr>
        <w:t xml:space="preserve">Statistical risk model with </w:t>
      </w:r>
      <w:sdt>
        <w:sdtPr>
          <w:rPr>
            <w:rStyle w:val="Style4"/>
            <w:rFonts w:asciiTheme="minorHAnsi" w:hAnsiTheme="minorHAnsi"/>
            <w:color w:val="auto"/>
            <w:u w:val="none"/>
          </w:rPr>
          <w:id w:val="309760327"/>
          <w:text/>
        </w:sdtPr>
        <w:sdtEndPr>
          <w:rPr>
            <w:rStyle w:val="DefaultParagraphFont"/>
            <w:rFonts w:cstheme="minorHAnsi"/>
            <w:b w:val="0"/>
            <w:bCs/>
          </w:rPr>
        </w:sdtEndPr>
        <w:sdtContent>
          <w:r w:rsidR="001544C6" w:rsidRPr="00B5481F">
            <w:rPr>
              <w:rStyle w:val="Style4"/>
              <w:rFonts w:asciiTheme="minorHAnsi" w:hAnsiTheme="minorHAnsi"/>
              <w:color w:val="auto"/>
              <w:u w:val="none"/>
            </w:rPr>
            <w:t>33</w:t>
          </w:r>
        </w:sdtContent>
      </w:sdt>
      <w:r w:rsidR="00E562C0" w:rsidRPr="00B5481F">
        <w:rPr>
          <w:rStyle w:val="Style4"/>
          <w:rFonts w:asciiTheme="minorHAnsi" w:hAnsiTheme="minorHAnsi"/>
          <w:color w:val="auto"/>
          <w:u w:val="none"/>
        </w:rPr>
        <w:t xml:space="preserve"> </w:t>
      </w:r>
      <w:r w:rsidR="00743E46" w:rsidRPr="00B5481F">
        <w:rPr>
          <w:rFonts w:cstheme="minorHAnsi"/>
          <w:b/>
          <w:bCs/>
        </w:rPr>
        <w:t>risk factors</w:t>
      </w:r>
    </w:p>
    <w:p w14:paraId="2AE9B18D" w14:textId="77777777" w:rsidR="00743E46" w:rsidRPr="002F2AE5" w:rsidRDefault="00E85A92" w:rsidP="00092566">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2F2AE5">
            <w:rPr>
              <w:rFonts w:ascii="Segoe UI Symbol" w:eastAsia="MS Gothic" w:hAnsi="Segoe UI Symbol" w:cs="Segoe UI Symbol"/>
              <w:bCs/>
            </w:rPr>
            <w:t>☐</w:t>
          </w:r>
        </w:sdtContent>
      </w:sdt>
      <w:r w:rsidR="000414E8" w:rsidRPr="002F2AE5">
        <w:rPr>
          <w:rFonts w:eastAsia="MS Mincho" w:cstheme="minorHAnsi"/>
          <w:b/>
          <w:bCs/>
        </w:rPr>
        <w:t xml:space="preserve"> </w:t>
      </w:r>
      <w:r w:rsidR="00743E46" w:rsidRPr="002F2AE5">
        <w:rPr>
          <w:rFonts w:cstheme="minorHAnsi"/>
          <w:b/>
          <w:bCs/>
        </w:rPr>
        <w:t xml:space="preserve">Stratification by </w:t>
      </w:r>
      <w:sdt>
        <w:sdtPr>
          <w:rPr>
            <w:rStyle w:val="Style4"/>
            <w:rFonts w:asciiTheme="minorHAnsi" w:hAnsiTheme="minorHAnsi"/>
            <w:color w:val="auto"/>
            <w:u w:val="none"/>
          </w:rPr>
          <w:id w:val="-52006544"/>
          <w:showingPlcHdr/>
          <w:text/>
        </w:sdtPr>
        <w:sdtEndPr>
          <w:rPr>
            <w:rStyle w:val="DefaultParagraphFont"/>
            <w:rFonts w:cstheme="minorHAnsi"/>
            <w:b w:val="0"/>
            <w:bCs/>
          </w:rPr>
        </w:sdtEndPr>
        <w:sdtContent>
          <w:r w:rsidR="00E562C0" w:rsidRPr="002F2AE5">
            <w:rPr>
              <w:rStyle w:val="PlaceholderText"/>
              <w:color w:val="auto"/>
            </w:rPr>
            <w:t>Click here to enter number of categories</w:t>
          </w:r>
        </w:sdtContent>
      </w:sdt>
      <w:r w:rsidR="00E562C0" w:rsidRPr="002F2AE5">
        <w:rPr>
          <w:rStyle w:val="Style4"/>
          <w:rFonts w:asciiTheme="minorHAnsi" w:hAnsiTheme="minorHAnsi"/>
          <w:color w:val="auto"/>
          <w:u w:val="none"/>
        </w:rPr>
        <w:t xml:space="preserve"> </w:t>
      </w:r>
      <w:r w:rsidR="00C33F2E" w:rsidRPr="002F2AE5">
        <w:rPr>
          <w:rFonts w:cstheme="minorHAnsi"/>
          <w:b/>
          <w:bCs/>
        </w:rPr>
        <w:t xml:space="preserve">risk </w:t>
      </w:r>
      <w:r w:rsidR="00743E46" w:rsidRPr="002F2AE5">
        <w:rPr>
          <w:rFonts w:cstheme="minorHAnsi"/>
          <w:b/>
          <w:bCs/>
        </w:rPr>
        <w:t>categories</w:t>
      </w:r>
    </w:p>
    <w:p w14:paraId="2AE9B18E" w14:textId="77777777" w:rsidR="00743E46" w:rsidRPr="002F2AE5" w:rsidRDefault="00E85A92" w:rsidP="00092566">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2F2AE5">
            <w:rPr>
              <w:rFonts w:ascii="Segoe UI Symbol" w:eastAsia="MS Gothic" w:hAnsi="Segoe UI Symbol" w:cs="Segoe UI Symbol"/>
              <w:bCs/>
            </w:rPr>
            <w:t>☐</w:t>
          </w:r>
        </w:sdtContent>
      </w:sdt>
      <w:r w:rsidR="000414E8" w:rsidRPr="002F2AE5">
        <w:rPr>
          <w:rFonts w:eastAsia="MS Mincho" w:cstheme="minorHAnsi"/>
          <w:b/>
          <w:bCs/>
        </w:rPr>
        <w:t xml:space="preserve"> </w:t>
      </w:r>
      <w:r w:rsidR="00743E46" w:rsidRPr="002F2AE5">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2F2AE5">
            <w:rPr>
              <w:rStyle w:val="PlaceholderText"/>
              <w:color w:val="auto"/>
            </w:rPr>
            <w:t>Click here to enter description</w:t>
          </w:r>
        </w:sdtContent>
      </w:sdt>
    </w:p>
    <w:p w14:paraId="2AE9B18F" w14:textId="77777777" w:rsidR="00743E46" w:rsidRPr="002F2AE5" w:rsidRDefault="00743E46" w:rsidP="00092566">
      <w:pPr>
        <w:autoSpaceDE w:val="0"/>
        <w:autoSpaceDN w:val="0"/>
        <w:adjustRightInd w:val="0"/>
        <w:spacing w:after="0" w:line="240" w:lineRule="auto"/>
        <w:rPr>
          <w:rFonts w:cstheme="minorHAnsi"/>
          <w:b/>
          <w:bCs/>
        </w:rPr>
      </w:pPr>
    </w:p>
    <w:p w14:paraId="2AE9B190" w14:textId="03AC7C35" w:rsidR="00092566" w:rsidRDefault="000B7D57" w:rsidP="00F34FAB">
      <w:pPr>
        <w:autoSpaceDE w:val="0"/>
        <w:autoSpaceDN w:val="0"/>
        <w:adjustRightInd w:val="0"/>
        <w:spacing w:after="0" w:line="240" w:lineRule="auto"/>
        <w:rPr>
          <w:rFonts w:eastAsia="MS Mincho" w:cs="Calibri"/>
          <w:b/>
          <w:bCs/>
        </w:rPr>
      </w:pPr>
      <w:r w:rsidRPr="002F2AE5">
        <w:rPr>
          <w:rFonts w:cstheme="minorHAnsi"/>
          <w:b/>
          <w:bCs/>
        </w:rPr>
        <w:t xml:space="preserve">2b4.1.1 </w:t>
      </w:r>
      <w:r w:rsidR="00F34FAB" w:rsidRPr="002F2AE5">
        <w:rPr>
          <w:rFonts w:eastAsia="MS Mincho" w:cs="Calibri"/>
          <w:b/>
          <w:bCs/>
        </w:rPr>
        <w:t xml:space="preserve">If using a statistical risk model, provide detailed risk model specifications, including the risk model method, risk factors, coefficients, equations, codes with descriptors, and definitions. </w:t>
      </w:r>
    </w:p>
    <w:p w14:paraId="0B25B3F5" w14:textId="77777777" w:rsidR="00DD64FD" w:rsidRPr="002F2AE5" w:rsidRDefault="00DD64FD" w:rsidP="00F34FAB">
      <w:pPr>
        <w:autoSpaceDE w:val="0"/>
        <w:autoSpaceDN w:val="0"/>
        <w:adjustRightInd w:val="0"/>
        <w:spacing w:after="0" w:line="240" w:lineRule="auto"/>
        <w:rPr>
          <w:rFonts w:cstheme="minorHAnsi"/>
          <w:bCs/>
        </w:rPr>
      </w:pPr>
    </w:p>
    <w:p w14:paraId="6CC9838B" w14:textId="5E53D7AA" w:rsidR="008027BA" w:rsidRPr="00F20841" w:rsidRDefault="008027BA" w:rsidP="0048255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Calibri"/>
          <w:bCs/>
          <w:color w:val="000000" w:themeColor="text1"/>
          <w:highlight w:val="lightGray"/>
        </w:rPr>
      </w:pPr>
      <w:r w:rsidRPr="00844F4A">
        <w:rPr>
          <w:rFonts w:cstheme="minorHAnsi"/>
          <w:bCs/>
          <w:color w:val="000000" w:themeColor="text1"/>
        </w:rPr>
        <w:t>Please see data dictionary for coefficients from all cohorts</w:t>
      </w:r>
      <w:r w:rsidRPr="00F20841">
        <w:rPr>
          <w:rFonts w:cstheme="minorHAnsi"/>
          <w:bCs/>
          <w:color w:val="000000" w:themeColor="text1"/>
        </w:rPr>
        <w:t>.</w:t>
      </w:r>
    </w:p>
    <w:p w14:paraId="7EF4F965" w14:textId="77777777" w:rsidR="00DD64FD" w:rsidRDefault="00DD64FD" w:rsidP="009D3882">
      <w:pPr>
        <w:rPr>
          <w:rFonts w:cs="Calibri"/>
          <w:bCs/>
          <w:highlight w:val="lightGray"/>
        </w:rPr>
      </w:pPr>
    </w:p>
    <w:p w14:paraId="48886DA6" w14:textId="54D2EE9A" w:rsidR="008027BA" w:rsidRDefault="009D3882" w:rsidP="009D3882">
      <w:pPr>
        <w:rPr>
          <w:rFonts w:cs="Calibri"/>
          <w:bCs/>
        </w:rPr>
      </w:pPr>
      <w:r w:rsidRPr="002F2AE5">
        <w:rPr>
          <w:rFonts w:cs="Calibri"/>
          <w:b/>
          <w:bCs/>
        </w:rPr>
        <w:t xml:space="preserve">2b4.2. If an outcome or resource use component measure is </w:t>
      </w:r>
      <w:r w:rsidRPr="002F2AE5">
        <w:rPr>
          <w:rFonts w:cs="Calibri"/>
          <w:b/>
          <w:bCs/>
          <w:u w:val="single"/>
        </w:rPr>
        <w:t>not risk adjusted or stratified</w:t>
      </w:r>
      <w:r w:rsidRPr="002F2AE5">
        <w:rPr>
          <w:rFonts w:cs="Calibri"/>
          <w:b/>
          <w:bCs/>
        </w:rPr>
        <w:t xml:space="preserve">, provide </w:t>
      </w:r>
      <w:r w:rsidRPr="002F2AE5">
        <w:rPr>
          <w:rFonts w:cs="Calibri"/>
          <w:b/>
          <w:bCs/>
          <w:u w:val="single"/>
        </w:rPr>
        <w:t>rationale and analyses</w:t>
      </w:r>
      <w:r w:rsidRPr="002F2AE5">
        <w:rPr>
          <w:rFonts w:cs="Calibri"/>
          <w:b/>
          <w:bCs/>
        </w:rPr>
        <w:t xml:space="preserve"> to demonstrate that controlling for differences in patient characteristics (case mix) is not needed to achieve fair comparisons across measured entities</w:t>
      </w:r>
      <w:r w:rsidRPr="002F2AE5">
        <w:rPr>
          <w:rFonts w:cs="Calibri"/>
          <w:bCs/>
        </w:rPr>
        <w:t xml:space="preserve">. </w:t>
      </w:r>
    </w:p>
    <w:p w14:paraId="6D529812" w14:textId="77777777" w:rsidR="008027BA" w:rsidRPr="008D2BD7"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rFonts w:cstheme="minorHAnsi"/>
          <w:bCs/>
        </w:rPr>
        <w:t>N/A</w:t>
      </w:r>
    </w:p>
    <w:p w14:paraId="2AE9B192" w14:textId="35E02AD3" w:rsidR="009D3882" w:rsidRPr="002F2AE5" w:rsidRDefault="009D3882" w:rsidP="009D3882">
      <w:pPr>
        <w:rPr>
          <w:rFonts w:cstheme="minorHAnsi"/>
          <w:b/>
          <w:bCs/>
        </w:rPr>
      </w:pPr>
    </w:p>
    <w:p w14:paraId="2AE9B193" w14:textId="1B96868D" w:rsidR="00092566" w:rsidRPr="002F2AE5" w:rsidRDefault="00092566" w:rsidP="009D3882">
      <w:pPr>
        <w:rPr>
          <w:rFonts w:cstheme="minorHAnsi"/>
          <w:bCs/>
        </w:rPr>
      </w:pPr>
      <w:r w:rsidRPr="00206E72">
        <w:rPr>
          <w:rFonts w:cstheme="minorHAnsi"/>
          <w:b/>
          <w:bCs/>
        </w:rPr>
        <w:t xml:space="preserve">2b4.3. </w:t>
      </w:r>
      <w:r w:rsidR="00927027" w:rsidRPr="00206E72">
        <w:rPr>
          <w:rFonts w:cstheme="minorHAnsi"/>
          <w:b/>
          <w:bCs/>
        </w:rPr>
        <w:t>Describe</w:t>
      </w:r>
      <w:r w:rsidRPr="00206E72">
        <w:rPr>
          <w:rFonts w:cstheme="minorHAnsi"/>
          <w:b/>
          <w:bCs/>
        </w:rPr>
        <w:t xml:space="preserve"> the conceptual/clinical </w:t>
      </w:r>
      <w:r w:rsidRPr="00206E72">
        <w:rPr>
          <w:rFonts w:cstheme="minorHAnsi"/>
          <w:b/>
          <w:bCs/>
          <w:u w:val="single"/>
        </w:rPr>
        <w:t>and</w:t>
      </w:r>
      <w:r w:rsidRPr="00206E72">
        <w:rPr>
          <w:rFonts w:cstheme="minorHAnsi"/>
          <w:b/>
          <w:bCs/>
        </w:rPr>
        <w:t xml:space="preserve"> statistical methods and criteria used to select </w:t>
      </w:r>
      <w:r w:rsidR="005363F1" w:rsidRPr="00206E72">
        <w:rPr>
          <w:rFonts w:cstheme="minorHAnsi"/>
          <w:b/>
          <w:bCs/>
        </w:rPr>
        <w:t xml:space="preserve">patient </w:t>
      </w:r>
      <w:r w:rsidRPr="00206E72">
        <w:rPr>
          <w:rFonts w:cstheme="minorHAnsi"/>
          <w:b/>
          <w:bCs/>
        </w:rPr>
        <w:t xml:space="preserve">factors </w:t>
      </w:r>
      <w:r w:rsidR="0021054A" w:rsidRPr="00206E72">
        <w:rPr>
          <w:rFonts w:cstheme="minorHAnsi"/>
          <w:b/>
          <w:bCs/>
        </w:rPr>
        <w:t>(</w:t>
      </w:r>
      <w:r w:rsidR="00E967AD" w:rsidRPr="00206E72">
        <w:rPr>
          <w:rFonts w:cstheme="minorHAnsi"/>
          <w:b/>
          <w:bCs/>
        </w:rPr>
        <w:t xml:space="preserve">clinical factors or </w:t>
      </w:r>
      <w:r w:rsidR="0021054A" w:rsidRPr="00206E72">
        <w:rPr>
          <w:rFonts w:cstheme="minorHAnsi"/>
          <w:b/>
          <w:bCs/>
        </w:rPr>
        <w:t xml:space="preserve">sociodemographic factors) </w:t>
      </w:r>
      <w:r w:rsidRPr="00206E72">
        <w:rPr>
          <w:rFonts w:cstheme="minorHAnsi"/>
          <w:b/>
          <w:bCs/>
        </w:rPr>
        <w:t>used in the statistical risk model or for stratification by risk</w:t>
      </w:r>
      <w:r w:rsidR="00927027" w:rsidRPr="00206E72">
        <w:rPr>
          <w:rFonts w:cstheme="minorHAnsi"/>
          <w:b/>
          <w:bCs/>
        </w:rPr>
        <w:t xml:space="preserve"> </w:t>
      </w:r>
      <w:r w:rsidRPr="00206E72">
        <w:rPr>
          <w:rFonts w:cstheme="minorHAnsi"/>
          <w:bCs/>
        </w:rPr>
        <w:t>(</w:t>
      </w:r>
      <w:r w:rsidRPr="00206E72">
        <w:rPr>
          <w:rFonts w:cstheme="minorHAnsi"/>
          <w:bCs/>
          <w:i/>
        </w:rPr>
        <w:t xml:space="preserve">e.g., potential factors identified in </w:t>
      </w:r>
      <w:r w:rsidR="005363F1" w:rsidRPr="00206E72">
        <w:rPr>
          <w:rFonts w:cstheme="minorHAnsi"/>
          <w:bCs/>
          <w:i/>
        </w:rPr>
        <w:t xml:space="preserve">the </w:t>
      </w:r>
      <w:r w:rsidRPr="00206E72">
        <w:rPr>
          <w:rFonts w:cstheme="minorHAnsi"/>
          <w:bCs/>
          <w:i/>
        </w:rPr>
        <w:t>literature and/or expert panel; regression analysis; statistical significance of p&lt;0.10; correlation of x or higher</w:t>
      </w:r>
      <w:r w:rsidR="005363F1" w:rsidRPr="00206E72">
        <w:rPr>
          <w:rFonts w:cstheme="minorHAnsi"/>
          <w:bCs/>
          <w:i/>
        </w:rPr>
        <w:t>; patient factors should be present at the start of care</w:t>
      </w:r>
      <w:r w:rsidRPr="00206E72">
        <w:rPr>
          <w:rFonts w:cstheme="minorHAnsi"/>
          <w:bCs/>
        </w:rPr>
        <w:t>)</w:t>
      </w:r>
    </w:p>
    <w:p w14:paraId="08C55349" w14:textId="4CCC612C" w:rsidR="00575EE3" w:rsidRPr="0048255B" w:rsidRDefault="0089263A" w:rsidP="00437D54">
      <w:pPr>
        <w:pBdr>
          <w:top w:val="single" w:sz="4" w:space="1" w:color="auto"/>
          <w:left w:val="single" w:sz="4" w:space="4" w:color="auto"/>
          <w:bottom w:val="single" w:sz="4" w:space="0" w:color="auto"/>
          <w:right w:val="single" w:sz="4" w:space="4" w:color="auto"/>
        </w:pBdr>
        <w:spacing w:line="240" w:lineRule="auto"/>
        <w:rPr>
          <w:b/>
          <w:u w:val="single"/>
        </w:rPr>
      </w:pPr>
      <w:r>
        <w:rPr>
          <w:b/>
          <w:u w:val="single"/>
        </w:rPr>
        <w:t>HWR</w:t>
      </w:r>
    </w:p>
    <w:p w14:paraId="7FB4584A" w14:textId="584C78DB" w:rsidR="008027BA" w:rsidRDefault="008027BA" w:rsidP="00437D54">
      <w:pPr>
        <w:pBdr>
          <w:top w:val="single" w:sz="4" w:space="1" w:color="auto"/>
          <w:left w:val="single" w:sz="4" w:space="4" w:color="auto"/>
          <w:bottom w:val="single" w:sz="4" w:space="0" w:color="auto"/>
          <w:right w:val="single" w:sz="4" w:space="4" w:color="auto"/>
        </w:pBdr>
        <w:spacing w:line="240" w:lineRule="auto"/>
        <w:rPr>
          <w:highlight w:val="lightGray"/>
        </w:rPr>
      </w:pPr>
      <w:r w:rsidRPr="008027BA">
        <w:t>Our approach to risk adjustment was tailored to and appropriate for a publicly reported outcome measure, as articulated in the American Heart Association (AHA) Scientific Statement, “Standards for Statistical Models Used for Public Reporting of Health Outcomes” (Krumholz HM, et al., 2006). The measure estimates hospital-level 30-day all-cause RSRRs using hierarchical logistic regression models. In brief, the approach simultaneously models data at the patient and hospital levels to account for variance in patient outcomes within and between hospitals, (Normand S-LT, Shahian DM, 2007).</w:t>
      </w:r>
    </w:p>
    <w:p w14:paraId="1C0B6FCB" w14:textId="42EC7D55" w:rsidR="008027BA" w:rsidRDefault="008027BA" w:rsidP="008027BA">
      <w:pPr>
        <w:pBdr>
          <w:top w:val="single" w:sz="4" w:space="1" w:color="auto"/>
          <w:left w:val="single" w:sz="4" w:space="4" w:color="auto"/>
          <w:bottom w:val="single" w:sz="4" w:space="0" w:color="auto"/>
          <w:right w:val="single" w:sz="4" w:space="4" w:color="auto"/>
        </w:pBdr>
        <w:spacing w:line="240" w:lineRule="auto"/>
      </w:pPr>
      <w:r>
        <w:lastRenderedPageBreak/>
        <w:t>At the patient level, it models the log-odds of hospital readmission within 30 days of discharge using age, selected clinical covariates, and a hospital-specific intercept. At the hospital level, the approach models the hospital-specific intercepts as arising from a normal distribution. The hospital intercept represents the underlying risk of a readmission at the hospital, after accounting for patient risk. The hospital-specific intercepts are given a distribution to account for the clustering (non-independence) of patients within the same hospital (Normand S-LT, Shahian DM, 2007). If there were no differences among hospitals, then after adjusting for patient risk, the hospital intercepts should be identical across all hospitals.</w:t>
      </w:r>
    </w:p>
    <w:p w14:paraId="2ADE9CFF" w14:textId="78B49607" w:rsidR="008027BA" w:rsidRDefault="008027BA" w:rsidP="008027BA">
      <w:pPr>
        <w:pBdr>
          <w:top w:val="single" w:sz="4" w:space="1" w:color="auto"/>
          <w:left w:val="single" w:sz="4" w:space="4" w:color="auto"/>
          <w:bottom w:val="single" w:sz="4" w:space="0" w:color="auto"/>
          <w:right w:val="single" w:sz="4" w:space="4" w:color="auto"/>
        </w:pBdr>
        <w:spacing w:line="240" w:lineRule="auto"/>
      </w:pPr>
      <w:r>
        <w:t>Admissions are assigned to one of five mutually exclusive specialty cohort groups consisting of related conditions or procedures. For each specialty cohort group, the standardized readmission ratio (SRR) is calculated as the ratio of the number of “predicted” readmissions to the number of “expected” readmissions at a given hospital. For each hospital, the numerator of the ratio is the number of readmissions within 30 days predicted based on the hospital’s performance with its observed case mix and service mix, and the denominator is the number of readmissions expected based on the nation’s performance with that hospital’s case mix and service mix. This approach is analogous to a ratio of “observed” to “expected” used in other types of statistical analyses. It conceptually allows a particular hospital’s performance, given its case mix and service mix, to be compared to an average hospital’s performance with the same case mix and service mix. Thus, a lower ratio indicates lower-than-expected readmission rates or better quality, while a higher ratio indicates higher-than-expected readmission rates or worse quality.</w:t>
      </w:r>
    </w:p>
    <w:p w14:paraId="74CCFF56" w14:textId="05910A36" w:rsidR="008027BA" w:rsidRDefault="008027BA" w:rsidP="008027BA">
      <w:pPr>
        <w:pBdr>
          <w:top w:val="single" w:sz="4" w:space="1" w:color="auto"/>
          <w:left w:val="single" w:sz="4" w:space="4" w:color="auto"/>
          <w:bottom w:val="single" w:sz="4" w:space="0" w:color="auto"/>
          <w:right w:val="single" w:sz="4" w:space="4" w:color="auto"/>
        </w:pBdr>
        <w:spacing w:line="240" w:lineRule="auto"/>
      </w:pPr>
      <w:r>
        <w:t>For each specialty cohort, the “predicted” number of readmissions (the numerator) is calculated by using the coefficients estimated by regressing the risk factors (found in the attached Data Dictionary) and the hospital-specific intercept on the risk of readmission. The estimated hospital-specific intercept for each cohort is added to the sum of the estimated regression coefficients multiplied by patient characteristics. The results are transformed and summed over all patients attributed to a hospital to get a predicted value. The “expected” number of readmissions (the denominator) is obtained in the same manner, but a common intercept using all hospitals in our sample is added in place of the hospital-specific intercept. The results are transformed and summed over all patients in the hospital to get an expected value. To assess hospital performance for each reporting period, we re-estimate the model coefficients using the data in that period.</w:t>
      </w:r>
    </w:p>
    <w:p w14:paraId="3C6A3FEC" w14:textId="72421508"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The specialty cohort SRRs are then pooled for each hospital using a volume-weighted geometric mean to create a hospital-wide composite SRR. The composite SRR is multiplied by the national observed readmission rate to produce the RSRR. </w:t>
      </w:r>
    </w:p>
    <w:p w14:paraId="53231A0C" w14:textId="77777777" w:rsidR="008027BA" w:rsidRPr="0048255B" w:rsidRDefault="008027BA" w:rsidP="008027BA">
      <w:pPr>
        <w:pBdr>
          <w:top w:val="single" w:sz="4" w:space="1" w:color="auto"/>
          <w:left w:val="single" w:sz="4" w:space="4" w:color="auto"/>
          <w:bottom w:val="single" w:sz="4" w:space="0" w:color="auto"/>
          <w:right w:val="single" w:sz="4" w:space="4" w:color="auto"/>
        </w:pBdr>
        <w:spacing w:line="240" w:lineRule="auto"/>
        <w:rPr>
          <w:i/>
        </w:rPr>
      </w:pPr>
      <w:r w:rsidRPr="0048255B">
        <w:rPr>
          <w:i/>
        </w:rPr>
        <w:t>Data Source</w:t>
      </w:r>
    </w:p>
    <w:p w14:paraId="35C30C0F" w14:textId="6C2DD694"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The HWR risk-adjustment models use only inpatient claims data (history and current) in order to make it feasible to implement with Medicare data, and to make it applicable to all-payer data, which are typically restricted to inpatient claims. </w:t>
      </w:r>
    </w:p>
    <w:p w14:paraId="047DAEC1" w14:textId="1F606954" w:rsidR="008027BA" w:rsidRPr="0048255B" w:rsidRDefault="008027BA" w:rsidP="008027BA">
      <w:pPr>
        <w:pBdr>
          <w:top w:val="single" w:sz="4" w:space="1" w:color="auto"/>
          <w:left w:val="single" w:sz="4" w:space="4" w:color="auto"/>
          <w:bottom w:val="single" w:sz="4" w:space="0" w:color="auto"/>
          <w:right w:val="single" w:sz="4" w:space="4" w:color="auto"/>
        </w:pBdr>
        <w:spacing w:line="240" w:lineRule="auto"/>
        <w:rPr>
          <w:lang w:val="en-GB"/>
        </w:rPr>
      </w:pPr>
      <w:r>
        <w:t xml:space="preserve">The HWR measure uses CMS-CCs (Horwitz L, Partovian C, Lin Z, et al. 2012), the grouper used in previous CMS risk-standardized outcomes measures, to group ICD-9-CM codes into comorbid risk adjustment variables, since four CMS condition-specific claims-based readmission models that use this grouper to define variables for risk adjustment have been validated against models that use chart-abstracted data for risk adjustment </w:t>
      </w:r>
      <w:r w:rsidRPr="0048255B">
        <w:rPr>
          <w:lang w:val="en-GB"/>
        </w:rPr>
        <w:t xml:space="preserve">(Pope G, et al., 2000, Keenan PS, Normand SL, Lin Z, et al., 2008, Krumholz HM, Lin Z, Drye EE, et al. 2011). </w:t>
      </w:r>
    </w:p>
    <w:p w14:paraId="64A5CF85" w14:textId="77777777" w:rsidR="008027BA" w:rsidRPr="0048255B" w:rsidRDefault="008027BA" w:rsidP="008027BA">
      <w:pPr>
        <w:pBdr>
          <w:top w:val="single" w:sz="4" w:space="1" w:color="auto"/>
          <w:left w:val="single" w:sz="4" w:space="4" w:color="auto"/>
          <w:bottom w:val="single" w:sz="4" w:space="0" w:color="auto"/>
          <w:right w:val="single" w:sz="4" w:space="4" w:color="auto"/>
        </w:pBdr>
        <w:spacing w:line="240" w:lineRule="auto"/>
        <w:rPr>
          <w:i/>
        </w:rPr>
      </w:pPr>
      <w:r w:rsidRPr="0048255B">
        <w:rPr>
          <w:i/>
        </w:rPr>
        <w:lastRenderedPageBreak/>
        <w:t>Approach to Variable Selection:</w:t>
      </w:r>
    </w:p>
    <w:p w14:paraId="4816FE01"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In order to select the comorbid risk variables, we developed a “starter” set of 30 variables drawn from previous readmission measures (AMI, heart failure, pneumonia, hip and knee arthroplasty, and stroke). Next we reviewed all the remaining CMS-CCs and determined on a clinical basis whether they were likely to be relevant to an all-condition measure. We selected 11 additional risk variables to consider.</w:t>
      </w:r>
    </w:p>
    <w:p w14:paraId="351B3A4A"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Using data from the index admission and any admission in the prior 12 months, we ran a standard logistic regression model for every discharge condition category with the full set of candidate risk adjustment variables. We compared odds ratios for different variables across different condition categories (excluding condition categories with fewer than 700 readmissions due to the number of events per variable constraints). We selected the final set of comorbid risk variables based on the following principles:</w:t>
      </w:r>
    </w:p>
    <w:p w14:paraId="7097FF1F"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We excluded risk variables that were statistically significant for very few condition categories, given that they would not contribute much to the overall models.</w:t>
      </w:r>
    </w:p>
    <w:p w14:paraId="12234B17"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We excluded risk variables that behaved in clinically incoherent ways. For example, we dropped risk variables that sometimes increased risk and sometimes decreased risk, when we could not identify a clinical rationale for the differences.</w:t>
      </w:r>
    </w:p>
    <w:p w14:paraId="6F046A86"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 We excluded risk variables that were predominantly protective when we felt this protective effect was not clinically reasonable but more likely reflected coding factors. For example, drug/alcohol abuse without dependence (CC 53) and delirium and encephalopathy (CC 48) were both protective for readmission risk although clinically they should increase patients’ severity of illness. </w:t>
      </w:r>
    </w:p>
    <w:p w14:paraId="1777873A"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Where possible, we grouped together risk variables that were clinically coherent and carried similar risks across condition categories. For example, we combined coronary artery disease (CCs 83-84) with cerebrovascular disease (CCs 98, 99, and 103).</w:t>
      </w:r>
    </w:p>
    <w:p w14:paraId="02462AEA" w14:textId="3080FE5A" w:rsidR="008027BA" w:rsidRDefault="008027BA" w:rsidP="008027BA">
      <w:pPr>
        <w:pBdr>
          <w:top w:val="single" w:sz="4" w:space="1" w:color="auto"/>
          <w:left w:val="single" w:sz="4" w:space="4" w:color="auto"/>
          <w:bottom w:val="single" w:sz="4" w:space="0" w:color="auto"/>
          <w:right w:val="single" w:sz="4" w:space="4" w:color="auto"/>
        </w:pBdr>
        <w:spacing w:line="240" w:lineRule="auto"/>
      </w:pPr>
      <w:r>
        <w:t>• We examined risk variables that had been combined in previous CMS publicly reported measures, and in one instance separated them: for cancers, the previous measures generally pool 5 categories of cancers (CCs 8 to 12), together. In our analysis, lung cancer (CC 8) and other severe cancers (CC 9) carried higher risks, so we separated them into a distinct risk variable and grouped other major cancers (CC 10), benign cancers (CC 11), and cancers of the urinary and GI tracts (CC 12) together. Consistent with other publicly reported measures, we also left metastatic cancer/leukemia (CC 7) as a separate risk variable.</w:t>
      </w:r>
    </w:p>
    <w:p w14:paraId="0134377F" w14:textId="5FAA8707" w:rsidR="008027BA" w:rsidRDefault="008027BA" w:rsidP="008027BA">
      <w:pPr>
        <w:pBdr>
          <w:top w:val="single" w:sz="4" w:space="1" w:color="auto"/>
          <w:left w:val="single" w:sz="4" w:space="4" w:color="auto"/>
          <w:bottom w:val="single" w:sz="4" w:space="0" w:color="auto"/>
          <w:right w:val="single" w:sz="4" w:space="4" w:color="auto"/>
        </w:pBdr>
        <w:spacing w:line="240" w:lineRule="auto"/>
      </w:pPr>
      <w:r>
        <w:t>Complications occurring during hospitalization are not comorbid illnesses, may reflect hospital quality of care, and therefore should not be used for risk adjustment. Hence, conditions that may represent adverse outcomes due to care received during the index hospital stay are not included in the risk-adjusted model; see Table 5 in Section 2a1.13. CCs on this list were not counted as a risk variable in our analyses if they appeared only on the index admission.</w:t>
      </w:r>
    </w:p>
    <w:p w14:paraId="4B41C287" w14:textId="77777777" w:rsidR="008027BA" w:rsidRPr="002C68A4" w:rsidRDefault="008027BA" w:rsidP="008027BA">
      <w:pPr>
        <w:pBdr>
          <w:top w:val="single" w:sz="4" w:space="1" w:color="auto"/>
          <w:left w:val="single" w:sz="4" w:space="4" w:color="auto"/>
          <w:bottom w:val="single" w:sz="4" w:space="0" w:color="auto"/>
          <w:right w:val="single" w:sz="4" w:space="4" w:color="auto"/>
        </w:pBdr>
        <w:spacing w:line="240" w:lineRule="auto"/>
        <w:rPr>
          <w:i/>
        </w:rPr>
      </w:pPr>
      <w:r w:rsidRPr="002C68A4">
        <w:rPr>
          <w:i/>
        </w:rPr>
        <w:t xml:space="preserve">Service mix adjustment: </w:t>
      </w:r>
    </w:p>
    <w:p w14:paraId="3E1DA739" w14:textId="2C0B0A8F" w:rsidR="008027BA" w:rsidRDefault="008027BA" w:rsidP="008027BA">
      <w:pPr>
        <w:pBdr>
          <w:top w:val="single" w:sz="4" w:space="1" w:color="auto"/>
          <w:left w:val="single" w:sz="4" w:space="4" w:color="auto"/>
          <w:bottom w:val="single" w:sz="4" w:space="0" w:color="auto"/>
          <w:right w:val="single" w:sz="4" w:space="4" w:color="auto"/>
        </w:pBdr>
        <w:spacing w:line="240" w:lineRule="auto"/>
      </w:pPr>
      <w:r>
        <w:t>The measure includes many different discharge condition categories that differ in their baseline readmission risks. In addition, hospitals differ in their relative distribution of these condition categories (service mix). To adjust for service mix, the measure uses an indicator variable for the discharge condition category in addition to risk variables for comorbid conditions. The models include a condition-</w:t>
      </w:r>
      <w:r>
        <w:lastRenderedPageBreak/>
        <w:t>specific indicator for all condition categories with sufficient volume (defined as those with more than 1,000 admissions nationally in a given year for Medicare FFS data) as well as a single indicator for conditions with insufficient volume in each model.</w:t>
      </w:r>
    </w:p>
    <w:p w14:paraId="12A5111F" w14:textId="77777777" w:rsidR="008027BA" w:rsidRPr="002C68A4" w:rsidRDefault="008027BA" w:rsidP="008027BA">
      <w:pPr>
        <w:pBdr>
          <w:top w:val="single" w:sz="4" w:space="1" w:color="auto"/>
          <w:left w:val="single" w:sz="4" w:space="4" w:color="auto"/>
          <w:bottom w:val="single" w:sz="4" w:space="0" w:color="auto"/>
          <w:right w:val="single" w:sz="4" w:space="4" w:color="auto"/>
        </w:pBdr>
        <w:spacing w:line="240" w:lineRule="auto"/>
        <w:rPr>
          <w:i/>
        </w:rPr>
      </w:pPr>
      <w:r w:rsidRPr="002C68A4">
        <w:rPr>
          <w:i/>
        </w:rPr>
        <w:t>Socioeconomic Status (SES) Factors and Race</w:t>
      </w:r>
    </w:p>
    <w:p w14:paraId="618E9CD0"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SES factors and race for examination were based on a review of literature, conceptual pathways, and feasibility. In Section 1.8, we describe the variables that we considered and analyzed based on this review. Below we describe the pathways by which SES and race may influence 30-day readmission.</w:t>
      </w:r>
    </w:p>
    <w:p w14:paraId="4D327D98" w14:textId="3EA0E2D2" w:rsidR="008027BA" w:rsidRDefault="008027BA" w:rsidP="008027BA">
      <w:pPr>
        <w:pBdr>
          <w:top w:val="single" w:sz="4" w:space="1" w:color="auto"/>
          <w:left w:val="single" w:sz="4" w:space="4" w:color="auto"/>
          <w:bottom w:val="single" w:sz="4" w:space="0" w:color="auto"/>
          <w:right w:val="single" w:sz="4" w:space="4" w:color="auto"/>
        </w:pBdr>
        <w:spacing w:line="240" w:lineRule="auto"/>
      </w:pPr>
      <w:r>
        <w:t>Our conceptualization of the pathways by which patient SES or race affects 30-day readmission is informed by the literature.</w:t>
      </w:r>
    </w:p>
    <w:p w14:paraId="2508FEBF" w14:textId="5C40A57B" w:rsidR="008027BA" w:rsidRPr="002C68A4" w:rsidRDefault="008027BA" w:rsidP="008027BA">
      <w:pPr>
        <w:pBdr>
          <w:top w:val="single" w:sz="4" w:space="1" w:color="auto"/>
          <w:left w:val="single" w:sz="4" w:space="4" w:color="auto"/>
          <w:bottom w:val="single" w:sz="4" w:space="0" w:color="auto"/>
          <w:right w:val="single" w:sz="4" w:space="4" w:color="auto"/>
        </w:pBdr>
        <w:spacing w:line="240" w:lineRule="auto"/>
        <w:rPr>
          <w:i/>
        </w:rPr>
      </w:pPr>
      <w:r w:rsidRPr="002C68A4">
        <w:rPr>
          <w:i/>
        </w:rPr>
        <w:t xml:space="preserve">SES and Race Variables and </w:t>
      </w:r>
      <w:r w:rsidR="0089263A">
        <w:rPr>
          <w:i/>
        </w:rPr>
        <w:t>HWR</w:t>
      </w:r>
      <w:r w:rsidR="0089263A" w:rsidRPr="002C68A4">
        <w:rPr>
          <w:i/>
        </w:rPr>
        <w:t xml:space="preserve"> </w:t>
      </w:r>
    </w:p>
    <w:p w14:paraId="57031029" w14:textId="3D2A6815"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To examine the relationship between SES and race variables and hospital 30-day, hospital-wide, all-cause, unplanned readmission following hospitalization, a literature search was performed with the following exclusion criteria: international studies, articles published more than 10 years ago, articles without primary data, articles using Veterans Affairs (VA) databases as the primary data source, and articles not explicitly focused on SES or race and readmission across multiple conditions. One hundred and sixty nine articles were initially reviewed, and one hundred and fifty five studies were excluded from full-text review based on the above criteria. Studies indicate that SES/race variables were associated with increased risk of readmission across multiple major illnesses and conditions (Aseltine RH, et al., 2015; Mitchell SE, et al., 2012; Odonkor CA, et al., 2015; Herrin J, et al., 2015; Gu Q, et al., 2014, Kim H, et al., 2010; Kangovi S, et al., 2012; Iloabuchi TC, 2014; Beck AF, et al., 2012; Arbaje AI, et al., 2008; Hu J, 2014; Nagasako EM, et al., 2014; Joynt, KE, et al., 2013), though there may not be a significant effect on hospital-level profiling (Blum AB, et al., 2014). </w:t>
      </w:r>
    </w:p>
    <w:p w14:paraId="2B8FD747" w14:textId="77777777" w:rsidR="008027BA" w:rsidRPr="002C68A4" w:rsidRDefault="008027BA" w:rsidP="008027BA">
      <w:pPr>
        <w:pBdr>
          <w:top w:val="single" w:sz="4" w:space="1" w:color="auto"/>
          <w:left w:val="single" w:sz="4" w:space="4" w:color="auto"/>
          <w:bottom w:val="single" w:sz="4" w:space="0" w:color="auto"/>
          <w:right w:val="single" w:sz="4" w:space="4" w:color="auto"/>
        </w:pBdr>
        <w:spacing w:line="240" w:lineRule="auto"/>
        <w:rPr>
          <w:i/>
        </w:rPr>
      </w:pPr>
      <w:r w:rsidRPr="002C68A4">
        <w:rPr>
          <w:i/>
        </w:rPr>
        <w:t>SES and Race Variable Selection</w:t>
      </w:r>
    </w:p>
    <w:p w14:paraId="4842853A"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Although some recent literature evaluates the relationship between patient SES or race and the readmission outcome, few studies directly address causal pathways or examine the role of the hospital in these pathways. Moreover, the current literature examines a wide range of conditions and risk variables with no clear consensus on which risk factors demonstrate the strongest relationship with readmission. The SES factors that have been examined in the readmission literature can be categorized into three domains: (1) patient-level variables, (2) neighborhood/community-level variables, and (3) hospital-level variables. Patient-level variables describe characteristics of individual patients, and range from the self-reported or documented race or ethnicity of the patient to the patient’s income or education level (Eapen ZJ, et al., 2015; Hu J, et al., 2014). Neighborhood/community-level variables use information from sources such as the American Community Survey (ACS) as either a proxy for individual patient-level data or to measure environmental factors. Studies using these variables use one dimensional measures such as median household income or composite measures such as the Agency for Healthcare Research and Quality (AHRQ)-validated SES index score (Blum AB, et al., 2014). Hospital-level variables measure attributes of the hospital which may be related to patient risk. Examples of hospital-level variables used in studies are ZIP code characteristics aggregated to the hospital level or the proportion of Medicaid patients served in the hospital (Gilman M, et al., 2014; Joynt KE and Jha AK, 2013).</w:t>
      </w:r>
    </w:p>
    <w:p w14:paraId="3AFDD205" w14:textId="7C4D1091" w:rsidR="008027BA" w:rsidRDefault="008027BA" w:rsidP="008027BA">
      <w:pPr>
        <w:pBdr>
          <w:top w:val="single" w:sz="4" w:space="1" w:color="auto"/>
          <w:left w:val="single" w:sz="4" w:space="4" w:color="auto"/>
          <w:bottom w:val="single" w:sz="4" w:space="0" w:color="auto"/>
          <w:right w:val="single" w:sz="4" w:space="4" w:color="auto"/>
        </w:pBdr>
        <w:spacing w:line="240" w:lineRule="auto"/>
      </w:pPr>
      <w:r>
        <w:t>The conceptual relationship, or potential causal pathways by which these possible SES risk factors</w:t>
      </w:r>
      <w:r w:rsidR="006659E0">
        <w:t xml:space="preserve"> and race/ ethnicity </w:t>
      </w:r>
      <w:r>
        <w:t xml:space="preserve"> influence the risk of readmission following an acute illness or major surgery, like the </w:t>
      </w:r>
      <w:r>
        <w:lastRenderedPageBreak/>
        <w:t>factors themselves, are varied and complex. There are at least four potential pathways that are important to consider.</w:t>
      </w:r>
    </w:p>
    <w:p w14:paraId="366EDC63"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1. Relationship of socioeconomic status (SES) factors or race to health at admission. Patients who have lower income/education/literacy or unstable housing may have a worse general health status and may present for their hospitalization or procedure with a greater severity of underlying illness. These SES risk factors, which are characterized by patient-level or neighborhood/community-level (as proxy for patient-level) variables, may contribute to worse health status at admission due to competing priorities (restrictions based on job, lack of childcare), lack of access to care (geographic, cultural, or financial), or lack of health insurance. Given that these risk factors all lead to worse general health status, this causal pathway should be largely accounted for by current clinical risk-adjustment.</w:t>
      </w:r>
    </w:p>
    <w:p w14:paraId="5609A23F"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In addition to SES risk factors, studies have shown that worse health status is more prevalent among African-American patients compared with white patients. The association between race and worse health is in part mediated by the association between race and SES risk factors such as poverty or disparate access to care associated with poverty or neighborhood. The association is also mediated through bias in healthcare as well as other facets of society.</w:t>
      </w:r>
    </w:p>
    <w:p w14:paraId="4AA23463"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2. Use of low-quality hospitals. Patients of lower income, lower education, or unstable housing have been shown not to have equitable access to high quality facilities because such facilities are less likely to be found in geographic areas with large populations of poor patients; thus patients with low income are more likely to be seen in lower quality hospitals, which can contribute to increased risk of readmission following hospitalization (Jha AK, et al., 2011; Reames BN, et al., 2014). Similarly African-American patients have been shown to have less access to high quality facilities compared with white patients (Skinner J, et al., 2005).</w:t>
      </w:r>
    </w:p>
    <w:p w14:paraId="4BC08A36"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3. Differential care within a hospital. The third major pathway by which SES factors or race may contribute to readmission risk is that patients may not receive equivalent care within a facility. For example, African-American patients have been shown to experience differential, lower quality, or discriminatory care within a given facility (Trivedi AN, et al., 2014). Alternatively, patients with SES risk factors such as lower education may require differentiated care – e.g. provision of lower literacy information – that they do not receive. </w:t>
      </w:r>
    </w:p>
    <w:p w14:paraId="34832810"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4. Influence of SES on readmission risk outside of hospital quality and health status. Some SES risk factors, such as income or wealth, may affect the likelihood of readmission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economic priorities or a lack of access to care outside of the hospital.</w:t>
      </w:r>
    </w:p>
    <w:p w14:paraId="26A4BD9D"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These proposed pathways are complex to distinguish analytically. They also have different implications on the decision to risk adjust or not. We, therefore, first assessed if there was evidence of a meaningful effect on the risk model to warrant efforts to distinguish among these pathways. Based on this model and the considerations outlined in Section 1.8, the following SES and race variables were considered:</w:t>
      </w:r>
    </w:p>
    <w:p w14:paraId="190AF4AC" w14:textId="132C5A43" w:rsidR="008027BA" w:rsidRDefault="008027BA" w:rsidP="008027BA">
      <w:pPr>
        <w:pBdr>
          <w:top w:val="single" w:sz="4" w:space="1" w:color="auto"/>
          <w:left w:val="single" w:sz="4" w:space="4" w:color="auto"/>
          <w:bottom w:val="single" w:sz="4" w:space="0" w:color="auto"/>
          <w:right w:val="single" w:sz="4" w:space="4" w:color="auto"/>
        </w:pBdr>
        <w:spacing w:line="240" w:lineRule="auto"/>
      </w:pPr>
      <w:r>
        <w:t>• Dual</w:t>
      </w:r>
      <w:r w:rsidR="00134690">
        <w:t>-</w:t>
      </w:r>
      <w:r>
        <w:t>eligible status</w:t>
      </w:r>
    </w:p>
    <w:p w14:paraId="54592CA5"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African American race</w:t>
      </w:r>
    </w:p>
    <w:p w14:paraId="7C129EB0"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AHRQ SES index</w:t>
      </w:r>
    </w:p>
    <w:p w14:paraId="715EC397"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lastRenderedPageBreak/>
        <w:t xml:space="preserve">We assessed the relationship between the SES variables and race with the outcome and examined the incremental effect in a multivariable model. For this measure, we also examined the extent to which the addition of any one of these variables improved model performance or changed hospital results. </w:t>
      </w:r>
    </w:p>
    <w:p w14:paraId="5B826938"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One concern with including SES or race factors in a model is that their effect may be at either the patient or the hospital level. For example, low SES may increase the risk of readmission because patients of low SES have an individual higher risk (patient-level effect) or because patients of low SES are more often admitted to hospitals with higher overall readmission rates (hospital-level effect). Thus, as an additional step, we performed a decomposition analysis to assess the independent effects of the SES and race variables at the patient level and the hospital level. If, for example, all the elevated risk of readmission for patients of low SES was due to lower quality/higher readmission risk in hospitals with more patients of low SES, then a significant hospital-level effect would be expected with little-to-no patient-level effect. However, if the increased readmission risk was solely related to higher risk for patients of low SES regardless of hospital effect, then a significant patient-level effect would be expected and a significant hospital-level effect would not be expected. </w:t>
      </w:r>
    </w:p>
    <w:p w14:paraId="350B82CE"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Specifically, we decomposed each of the SES and race variables as follows: Let Xij be a binary indicator of the SES or race status of the ith patient at the jth hospital, and Xj the percent of patients at hospital j with Xij = 1. Then we rewrote Xij = (Xij- Xj) + Xj </w:t>
      </w:r>
      <w:r>
        <w:t> Xpatient+ Xhospital. The first variable, Xpatient, represents the effect of the risk factor at the patient level (sometimes called the “within” hospital effect), and the second, Xhospital, represents the effect at the hospital level (sometimes called the “between” hospital effect). By including both of these in the same model, we can assess whether these are independent effects, or whether only one of these effects contributes. This analysis allows us to simultaneously estimate the independent effects of: 1) hospitals with higher or lower proportions of low SES patients or African-American patients on the readmission rate of an average patient; and 2) a patient’s SES or race on their own readmission rates when seen at an average hospital.</w:t>
      </w:r>
    </w:p>
    <w:p w14:paraId="15A5DD2C" w14:textId="67334D18" w:rsidR="008027BA" w:rsidRDefault="008027BA" w:rsidP="008027BA">
      <w:pPr>
        <w:pBdr>
          <w:top w:val="single" w:sz="4" w:space="1" w:color="auto"/>
          <w:left w:val="single" w:sz="4" w:space="4" w:color="auto"/>
          <w:bottom w:val="single" w:sz="4" w:space="0" w:color="auto"/>
          <w:right w:val="single" w:sz="4" w:space="4" w:color="auto"/>
        </w:pBdr>
        <w:spacing w:line="240" w:lineRule="auto"/>
      </w:pPr>
      <w:r>
        <w:t>It is very important to note, however, that even in the presence of a significant patient-level effect and absence of a significant hospital-level effect, the increased risk could be partly or entirely due to the quality of care patients receive in the hospital. For example, biased or differential care provided within a hospital to low-income patients as compared to high-income patients would exert its impact at the level of individual patients, and therefore be a patient-level effect. It is also important to note that the patient-level and hospital-level coefficients cannot be quantitatively compared because the patient’s SES circumstance or race in the model is binary whereas the hospitals’ proportion of low SES patients or African-American patients is continuous.</w:t>
      </w:r>
    </w:p>
    <w:p w14:paraId="5424EB29" w14:textId="5FFCA19D" w:rsidR="00575EE3" w:rsidRPr="001B4FCB" w:rsidRDefault="00924476" w:rsidP="00575EE3">
      <w:pPr>
        <w:pBdr>
          <w:top w:val="single" w:sz="4" w:space="1" w:color="auto"/>
          <w:left w:val="single" w:sz="4" w:space="4" w:color="auto"/>
          <w:bottom w:val="single" w:sz="4" w:space="0" w:color="auto"/>
          <w:right w:val="single" w:sz="4" w:space="4" w:color="auto"/>
        </w:pBdr>
        <w:spacing w:line="240" w:lineRule="auto"/>
        <w:rPr>
          <w:b/>
          <w:color w:val="FF0000"/>
          <w:u w:val="single"/>
        </w:rPr>
      </w:pPr>
      <w:r w:rsidRPr="001B4FCB">
        <w:rPr>
          <w:b/>
          <w:color w:val="FF0000"/>
          <w:u w:val="single"/>
        </w:rPr>
        <w:t>ACR</w:t>
      </w:r>
    </w:p>
    <w:p w14:paraId="48B0EB33" w14:textId="3C92A664" w:rsidR="00575EE3" w:rsidRPr="001B4FCB" w:rsidRDefault="00575EE3" w:rsidP="00575EE3">
      <w:pPr>
        <w:pBdr>
          <w:top w:val="single" w:sz="4" w:space="1" w:color="auto"/>
          <w:left w:val="single" w:sz="4" w:space="4" w:color="auto"/>
          <w:bottom w:val="single" w:sz="4" w:space="0" w:color="auto"/>
          <w:right w:val="single" w:sz="4" w:space="4" w:color="auto"/>
        </w:pBdr>
        <w:spacing w:line="240" w:lineRule="auto"/>
        <w:rPr>
          <w:color w:val="FF0000"/>
        </w:rPr>
      </w:pPr>
      <w:r w:rsidRPr="001B4FCB">
        <w:rPr>
          <w:color w:val="FF0000"/>
        </w:rPr>
        <w:t>In considering modifying this measure for the ACO program, we were guided by a conceptual framework outlining the relationships between potential clinical and contextual factors and rates of readmission at the ACO level. Importantly, many factors other than traditional medical care delivered in the office or hospital settings will impact the likelihood of readmission. For example, ACO</w:t>
      </w:r>
      <w:r w:rsidR="00D5672F">
        <w:rPr>
          <w:color w:val="FF0000"/>
        </w:rPr>
        <w:t>’</w:t>
      </w:r>
      <w:r w:rsidRPr="001B4FCB">
        <w:rPr>
          <w:color w:val="FF0000"/>
        </w:rPr>
        <w:t xml:space="preserve">s practicing in communities where patients have limited access to transportation, healthy foods and recreational facilities, may have less success in promoting healthy behaviors among patients; this may in-turn impact readmission rates. Recognition of and attention to the health environment may be important for achieving the goals of better care, better health, and lower costs and thus, shared savings. </w:t>
      </w:r>
    </w:p>
    <w:p w14:paraId="463BE156" w14:textId="77777777" w:rsidR="00575EE3" w:rsidRPr="008C552A" w:rsidRDefault="00575EE3" w:rsidP="00575EE3">
      <w:pPr>
        <w:pBdr>
          <w:top w:val="single" w:sz="4" w:space="1" w:color="auto"/>
          <w:left w:val="single" w:sz="4" w:space="4" w:color="auto"/>
          <w:bottom w:val="single" w:sz="4" w:space="0" w:color="auto"/>
          <w:right w:val="single" w:sz="4" w:space="4" w:color="auto"/>
        </w:pBdr>
        <w:spacing w:line="240" w:lineRule="auto"/>
        <w:rPr>
          <w:color w:val="FF0000"/>
        </w:rPr>
      </w:pPr>
      <w:r w:rsidRPr="008C552A">
        <w:rPr>
          <w:color w:val="FF0000"/>
        </w:rPr>
        <w:t xml:space="preserve">Our conceptual model recognizes patient-level demographic and clinical factors, along with four contextual domains that may influence ACO performance: (1) Physical environment (e.g., green spaces, </w:t>
      </w:r>
      <w:r w:rsidRPr="008C552A">
        <w:rPr>
          <w:color w:val="FF0000"/>
        </w:rPr>
        <w:lastRenderedPageBreak/>
        <w:t xml:space="preserve">safe streets); (2) Community resources (e.g., home health, senior services); (3) Patient resources (e.g., social support, transportation, income); and (4) Patient behavior/personal preferences (e.g., exercise, diet, advanced care directives, preference for intervention). </w:t>
      </w:r>
    </w:p>
    <w:p w14:paraId="024089F8" w14:textId="7BF05D92" w:rsidR="00575EE3" w:rsidRPr="008C552A" w:rsidRDefault="00575EE3" w:rsidP="00575EE3">
      <w:pPr>
        <w:pBdr>
          <w:top w:val="single" w:sz="4" w:space="1" w:color="auto"/>
          <w:left w:val="single" w:sz="4" w:space="4" w:color="auto"/>
          <w:bottom w:val="single" w:sz="4" w:space="0" w:color="auto"/>
          <w:right w:val="single" w:sz="4" w:space="4" w:color="auto"/>
        </w:pBdr>
        <w:spacing w:line="240" w:lineRule="auto"/>
        <w:rPr>
          <w:color w:val="FF0000"/>
        </w:rPr>
      </w:pPr>
      <w:r w:rsidRPr="008C552A">
        <w:rPr>
          <w:color w:val="FF0000"/>
        </w:rPr>
        <w:t>The model also recognizes the capacity of ACOs to mitigate the effects of many contextual factors on rates of admissions, encompassing both SES and non-SES variables. Adjusting for contextual factors would obscure important differences in ACO quality and could serve as a disincentive for ACO</w:t>
      </w:r>
      <w:r w:rsidR="00D5672F">
        <w:rPr>
          <w:color w:val="FF0000"/>
        </w:rPr>
        <w:t>’</w:t>
      </w:r>
      <w:r w:rsidRPr="008C552A">
        <w:rPr>
          <w:color w:val="FF0000"/>
        </w:rPr>
        <w:t>s to engage with such factors. ACO</w:t>
      </w:r>
      <w:r w:rsidR="00D5672F">
        <w:rPr>
          <w:color w:val="FF0000"/>
        </w:rPr>
        <w:t>’</w:t>
      </w:r>
      <w:r w:rsidRPr="008C552A">
        <w:rPr>
          <w:color w:val="FF0000"/>
        </w:rPr>
        <w:t>s should and do influence a broad range of patient and community level factors that can mitigate the risk of readmission associated with the contextual environment.</w:t>
      </w:r>
    </w:p>
    <w:p w14:paraId="3947CD2D" w14:textId="0FAAA171" w:rsidR="000342FA" w:rsidRPr="008C552A" w:rsidRDefault="00575EE3" w:rsidP="002C68A4">
      <w:pPr>
        <w:pBdr>
          <w:top w:val="single" w:sz="4" w:space="1" w:color="auto"/>
          <w:left w:val="single" w:sz="4" w:space="4" w:color="auto"/>
          <w:bottom w:val="single" w:sz="4" w:space="0" w:color="auto"/>
          <w:right w:val="single" w:sz="4" w:space="4" w:color="auto"/>
        </w:pBdr>
        <w:spacing w:line="240" w:lineRule="auto"/>
        <w:rPr>
          <w:color w:val="FF0000"/>
        </w:rPr>
      </w:pPr>
      <w:r w:rsidRPr="008C552A">
        <w:rPr>
          <w:color w:val="FF0000"/>
        </w:rPr>
        <w:t>We did, however, conduct analyses of SES factors to further inform the committee’s deliberation (see 2b4.4b)</w:t>
      </w:r>
      <w:r w:rsidR="002C68A4" w:rsidRPr="008C552A">
        <w:rPr>
          <w:color w:val="FF0000"/>
        </w:rPr>
        <w:t>.</w:t>
      </w:r>
      <w:r w:rsidR="000342FA" w:rsidRPr="008C552A">
        <w:rPr>
          <w:color w:val="FF0000"/>
        </w:rPr>
        <w:t xml:space="preserve"> To examine the influence of community level contextual factors, we utilize a patient-level variable, the AHRQ SES index, that is validated as a measure of community level contextual factors. We also examined the influence of dual Medicare and Medicaid </w:t>
      </w:r>
      <w:r w:rsidR="00355048" w:rsidRPr="008C552A">
        <w:rPr>
          <w:color w:val="FF0000"/>
        </w:rPr>
        <w:t>eligibility status on ACR measure performance.</w:t>
      </w:r>
    </w:p>
    <w:p w14:paraId="36216E68" w14:textId="3EE62E9C" w:rsidR="00575EE3" w:rsidRPr="00575EE3" w:rsidRDefault="00575EE3" w:rsidP="00575EE3">
      <w:pPr>
        <w:pBdr>
          <w:top w:val="single" w:sz="4" w:space="1" w:color="auto"/>
          <w:left w:val="single" w:sz="4" w:space="4" w:color="auto"/>
          <w:bottom w:val="single" w:sz="4" w:space="0" w:color="auto"/>
          <w:right w:val="single" w:sz="4" w:space="4" w:color="auto"/>
        </w:pBdr>
        <w:spacing w:line="240" w:lineRule="auto"/>
        <w:rPr>
          <w:color w:val="FF0000"/>
        </w:rPr>
      </w:pPr>
    </w:p>
    <w:p w14:paraId="1722ADA4" w14:textId="77777777" w:rsidR="008027BA" w:rsidRPr="00575EE3" w:rsidRDefault="008027BA" w:rsidP="008027BA">
      <w:pPr>
        <w:pBdr>
          <w:top w:val="single" w:sz="4" w:space="1" w:color="auto"/>
          <w:left w:val="single" w:sz="4" w:space="4" w:color="auto"/>
          <w:bottom w:val="single" w:sz="4" w:space="0" w:color="auto"/>
          <w:right w:val="single" w:sz="4" w:space="4" w:color="auto"/>
        </w:pBdr>
        <w:spacing w:line="240" w:lineRule="auto"/>
        <w:rPr>
          <w:b/>
          <w:u w:val="single"/>
        </w:rPr>
      </w:pPr>
      <w:r w:rsidRPr="00575EE3">
        <w:rPr>
          <w:b/>
          <w:u w:val="single"/>
        </w:rPr>
        <w:t>References:</w:t>
      </w:r>
    </w:p>
    <w:p w14:paraId="286C1916"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Arbaje AI, Wolff JL, Yu Q, Powe NR, Anderson GF, Boult C. Postdischarge environmental and socioeconomic factors and the likelihood of early hospital readmission among community-dwelling Medicare beneficiaries. The Gerontologist. 2008;48(4):495-504</w:t>
      </w:r>
    </w:p>
    <w:p w14:paraId="560B36C9"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Aseltine RH, Jr., Yan J, Gruss CB, Wagner C, Katz M. Connecticut Hospital Readmissions Related to Chest Pain and Heart Failure: Differences by Race, Ethnicity, and Payer. Connecticut medicine. 2015;79(2):69-76.</w:t>
      </w:r>
    </w:p>
    <w:p w14:paraId="0741960A"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Beck AF, Simmons JM, Huang B, Kahn RS. Geomedicine: area-based socioeconomic measures for assessing risk of hospital reutilization among children admitted for asthma. American journal of public health. 2012;102(12):2308-2314.</w:t>
      </w:r>
    </w:p>
    <w:p w14:paraId="7A25A903"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Blum AB, NN Egorova, E. A. Sosunov, A. C. Gelijns, E. DuPree, A. J. Moskowitz, A. D. Federman, D. D. Ascheim and S. Keyhani. "Impact of Socioeconomic Status Measures on Hospital Profiling in New York City." Circ Cardiovasc Qual Outcomes 7, no. 3 (2014): 391-7.</w:t>
      </w:r>
    </w:p>
    <w:p w14:paraId="11D1DED0"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Eapen ZJ, McCoy LA, Fonarow GC, Yancy CW, Miranda ML, Peterson ED, Califf RM, Hernandez AF. Utility of socioeconomic status in predicting 30-day outcomes after heart failure hospitalization. Circ Heart Fail. May 2015; 8(3):473-80.</w:t>
      </w:r>
    </w:p>
    <w:p w14:paraId="3B5D9BD1"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Gilman M, Adams EK, Hockenberry JM, Wilson IB, Milstein AS, Becker ER. California safety-net hospitals likely to be penalized by ACA value, readmission, and meaningful-use programs. Health Aff (Millwood). Aug 2014; 33(8):1314-22.</w:t>
      </w:r>
    </w:p>
    <w:p w14:paraId="112F7AFE"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Gu Q, Koenig L, Faerberg J, Steinberg CR, Vaz C, Wheatley MP. The Medicare Hospital Readmissions Reduction Program: potential unintended consequences for hospitals serving vulnerable populations. Health services research. 2014;49(3):818-837.</w:t>
      </w:r>
    </w:p>
    <w:p w14:paraId="658E227C"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Herrin J, St Andre J, Kenward K, Joshi MS, Audet AM, Hines SC. Community factors and hospital readmission rates. Health services research. 2015;50(1):20-39.</w:t>
      </w:r>
    </w:p>
    <w:p w14:paraId="18CDE270"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lastRenderedPageBreak/>
        <w:t xml:space="preserve">Horwitz L, Partovian C, Lin Z, et al. Hospital-Wide All-Cause Unplanned Readmission Measure: Final Technical Report. 2012; </w:t>
      </w:r>
    </w:p>
    <w:p w14:paraId="2D74B20A"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https://www.qualitynet.org/dcs/ContentServer?c=Page&amp;pagename=QnetPublic%2FPage%2FQnetTier4&amp;cid=1228772504318</w:t>
      </w:r>
    </w:p>
    <w:p w14:paraId="70DEEAD1"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Hu J, Gonsahn MD, Nerenz DR. Socioeconomic status and readmissions: evidence from an urban teaching hospital. Health affairs (Project Hope). 2014; 33(5):778-785.</w:t>
      </w:r>
    </w:p>
    <w:p w14:paraId="32E3552E"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Iloabuchi TC, Mi D, Tu W, Counsell SR. Risk factors for early hospital readmission in low-income elderly adults. Journal of the American Geriatrics Society. 2014;62(3):489-494.</w:t>
      </w:r>
    </w:p>
    <w:p w14:paraId="564785EC"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Jha AK, Orav EJ, Epstein AM. Low-quality, high-cost hospitals, mainly in South, care for sharply higher shares of elderly black, Hispanic, and Medicaid patients. Health Affairs 2011; 30:1904-11.</w:t>
      </w:r>
    </w:p>
    <w:p w14:paraId="10E9A221"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Joynt KE, Jha AK. Characteristics of hospitals receiving penalties under the Hospital Readmissions Reduction Program. JAMA. Jan 23 2013; 309(4):342-3.</w:t>
      </w:r>
    </w:p>
    <w:p w14:paraId="6DFD74F9"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Joynt, K. E., E. J. Orav and A. K. Jha. "Thirty-Day Readmission Rates for Medicare Beneficiaries by Race and Site of Care." JAMA 305, no. 7 (2011): 675-81.</w:t>
      </w:r>
    </w:p>
    <w:p w14:paraId="2F7D5C02"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Kangovi S, Grande D, Meehan P, Mitra N, Shannon R, Long JA. Perceptions of readmitted patients on the transition from hospital to home. Journal of hospital medicine. 2012;7(9):709-712.</w:t>
      </w:r>
    </w:p>
    <w:p w14:paraId="773F93C3"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Keenan PS, Normand SL, Lin Z, et al. An administrative claims measure suitable for profiling hospital performance on the basis of 30-day all-cause readmission rates among patients with heart failure. Circulation 2008;1(1):29-37.</w:t>
      </w:r>
    </w:p>
    <w:p w14:paraId="5D149447"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Kim H, Ross JS, Melkus GD, Zhao Z, Boockvar K. Scheduled and unscheduled hospital readmissions among patients with diabetes. The American journal of managed care. 2010;16(10):760-767.</w:t>
      </w:r>
    </w:p>
    <w:p w14:paraId="79894C1E"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Krumholz HM, Brindis RG, Brush JE, et al. 2006.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456-462.</w:t>
      </w:r>
    </w:p>
    <w:p w14:paraId="233A236B"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Krumholz HM, Lin Z, Drye EE, et al. An administrative claims measure suitable for profiling hospital performance based on 30-day all-cause readmission rates among patients with acute myocardial infarction. Circulation 2011;4(2):243-52.</w:t>
      </w:r>
    </w:p>
    <w:p w14:paraId="086D97EA"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Mitchell SE, Sadikova E, Jack BW, Paasche-Orlow MK. Health literacy and 30-day postdischarge hospital utilization. Journal of health communication. 2012;17 Suppl 3:325-338.Nagasako EM, Reidhead M, Waterman B, Dunagan WC. Adding socioeconomic data to hospital readmissions calculations may produce more useful results. Health affairs (Project Hope). 2014;33(5):786-791</w:t>
      </w:r>
    </w:p>
    <w:p w14:paraId="6F69AFE4"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Normand S-LT, Shahian DM. 2007. Statistical and Clinical Aspects of Hospital Outcomes Profiling. Stat Sci 22 (2): 206-226. </w:t>
      </w:r>
    </w:p>
    <w:p w14:paraId="448DAD65"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 xml:space="preserve">Odonkor CA, Hurst PV, Kondo N, Makary MA, Pronovost PJ. Beyond the Hospital Gates: Elucidating the Interactive Association of Social Support, Depressive Symptoms, and Physical Function with 30-Day </w:t>
      </w:r>
      <w:r>
        <w:lastRenderedPageBreak/>
        <w:t>Readmissions. American journal of physical medicine &amp; rehabilitation / Association of Academic Physiatrists. 2015;94(7):555-567</w:t>
      </w:r>
    </w:p>
    <w:p w14:paraId="0A41E75E"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Pope, G., et al., Principal Inpatient Diagnostic Cost Group Models for Medicare Risk Adjustment. Health Care Financing Review, 2000. 21(3):26.</w:t>
      </w:r>
    </w:p>
    <w:p w14:paraId="1D55B54D"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Reames BN, Birkmeyer NJ, Dimick JB, Ghaferi AA. Socioeconomic disparities in mortality after cancer surgery: failure to rescue. JAMA surgery 2014; 149:475-81.</w:t>
      </w:r>
    </w:p>
    <w:p w14:paraId="7C190EA1" w14:textId="77777777" w:rsidR="008027BA" w:rsidRDefault="008027BA" w:rsidP="008027BA">
      <w:pPr>
        <w:pBdr>
          <w:top w:val="single" w:sz="4" w:space="1" w:color="auto"/>
          <w:left w:val="single" w:sz="4" w:space="4" w:color="auto"/>
          <w:bottom w:val="single" w:sz="4" w:space="0" w:color="auto"/>
          <w:right w:val="single" w:sz="4" w:space="4" w:color="auto"/>
        </w:pBdr>
        <w:spacing w:line="240" w:lineRule="auto"/>
      </w:pPr>
      <w:r>
        <w:t>Skinner J, Chandra A, Staiger D, Lee J, McClellan M. Mortality after acute myocardial infarction in hospitals that disproportionately treat black patients. Circulation 2005; 112:2634-41.</w:t>
      </w:r>
    </w:p>
    <w:p w14:paraId="5954777B" w14:textId="68533783" w:rsidR="008027BA" w:rsidRDefault="008027BA" w:rsidP="008027BA">
      <w:pPr>
        <w:pBdr>
          <w:top w:val="single" w:sz="4" w:space="1" w:color="auto"/>
          <w:left w:val="single" w:sz="4" w:space="4" w:color="auto"/>
          <w:bottom w:val="single" w:sz="4" w:space="0" w:color="auto"/>
          <w:right w:val="single" w:sz="4" w:space="4" w:color="auto"/>
        </w:pBdr>
        <w:spacing w:line="240" w:lineRule="auto"/>
        <w:rPr>
          <w:highlight w:val="lightGray"/>
        </w:rPr>
      </w:pPr>
      <w:r>
        <w:t>Trivedi AN, Nsa W, Hausmann LR, et al. Quality and equity of care in U.S. hospitals. The New England journal of medicine 2014; 371:2298-308.</w:t>
      </w:r>
    </w:p>
    <w:p w14:paraId="61592C81" w14:textId="77777777" w:rsidR="000A6057" w:rsidRPr="002F2AE5" w:rsidRDefault="000A6057" w:rsidP="00001D73">
      <w:pPr>
        <w:autoSpaceDE w:val="0"/>
        <w:autoSpaceDN w:val="0"/>
        <w:adjustRightInd w:val="0"/>
        <w:spacing w:after="0" w:line="240" w:lineRule="auto"/>
        <w:rPr>
          <w:rFonts w:cstheme="minorHAnsi"/>
          <w:bCs/>
        </w:rPr>
      </w:pPr>
    </w:p>
    <w:p w14:paraId="6850E633" w14:textId="194563A6" w:rsidR="008027BA" w:rsidRDefault="00092566" w:rsidP="00001D73">
      <w:pPr>
        <w:autoSpaceDE w:val="0"/>
        <w:autoSpaceDN w:val="0"/>
        <w:adjustRightInd w:val="0"/>
        <w:spacing w:after="0" w:line="240" w:lineRule="auto"/>
        <w:rPr>
          <w:highlight w:val="yellow"/>
        </w:rPr>
      </w:pPr>
      <w:r w:rsidRPr="002F2AE5">
        <w:rPr>
          <w:rFonts w:cstheme="minorHAnsi"/>
          <w:b/>
          <w:bCs/>
        </w:rPr>
        <w:t>2b4.4</w:t>
      </w:r>
      <w:r w:rsidR="00193F21" w:rsidRPr="002F2AE5">
        <w:rPr>
          <w:rFonts w:cstheme="minorHAnsi"/>
          <w:b/>
          <w:bCs/>
        </w:rPr>
        <w:t>a</w:t>
      </w:r>
      <w:r w:rsidRPr="002F2AE5">
        <w:rPr>
          <w:rFonts w:cstheme="minorHAnsi"/>
          <w:b/>
          <w:bCs/>
        </w:rPr>
        <w:t>. What were the statistical results of the analyses used to select risk factors?</w:t>
      </w:r>
      <w:r w:rsidR="00001D73" w:rsidRPr="002F2AE5">
        <w:rPr>
          <w:rFonts w:cstheme="minorHAnsi"/>
          <w:b/>
          <w:bCs/>
        </w:rPr>
        <w:br/>
      </w:r>
    </w:p>
    <w:p w14:paraId="50303B05"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rFonts w:cstheme="minorHAnsi"/>
          <w:bCs/>
        </w:rPr>
        <w:t>T</w:t>
      </w:r>
      <w:r w:rsidRPr="00413896">
        <w:rPr>
          <w:rFonts w:cstheme="minorHAnsi"/>
          <w:bCs/>
        </w:rPr>
        <w:t xml:space="preserve">he final variables </w:t>
      </w:r>
      <w:r>
        <w:rPr>
          <w:rFonts w:cstheme="minorHAnsi"/>
          <w:bCs/>
        </w:rPr>
        <w:t>for each of the five risk</w:t>
      </w:r>
      <w:r w:rsidRPr="00413896">
        <w:rPr>
          <w:rFonts w:cstheme="minorHAnsi"/>
          <w:bCs/>
        </w:rPr>
        <w:t xml:space="preserve"> model</w:t>
      </w:r>
      <w:r>
        <w:rPr>
          <w:rFonts w:cstheme="minorHAnsi"/>
          <w:bCs/>
        </w:rPr>
        <w:t>s</w:t>
      </w:r>
      <w:r w:rsidRPr="00413896">
        <w:rPr>
          <w:rFonts w:cstheme="minorHAnsi"/>
          <w:bCs/>
        </w:rPr>
        <w:t xml:space="preserve"> with associated odds ratios</w:t>
      </w:r>
      <w:r>
        <w:rPr>
          <w:rFonts w:cstheme="minorHAnsi"/>
          <w:bCs/>
        </w:rPr>
        <w:t xml:space="preserve"> (</w:t>
      </w:r>
      <w:r w:rsidRPr="00685B1A">
        <w:rPr>
          <w:rFonts w:cstheme="minorHAnsi"/>
          <w:b/>
          <w:bCs/>
        </w:rPr>
        <w:t>Dataset</w:t>
      </w:r>
      <w:r>
        <w:rPr>
          <w:rFonts w:cstheme="minorHAnsi"/>
          <w:bCs/>
        </w:rPr>
        <w:t xml:space="preserve"> </w:t>
      </w:r>
      <w:r w:rsidRPr="00956B12">
        <w:rPr>
          <w:rFonts w:cstheme="minorHAnsi"/>
          <w:b/>
          <w:bCs/>
        </w:rPr>
        <w:t>1</w:t>
      </w:r>
      <w:r>
        <w:rPr>
          <w:rFonts w:cstheme="minorHAnsi"/>
          <w:bCs/>
        </w:rPr>
        <w:t>) are shown in the attached Data Dictionary or Code Table 2.2b.</w:t>
      </w:r>
    </w:p>
    <w:p w14:paraId="2AE9B195" w14:textId="44FC1A67" w:rsidR="00092566" w:rsidRPr="002F2AE5" w:rsidRDefault="00092566" w:rsidP="00001D73">
      <w:pPr>
        <w:autoSpaceDE w:val="0"/>
        <w:autoSpaceDN w:val="0"/>
        <w:adjustRightInd w:val="0"/>
        <w:spacing w:after="0" w:line="240" w:lineRule="auto"/>
        <w:rPr>
          <w:rFonts w:cstheme="minorHAnsi"/>
          <w:b/>
          <w:bCs/>
        </w:rPr>
      </w:pPr>
    </w:p>
    <w:p w14:paraId="01DC41F4" w14:textId="59C202F7" w:rsidR="00F25342" w:rsidRDefault="00C1695E" w:rsidP="00001D73">
      <w:pPr>
        <w:autoSpaceDE w:val="0"/>
        <w:autoSpaceDN w:val="0"/>
        <w:adjustRightInd w:val="0"/>
        <w:spacing w:after="0" w:line="240" w:lineRule="auto"/>
        <w:rPr>
          <w:rFonts w:cstheme="minorHAnsi"/>
          <w:b/>
          <w:bCs/>
        </w:rPr>
      </w:pPr>
      <w:r w:rsidRPr="002F2AE5">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02F8B5D8" w14:textId="225276A7" w:rsidR="008027BA" w:rsidRDefault="008027BA" w:rsidP="00001D73">
      <w:pPr>
        <w:autoSpaceDE w:val="0"/>
        <w:autoSpaceDN w:val="0"/>
        <w:adjustRightInd w:val="0"/>
        <w:spacing w:after="0" w:line="240" w:lineRule="auto"/>
        <w:rPr>
          <w:rFonts w:cstheme="minorHAnsi"/>
          <w:b/>
          <w:bCs/>
        </w:rPr>
      </w:pPr>
    </w:p>
    <w:p w14:paraId="7D23BB4F" w14:textId="79D0F553" w:rsidR="00575EE3" w:rsidRDefault="00E33C5B"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r>
        <w:rPr>
          <w:rFonts w:cstheme="minorHAnsi"/>
          <w:b/>
          <w:bCs/>
          <w:u w:val="single"/>
        </w:rPr>
        <w:t>HWR</w:t>
      </w:r>
    </w:p>
    <w:p w14:paraId="4B1363E3" w14:textId="77777777" w:rsidR="00956B12" w:rsidRPr="00E349F2" w:rsidRDefault="00956B12"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p>
    <w:p w14:paraId="7BE30880" w14:textId="328D9898" w:rsidR="008027BA" w:rsidRPr="00E349F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E349F2">
        <w:rPr>
          <w:rFonts w:cstheme="minorHAnsi"/>
          <w:bCs/>
          <w:i/>
        </w:rPr>
        <w:t>Variation in prevalence of the factor across measured entities</w:t>
      </w:r>
    </w:p>
    <w:p w14:paraId="4FCA149B" w14:textId="77777777" w:rsidR="008027BA" w:rsidRPr="00A635A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A635A2">
        <w:rPr>
          <w:rFonts w:cstheme="minorHAnsi"/>
          <w:bCs/>
        </w:rPr>
        <w:t>The prevalence of SDS factors in the HWR cohort varies across measured entities. The median percentage of Medicaid patients is 14.9% (interquartile range [IQR] 9.8%-22.6 %). The median percentage of African-American patients is 2.2% (IQR 0.0%-9.4%). The median percentage of low SES AHRQ indicator patients is 19.4% (IQR 5.0%-57.3%).</w:t>
      </w:r>
    </w:p>
    <w:p w14:paraId="16854CC3" w14:textId="77777777" w:rsidR="008027BA" w:rsidRPr="00A635A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2DE8F23" w14:textId="77777777" w:rsidR="008027BA" w:rsidRPr="00E349F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E349F2">
        <w:rPr>
          <w:rFonts w:cstheme="minorHAnsi"/>
          <w:bCs/>
          <w:i/>
        </w:rPr>
        <w:t>Empirical association with the outcome (bivariate)</w:t>
      </w:r>
    </w:p>
    <w:p w14:paraId="7F25F153" w14:textId="77777777" w:rsidR="008027BA" w:rsidRPr="00A635A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A635A2">
        <w:rPr>
          <w:rFonts w:cstheme="minorHAnsi"/>
          <w:bCs/>
        </w:rPr>
        <w:t>The patient-level observed hospital wide readmission rate is higher for Medicaid patients, 19.</w:t>
      </w:r>
      <w:r>
        <w:rPr>
          <w:rFonts w:cstheme="minorHAnsi"/>
          <w:bCs/>
        </w:rPr>
        <w:t>3</w:t>
      </w:r>
      <w:r w:rsidRPr="00A635A2">
        <w:rPr>
          <w:rFonts w:cstheme="minorHAnsi"/>
          <w:bCs/>
        </w:rPr>
        <w:t>%, compared with 14.8% for all other patients. The readmission rate for African-American patients was also higher at 19.</w:t>
      </w:r>
      <w:r>
        <w:rPr>
          <w:rFonts w:cstheme="minorHAnsi"/>
          <w:bCs/>
        </w:rPr>
        <w:t>2</w:t>
      </w:r>
      <w:r w:rsidRPr="00A635A2">
        <w:rPr>
          <w:rFonts w:cstheme="minorHAnsi"/>
          <w:bCs/>
        </w:rPr>
        <w:t>% compared with 15.1% for patients of all other races. Similarly the readmission rate for patients in the lowest SES quartile by AHRQ Index was 16.8% compared with 15.</w:t>
      </w:r>
      <w:r>
        <w:rPr>
          <w:rFonts w:cstheme="minorHAnsi"/>
          <w:bCs/>
        </w:rPr>
        <w:t>1</w:t>
      </w:r>
      <w:r w:rsidRPr="00A635A2">
        <w:rPr>
          <w:rFonts w:cstheme="minorHAnsi"/>
          <w:bCs/>
        </w:rPr>
        <w:t>% for all other patients.</w:t>
      </w:r>
    </w:p>
    <w:p w14:paraId="6DA80585" w14:textId="77777777" w:rsidR="008027BA" w:rsidRPr="00A635A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1E8AFA2" w14:textId="77777777" w:rsidR="008027BA" w:rsidRPr="00E349F2"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E349F2">
        <w:rPr>
          <w:rFonts w:cstheme="minorHAnsi"/>
          <w:bCs/>
          <w:i/>
        </w:rPr>
        <w:t>Incremental effect of SDS variables in a multivariable model</w:t>
      </w:r>
    </w:p>
    <w:p w14:paraId="36A6BE7B"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A635A2">
        <w:rPr>
          <w:rFonts w:cstheme="minorHAnsi"/>
          <w:bCs/>
        </w:rPr>
        <w:t xml:space="preserve">We then examined the strength and significance of the SDS variables in the context of a multivariable model. Consistent with the above findings, when we include any of these variables in a multivariate model that includes all of the claims-based clinical variables the effect size of each of these variables is small. We also find that the c-statistic is essentially unchanged with the addition of any of these variables into the model. Furthermore we find that the addition of any of these variables into the model has little to no effect on hospital performance. We examined the change in hospitals’ RSRRs with the addition of any of these variables. The mean </w:t>
      </w:r>
      <w:r>
        <w:rPr>
          <w:rFonts w:cstheme="minorHAnsi"/>
          <w:bCs/>
        </w:rPr>
        <w:t>median</w:t>
      </w:r>
      <w:r w:rsidRPr="00A635A2">
        <w:rPr>
          <w:rFonts w:cstheme="minorHAnsi"/>
          <w:bCs/>
        </w:rPr>
        <w:t xml:space="preserve"> absolute change in hospitals’ RSRRs when adding a </w:t>
      </w:r>
      <w:r w:rsidRPr="00A635A2">
        <w:rPr>
          <w:rFonts w:cstheme="minorHAnsi"/>
          <w:bCs/>
        </w:rPr>
        <w:lastRenderedPageBreak/>
        <w:t xml:space="preserve">Medicaid indicator is </w:t>
      </w:r>
      <w:r w:rsidRPr="00CF19D3">
        <w:rPr>
          <w:rFonts w:cstheme="minorHAnsi"/>
          <w:bCs/>
        </w:rPr>
        <w:t>0.00</w:t>
      </w:r>
      <w:r>
        <w:rPr>
          <w:rFonts w:cstheme="minorHAnsi"/>
          <w:bCs/>
        </w:rPr>
        <w:t>4</w:t>
      </w:r>
      <w:r w:rsidRPr="00A635A2">
        <w:rPr>
          <w:rFonts w:cstheme="minorHAnsi"/>
          <w:bCs/>
        </w:rPr>
        <w:t xml:space="preserve">% </w:t>
      </w:r>
      <w:r w:rsidRPr="00CF19D3">
        <w:rPr>
          <w:rFonts w:cstheme="minorHAnsi"/>
          <w:bCs/>
        </w:rPr>
        <w:t>(interquartile range [IQR] -0.01</w:t>
      </w:r>
      <w:r>
        <w:rPr>
          <w:rFonts w:cstheme="minorHAnsi"/>
          <w:bCs/>
        </w:rPr>
        <w:t>7</w:t>
      </w:r>
      <w:r w:rsidRPr="00CF19D3">
        <w:rPr>
          <w:rFonts w:cstheme="minorHAnsi"/>
          <w:bCs/>
        </w:rPr>
        <w:t>% – 0.024%, minimum -0.30</w:t>
      </w:r>
      <w:r>
        <w:rPr>
          <w:rFonts w:cstheme="minorHAnsi"/>
          <w:bCs/>
        </w:rPr>
        <w:t>9</w:t>
      </w:r>
      <w:r w:rsidRPr="00CF19D3">
        <w:rPr>
          <w:rFonts w:cstheme="minorHAnsi"/>
          <w:bCs/>
        </w:rPr>
        <w:t>% – maximum 0.13</w:t>
      </w:r>
      <w:r>
        <w:rPr>
          <w:rFonts w:cstheme="minorHAnsi"/>
          <w:bCs/>
        </w:rPr>
        <w:t>5</w:t>
      </w:r>
      <w:r w:rsidRPr="00CF19D3">
        <w:rPr>
          <w:rFonts w:cstheme="minorHAnsi"/>
          <w:bCs/>
        </w:rPr>
        <w:t xml:space="preserve">%) </w:t>
      </w:r>
      <w:r w:rsidRPr="00A635A2">
        <w:rPr>
          <w:rFonts w:cstheme="minorHAnsi"/>
          <w:bCs/>
        </w:rPr>
        <w:t xml:space="preserve">with a correlation coefficient between RSRRs for each hospital with and without Medicaid added of 0.998. The </w:t>
      </w:r>
      <w:r>
        <w:rPr>
          <w:rFonts w:cstheme="minorHAnsi"/>
          <w:bCs/>
        </w:rPr>
        <w:t>median</w:t>
      </w:r>
      <w:r w:rsidRPr="00A635A2">
        <w:rPr>
          <w:rFonts w:cstheme="minorHAnsi"/>
          <w:bCs/>
        </w:rPr>
        <w:t xml:space="preserve"> absolute change in hospitals’ RSRRs when adding a race indicator is </w:t>
      </w:r>
      <w:r w:rsidRPr="00CF19D3">
        <w:rPr>
          <w:rFonts w:cstheme="minorHAnsi"/>
          <w:bCs/>
        </w:rPr>
        <w:t>0.01</w:t>
      </w:r>
      <w:r>
        <w:rPr>
          <w:rFonts w:cstheme="minorHAnsi"/>
          <w:bCs/>
        </w:rPr>
        <w:t>1</w:t>
      </w:r>
      <w:r w:rsidRPr="00A635A2">
        <w:rPr>
          <w:rFonts w:cstheme="minorHAnsi"/>
          <w:bCs/>
        </w:rPr>
        <w:t xml:space="preserve">% </w:t>
      </w:r>
      <w:r w:rsidRPr="00CF19D3">
        <w:rPr>
          <w:rFonts w:cstheme="minorHAnsi"/>
          <w:bCs/>
        </w:rPr>
        <w:t>(IQR -0.010% – 0.03</w:t>
      </w:r>
      <w:r>
        <w:rPr>
          <w:rFonts w:cstheme="minorHAnsi"/>
          <w:bCs/>
        </w:rPr>
        <w:t>3</w:t>
      </w:r>
      <w:r w:rsidRPr="00CF19D3">
        <w:rPr>
          <w:rFonts w:cstheme="minorHAnsi"/>
          <w:bCs/>
        </w:rPr>
        <w:t>%, minimum -0.67</w:t>
      </w:r>
      <w:r>
        <w:rPr>
          <w:rFonts w:cstheme="minorHAnsi"/>
          <w:bCs/>
        </w:rPr>
        <w:t>1</w:t>
      </w:r>
      <w:r w:rsidRPr="00CF19D3">
        <w:rPr>
          <w:rFonts w:cstheme="minorHAnsi"/>
          <w:bCs/>
        </w:rPr>
        <w:t>% – maximum 0.1</w:t>
      </w:r>
      <w:r>
        <w:rPr>
          <w:rFonts w:cstheme="minorHAnsi"/>
          <w:bCs/>
        </w:rPr>
        <w:t>30</w:t>
      </w:r>
      <w:r w:rsidRPr="00CF19D3">
        <w:rPr>
          <w:rFonts w:cstheme="minorHAnsi"/>
          <w:bCs/>
        </w:rPr>
        <w:t xml:space="preserve">%) </w:t>
      </w:r>
      <w:r w:rsidRPr="00A635A2">
        <w:rPr>
          <w:rFonts w:cstheme="minorHAnsi"/>
          <w:bCs/>
        </w:rPr>
        <w:t xml:space="preserve">with a correlation coefficient between RSRRs for each hospital with and without race added of 0.998. The </w:t>
      </w:r>
      <w:r>
        <w:rPr>
          <w:rFonts w:cstheme="minorHAnsi"/>
          <w:bCs/>
        </w:rPr>
        <w:t xml:space="preserve">median </w:t>
      </w:r>
      <w:r w:rsidRPr="00A635A2">
        <w:rPr>
          <w:rFonts w:cstheme="minorHAnsi"/>
          <w:bCs/>
        </w:rPr>
        <w:t>absolute change in hospitals’ RSRRs when adding a low SES AHRQ indicator is</w:t>
      </w:r>
      <w:r>
        <w:rPr>
          <w:rFonts w:cstheme="minorHAnsi"/>
          <w:bCs/>
        </w:rPr>
        <w:t xml:space="preserve"> </w:t>
      </w:r>
      <w:r w:rsidRPr="00CF19D3">
        <w:rPr>
          <w:rFonts w:cstheme="minorHAnsi"/>
          <w:bCs/>
        </w:rPr>
        <w:t>0.007</w:t>
      </w:r>
      <w:r w:rsidRPr="00A635A2">
        <w:rPr>
          <w:rFonts w:cstheme="minorHAnsi"/>
          <w:bCs/>
        </w:rPr>
        <w:t xml:space="preserve">% </w:t>
      </w:r>
      <w:r w:rsidRPr="00CF19D3">
        <w:rPr>
          <w:rFonts w:cstheme="minorHAnsi"/>
          <w:bCs/>
        </w:rPr>
        <w:t>(IQR -0.03</w:t>
      </w:r>
      <w:r>
        <w:rPr>
          <w:rFonts w:cstheme="minorHAnsi"/>
          <w:bCs/>
        </w:rPr>
        <w:t>3</w:t>
      </w:r>
      <w:r w:rsidRPr="00CF19D3">
        <w:rPr>
          <w:rFonts w:cstheme="minorHAnsi"/>
          <w:bCs/>
        </w:rPr>
        <w:t>% – 0.0</w:t>
      </w:r>
      <w:r>
        <w:rPr>
          <w:rFonts w:cstheme="minorHAnsi"/>
          <w:bCs/>
        </w:rPr>
        <w:t>36</w:t>
      </w:r>
      <w:r w:rsidRPr="00CF19D3">
        <w:rPr>
          <w:rFonts w:cstheme="minorHAnsi"/>
          <w:bCs/>
        </w:rPr>
        <w:t>%, minimum -0.322% – maximum 0.1</w:t>
      </w:r>
      <w:r>
        <w:rPr>
          <w:rFonts w:cstheme="minorHAnsi"/>
          <w:bCs/>
        </w:rPr>
        <w:t>35</w:t>
      </w:r>
      <w:r w:rsidRPr="00CF19D3">
        <w:rPr>
          <w:rFonts w:cstheme="minorHAnsi"/>
          <w:bCs/>
        </w:rPr>
        <w:t xml:space="preserve">%) </w:t>
      </w:r>
      <w:r w:rsidRPr="00A635A2">
        <w:rPr>
          <w:rFonts w:cstheme="minorHAnsi"/>
          <w:bCs/>
        </w:rPr>
        <w:t>with a correlation coefficient between RSRRs for each hospital with and without low SES added of 0.99</w:t>
      </w:r>
      <w:r>
        <w:rPr>
          <w:rFonts w:cstheme="minorHAnsi"/>
          <w:bCs/>
        </w:rPr>
        <w:t>7</w:t>
      </w:r>
      <w:r w:rsidRPr="00A635A2">
        <w:rPr>
          <w:rFonts w:cstheme="minorHAnsi"/>
          <w:bCs/>
        </w:rPr>
        <w:t>.</w:t>
      </w:r>
    </w:p>
    <w:p w14:paraId="35E64C5A"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F0BE01A" w14:textId="4448216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bCs/>
        </w:rPr>
      </w:pPr>
      <w:r w:rsidRPr="00257F8F">
        <w:rPr>
          <w:bCs/>
        </w:rPr>
        <w:t xml:space="preserve">As an additional step, a decomposition analysis was performed. The results are described in the table below. </w:t>
      </w:r>
    </w:p>
    <w:p w14:paraId="65A12341" w14:textId="1E364D27" w:rsidR="008027BA" w:rsidRPr="00257F8F"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bCs/>
        </w:rPr>
      </w:pPr>
    </w:p>
    <w:p w14:paraId="71D25E56" w14:textId="64EE8DF8"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257F8F">
        <w:t>The patient-level and hospital-level dual</w:t>
      </w:r>
      <w:r>
        <w:t>-</w:t>
      </w:r>
      <w:r w:rsidRPr="00257F8F">
        <w:t>eligible, race, and low AHRQ SES Index effects were significantly associated with each of the hospital wide readmission models (Medicine, Surgery, Cardiorespiratory, Cardiovascular, and Neurology) in the deco</w:t>
      </w:r>
      <w:r w:rsidR="00134690">
        <w:t>mposition analysis. If the dual-</w:t>
      </w:r>
      <w:r w:rsidRPr="00257F8F">
        <w:t>eligible, race, or low AHRQ SES Index variables are used to adjust for patient-level differences, then some of the differences between hospitals would also be adjusted for</w:t>
      </w:r>
      <w:r w:rsidRPr="006764E5">
        <w:rPr>
          <w:bCs/>
        </w:rPr>
        <w:t>, potentially obscuring a signal of hospital quality</w:t>
      </w:r>
      <w:r w:rsidRPr="00257F8F">
        <w:t>.</w:t>
      </w:r>
    </w:p>
    <w:p w14:paraId="2E79EE66" w14:textId="77777777" w:rsidR="008027BA" w:rsidRPr="00CF19D3"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16BB7AED" w14:textId="77777777" w:rsidR="008027BA" w:rsidRPr="008D2BD7"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257F8F">
        <w:rPr>
          <w:rFonts w:cstheme="minorHAnsi"/>
          <w:bCs/>
        </w:rPr>
        <w:t xml:space="preserve">Given these findings and the complex pathways that could explain any relationship between SES or race with readmission, we did not incorporate SES variables or race into the measure. </w:t>
      </w:r>
    </w:p>
    <w:p w14:paraId="31678E98" w14:textId="4A82A4CF" w:rsidR="008027BA" w:rsidRDefault="00A841AB" w:rsidP="008027BA">
      <w:pPr>
        <w:keepNext/>
        <w:rPr>
          <w:u w:val="single"/>
        </w:rPr>
      </w:pPr>
      <w:r>
        <w:rPr>
          <w:b/>
        </w:rPr>
        <w:lastRenderedPageBreak/>
        <w:t>HWR</w:t>
      </w:r>
      <w:r w:rsidRPr="006E3E3A">
        <w:rPr>
          <w:b/>
        </w:rPr>
        <w:t xml:space="preserve"> </w:t>
      </w:r>
      <w:r w:rsidR="008027BA">
        <w:rPr>
          <w:b/>
        </w:rPr>
        <w:t>Decomposition Analysis</w:t>
      </w:r>
    </w:p>
    <w:tbl>
      <w:tblPr>
        <w:tblStyle w:val="TableGrid"/>
        <w:tblW w:w="0" w:type="auto"/>
        <w:tblLook w:val="04A0" w:firstRow="1" w:lastRow="0" w:firstColumn="1" w:lastColumn="0" w:noHBand="0" w:noVBand="1"/>
      </w:tblPr>
      <w:tblGrid>
        <w:gridCol w:w="4675"/>
        <w:gridCol w:w="2610"/>
        <w:gridCol w:w="2065"/>
      </w:tblGrid>
      <w:tr w:rsidR="008027BA" w14:paraId="1E2E2282" w14:textId="03487A03" w:rsidTr="008027BA">
        <w:trPr>
          <w:tblHeader/>
        </w:trPr>
        <w:tc>
          <w:tcPr>
            <w:tcW w:w="4675" w:type="dxa"/>
            <w:shd w:val="clear" w:color="auto" w:fill="B8CCE4" w:themeFill="accent1" w:themeFillTint="66"/>
            <w:vAlign w:val="center"/>
          </w:tcPr>
          <w:p w14:paraId="6CD63568" w14:textId="4E12490B" w:rsidR="008027BA" w:rsidRDefault="008027BA" w:rsidP="008027BA">
            <w:r w:rsidRPr="00A00C82">
              <w:rPr>
                <w:b/>
              </w:rPr>
              <w:t>Parameter</w:t>
            </w:r>
          </w:p>
        </w:tc>
        <w:tc>
          <w:tcPr>
            <w:tcW w:w="2610" w:type="dxa"/>
            <w:shd w:val="clear" w:color="auto" w:fill="B8CCE4" w:themeFill="accent1" w:themeFillTint="66"/>
            <w:vAlign w:val="center"/>
          </w:tcPr>
          <w:p w14:paraId="70CBCEF7" w14:textId="5EB5A439" w:rsidR="008027BA" w:rsidRDefault="008027BA" w:rsidP="008027BA">
            <w:r>
              <w:rPr>
                <w:b/>
              </w:rPr>
              <w:t>E</w:t>
            </w:r>
            <w:r w:rsidRPr="00A00C82">
              <w:rPr>
                <w:b/>
              </w:rPr>
              <w:t>stimate</w:t>
            </w:r>
            <w:r>
              <w:rPr>
                <w:b/>
              </w:rPr>
              <w:t xml:space="preserve"> (Standard Error)</w:t>
            </w:r>
          </w:p>
        </w:tc>
        <w:tc>
          <w:tcPr>
            <w:tcW w:w="2065" w:type="dxa"/>
            <w:shd w:val="clear" w:color="auto" w:fill="B8CCE4" w:themeFill="accent1" w:themeFillTint="66"/>
            <w:vAlign w:val="center"/>
          </w:tcPr>
          <w:p w14:paraId="55CFC10E" w14:textId="71206826" w:rsidR="008027BA" w:rsidRDefault="008027BA" w:rsidP="008027BA">
            <w:r>
              <w:rPr>
                <w:b/>
              </w:rPr>
              <w:t>P-value</w:t>
            </w:r>
          </w:p>
        </w:tc>
      </w:tr>
      <w:tr w:rsidR="008027BA" w14:paraId="644B2D91" w14:textId="3B610D46" w:rsidTr="008027BA">
        <w:trPr>
          <w:tblHeader/>
        </w:trPr>
        <w:tc>
          <w:tcPr>
            <w:tcW w:w="4675" w:type="dxa"/>
          </w:tcPr>
          <w:p w14:paraId="6AEEA8B2" w14:textId="557C34A8" w:rsidR="008027BA" w:rsidRPr="00A00C82" w:rsidRDefault="008027BA" w:rsidP="008027BA">
            <w:pPr>
              <w:contextualSpacing/>
              <w:rPr>
                <w:b/>
              </w:rPr>
            </w:pPr>
            <w:r w:rsidRPr="00A00C82">
              <w:rPr>
                <w:b/>
              </w:rPr>
              <w:t>Dual Eligible</w:t>
            </w:r>
            <w:r>
              <w:rPr>
                <w:b/>
              </w:rPr>
              <w:t xml:space="preserve"> – P</w:t>
            </w:r>
            <w:r w:rsidRPr="00A00C82">
              <w:rPr>
                <w:b/>
              </w:rPr>
              <w:t>atient</w:t>
            </w:r>
            <w:r>
              <w:rPr>
                <w:b/>
              </w:rPr>
              <w:t>-Level – Medicine</w:t>
            </w:r>
          </w:p>
        </w:tc>
        <w:tc>
          <w:tcPr>
            <w:tcW w:w="2610" w:type="dxa"/>
            <w:vAlign w:val="center"/>
          </w:tcPr>
          <w:p w14:paraId="60CA9BD7" w14:textId="18FD03C0" w:rsidR="008027BA" w:rsidRPr="006319AB" w:rsidRDefault="008027BA" w:rsidP="008027BA">
            <w:r w:rsidRPr="006319AB">
              <w:t>0.0599 (0.00433)</w:t>
            </w:r>
          </w:p>
        </w:tc>
        <w:tc>
          <w:tcPr>
            <w:tcW w:w="2065" w:type="dxa"/>
            <w:vAlign w:val="center"/>
          </w:tcPr>
          <w:p w14:paraId="57C96597" w14:textId="4881ECAA" w:rsidR="008027BA" w:rsidRPr="006319AB" w:rsidRDefault="008027BA" w:rsidP="008027BA">
            <w:r w:rsidRPr="006319AB">
              <w:t>&lt;.0001</w:t>
            </w:r>
          </w:p>
        </w:tc>
      </w:tr>
      <w:tr w:rsidR="008027BA" w14:paraId="653CA151" w14:textId="197641F5" w:rsidTr="008027BA">
        <w:trPr>
          <w:tblHeader/>
        </w:trPr>
        <w:tc>
          <w:tcPr>
            <w:tcW w:w="4675" w:type="dxa"/>
          </w:tcPr>
          <w:p w14:paraId="331FFA1B" w14:textId="4C47A78D" w:rsidR="008027BA" w:rsidRPr="00A00C82" w:rsidRDefault="008027BA" w:rsidP="008027BA">
            <w:pPr>
              <w:contextualSpacing/>
              <w:rPr>
                <w:b/>
              </w:rPr>
            </w:pPr>
            <w:r w:rsidRPr="00A00C82">
              <w:rPr>
                <w:b/>
              </w:rPr>
              <w:t>Dual Eligible</w:t>
            </w:r>
            <w:r>
              <w:rPr>
                <w:b/>
              </w:rPr>
              <w:t xml:space="preserve"> – </w:t>
            </w:r>
            <w:r w:rsidRPr="00A00C82">
              <w:rPr>
                <w:b/>
              </w:rPr>
              <w:t>Hospital</w:t>
            </w:r>
            <w:r>
              <w:rPr>
                <w:b/>
              </w:rPr>
              <w:t>-Level – Medicine</w:t>
            </w:r>
          </w:p>
        </w:tc>
        <w:tc>
          <w:tcPr>
            <w:tcW w:w="2610" w:type="dxa"/>
            <w:vAlign w:val="center"/>
          </w:tcPr>
          <w:p w14:paraId="6CCA9CE5" w14:textId="73F39979" w:rsidR="008027BA" w:rsidRPr="006319AB" w:rsidRDefault="008027BA" w:rsidP="008027BA">
            <w:r w:rsidRPr="006319AB">
              <w:t>0.3207 (0.0177)</w:t>
            </w:r>
          </w:p>
        </w:tc>
        <w:tc>
          <w:tcPr>
            <w:tcW w:w="2065" w:type="dxa"/>
            <w:vAlign w:val="center"/>
          </w:tcPr>
          <w:p w14:paraId="33F1FB26" w14:textId="63539B36" w:rsidR="008027BA" w:rsidRPr="006319AB" w:rsidRDefault="008027BA" w:rsidP="008027BA">
            <w:r w:rsidRPr="006319AB">
              <w:t>&lt;.0001</w:t>
            </w:r>
          </w:p>
        </w:tc>
      </w:tr>
      <w:tr w:rsidR="008027BA" w14:paraId="14C4B7B0" w14:textId="091A0E27" w:rsidTr="008027BA">
        <w:trPr>
          <w:tblHeader/>
        </w:trPr>
        <w:tc>
          <w:tcPr>
            <w:tcW w:w="4675" w:type="dxa"/>
          </w:tcPr>
          <w:p w14:paraId="62058953" w14:textId="73AEC772" w:rsidR="008027BA" w:rsidRPr="00A00C82" w:rsidRDefault="008027BA" w:rsidP="008027BA">
            <w:pPr>
              <w:contextualSpacing/>
              <w:rPr>
                <w:b/>
              </w:rPr>
            </w:pPr>
            <w:r w:rsidRPr="00A00C82">
              <w:rPr>
                <w:b/>
              </w:rPr>
              <w:t>Dual Eligible</w:t>
            </w:r>
            <w:r>
              <w:rPr>
                <w:b/>
              </w:rPr>
              <w:t xml:space="preserve"> – P</w:t>
            </w:r>
            <w:r w:rsidRPr="00A00C82">
              <w:rPr>
                <w:b/>
              </w:rPr>
              <w:t>atient</w:t>
            </w:r>
            <w:r>
              <w:rPr>
                <w:b/>
              </w:rPr>
              <w:t>-Level – Surgery</w:t>
            </w:r>
          </w:p>
        </w:tc>
        <w:tc>
          <w:tcPr>
            <w:tcW w:w="2610" w:type="dxa"/>
            <w:vAlign w:val="center"/>
          </w:tcPr>
          <w:p w14:paraId="09721A62" w14:textId="4341148A" w:rsidR="008027BA" w:rsidRPr="006319AB" w:rsidRDefault="008027BA" w:rsidP="008027BA">
            <w:r w:rsidRPr="006319AB">
              <w:rPr>
                <w:rFonts w:cs="Courier New"/>
                <w:color w:val="000000"/>
              </w:rPr>
              <w:t>0.1483 (0.00794)</w:t>
            </w:r>
          </w:p>
        </w:tc>
        <w:tc>
          <w:tcPr>
            <w:tcW w:w="2065" w:type="dxa"/>
            <w:vAlign w:val="center"/>
          </w:tcPr>
          <w:p w14:paraId="796AE449" w14:textId="385AA934" w:rsidR="008027BA" w:rsidRPr="006319AB" w:rsidRDefault="008027BA" w:rsidP="008027BA">
            <w:r w:rsidRPr="006319AB">
              <w:rPr>
                <w:rFonts w:cs="Courier New"/>
                <w:color w:val="000000"/>
              </w:rPr>
              <w:t>&lt;.0001</w:t>
            </w:r>
          </w:p>
        </w:tc>
      </w:tr>
      <w:tr w:rsidR="008027BA" w14:paraId="0DB946BC" w14:textId="4C6B4CE6" w:rsidTr="008027BA">
        <w:trPr>
          <w:tblHeader/>
        </w:trPr>
        <w:tc>
          <w:tcPr>
            <w:tcW w:w="4675" w:type="dxa"/>
          </w:tcPr>
          <w:p w14:paraId="59C79575" w14:textId="3147B69B" w:rsidR="008027BA" w:rsidRPr="00A00C82" w:rsidRDefault="008027BA" w:rsidP="008027BA">
            <w:pPr>
              <w:contextualSpacing/>
              <w:rPr>
                <w:b/>
              </w:rPr>
            </w:pPr>
            <w:r w:rsidRPr="00A00C82">
              <w:rPr>
                <w:b/>
              </w:rPr>
              <w:t>Dual Eligible</w:t>
            </w:r>
            <w:r>
              <w:rPr>
                <w:b/>
              </w:rPr>
              <w:t xml:space="preserve"> – </w:t>
            </w:r>
            <w:r w:rsidRPr="00A00C82">
              <w:rPr>
                <w:b/>
              </w:rPr>
              <w:t>Hospital</w:t>
            </w:r>
            <w:r>
              <w:rPr>
                <w:b/>
              </w:rPr>
              <w:t>-Level – Surgery</w:t>
            </w:r>
          </w:p>
        </w:tc>
        <w:tc>
          <w:tcPr>
            <w:tcW w:w="2610" w:type="dxa"/>
            <w:vAlign w:val="center"/>
          </w:tcPr>
          <w:p w14:paraId="58BD7E06" w14:textId="3F308936" w:rsidR="008027BA" w:rsidRPr="006319AB" w:rsidRDefault="008027BA" w:rsidP="008027BA">
            <w:r w:rsidRPr="006319AB">
              <w:rPr>
                <w:rFonts w:cs="Courier New"/>
                <w:color w:val="000000"/>
              </w:rPr>
              <w:t>0.4743 (0.0332)</w:t>
            </w:r>
          </w:p>
        </w:tc>
        <w:tc>
          <w:tcPr>
            <w:tcW w:w="2065" w:type="dxa"/>
            <w:vAlign w:val="center"/>
          </w:tcPr>
          <w:p w14:paraId="789881D2" w14:textId="338D3D09" w:rsidR="008027BA" w:rsidRPr="006319AB" w:rsidRDefault="008027BA" w:rsidP="008027BA">
            <w:r w:rsidRPr="006319AB">
              <w:rPr>
                <w:rFonts w:cs="Courier New"/>
                <w:color w:val="000000"/>
              </w:rPr>
              <w:t>&lt;.0001</w:t>
            </w:r>
          </w:p>
        </w:tc>
      </w:tr>
      <w:tr w:rsidR="008027BA" w14:paraId="119BB148" w14:textId="27E8E8EB" w:rsidTr="008027BA">
        <w:trPr>
          <w:tblHeader/>
        </w:trPr>
        <w:tc>
          <w:tcPr>
            <w:tcW w:w="4675" w:type="dxa"/>
          </w:tcPr>
          <w:p w14:paraId="17DB4E13" w14:textId="42589CCA" w:rsidR="008027BA" w:rsidRPr="00A00C82" w:rsidRDefault="008027BA" w:rsidP="008027BA">
            <w:pPr>
              <w:contextualSpacing/>
              <w:rPr>
                <w:b/>
              </w:rPr>
            </w:pPr>
            <w:r w:rsidRPr="00A00C82">
              <w:rPr>
                <w:b/>
              </w:rPr>
              <w:t>Dual Eligible</w:t>
            </w:r>
            <w:r>
              <w:rPr>
                <w:b/>
              </w:rPr>
              <w:t xml:space="preserve"> – P</w:t>
            </w:r>
            <w:r w:rsidRPr="00A00C82">
              <w:rPr>
                <w:b/>
              </w:rPr>
              <w:t>atient</w:t>
            </w:r>
            <w:r>
              <w:rPr>
                <w:b/>
              </w:rPr>
              <w:t>-Level – Cardio Respiratory</w:t>
            </w:r>
          </w:p>
        </w:tc>
        <w:tc>
          <w:tcPr>
            <w:tcW w:w="2610" w:type="dxa"/>
            <w:vAlign w:val="center"/>
          </w:tcPr>
          <w:p w14:paraId="534EF615" w14:textId="31F9F072" w:rsidR="008027BA" w:rsidRPr="006319AB" w:rsidRDefault="008027BA" w:rsidP="008027BA">
            <w:r w:rsidRPr="006319AB">
              <w:rPr>
                <w:rFonts w:cs="Courier New"/>
                <w:color w:val="000000"/>
              </w:rPr>
              <w:t>0.1043 (0.00634)</w:t>
            </w:r>
          </w:p>
        </w:tc>
        <w:tc>
          <w:tcPr>
            <w:tcW w:w="2065" w:type="dxa"/>
            <w:vAlign w:val="center"/>
          </w:tcPr>
          <w:p w14:paraId="174372E6" w14:textId="3717D23B" w:rsidR="008027BA" w:rsidRPr="006319AB" w:rsidRDefault="008027BA" w:rsidP="008027BA">
            <w:r w:rsidRPr="006319AB">
              <w:rPr>
                <w:rFonts w:cs="Courier New"/>
                <w:color w:val="000000"/>
              </w:rPr>
              <w:t>&lt;.0001</w:t>
            </w:r>
          </w:p>
        </w:tc>
      </w:tr>
      <w:tr w:rsidR="008027BA" w14:paraId="412C5C57" w14:textId="14365E33" w:rsidTr="008027BA">
        <w:trPr>
          <w:tblHeader/>
        </w:trPr>
        <w:tc>
          <w:tcPr>
            <w:tcW w:w="4675" w:type="dxa"/>
          </w:tcPr>
          <w:p w14:paraId="1CECD4D3" w14:textId="2E4CD49A" w:rsidR="008027BA" w:rsidRPr="00A00C82" w:rsidRDefault="008027BA" w:rsidP="008027BA">
            <w:pPr>
              <w:contextualSpacing/>
              <w:rPr>
                <w:b/>
              </w:rPr>
            </w:pPr>
            <w:r w:rsidRPr="00A00C82">
              <w:rPr>
                <w:b/>
              </w:rPr>
              <w:t>Dual Eligible</w:t>
            </w:r>
            <w:r>
              <w:rPr>
                <w:b/>
              </w:rPr>
              <w:t xml:space="preserve"> – </w:t>
            </w:r>
            <w:r w:rsidRPr="00A00C82">
              <w:rPr>
                <w:b/>
              </w:rPr>
              <w:t>Hospital</w:t>
            </w:r>
            <w:r>
              <w:rPr>
                <w:b/>
              </w:rPr>
              <w:t>-Level – Cardio Respiratory</w:t>
            </w:r>
          </w:p>
        </w:tc>
        <w:tc>
          <w:tcPr>
            <w:tcW w:w="2610" w:type="dxa"/>
            <w:vAlign w:val="center"/>
          </w:tcPr>
          <w:p w14:paraId="44AD68EF" w14:textId="0BE33632" w:rsidR="008027BA" w:rsidRPr="006319AB" w:rsidRDefault="008027BA" w:rsidP="008027BA">
            <w:r w:rsidRPr="006319AB">
              <w:rPr>
                <w:rFonts w:cs="Courier New"/>
                <w:color w:val="000000"/>
              </w:rPr>
              <w:t>0.4148 (0.0269)</w:t>
            </w:r>
          </w:p>
        </w:tc>
        <w:tc>
          <w:tcPr>
            <w:tcW w:w="2065" w:type="dxa"/>
            <w:vAlign w:val="center"/>
          </w:tcPr>
          <w:p w14:paraId="4B9F8133" w14:textId="4DA02849" w:rsidR="008027BA" w:rsidRPr="006319AB" w:rsidRDefault="008027BA" w:rsidP="008027BA">
            <w:r w:rsidRPr="006319AB">
              <w:rPr>
                <w:rFonts w:cs="Courier New"/>
                <w:color w:val="000000"/>
              </w:rPr>
              <w:t>&lt;.0001</w:t>
            </w:r>
          </w:p>
        </w:tc>
      </w:tr>
      <w:tr w:rsidR="008027BA" w14:paraId="6F38A83C" w14:textId="16B5A5BF" w:rsidTr="008027BA">
        <w:trPr>
          <w:tblHeader/>
        </w:trPr>
        <w:tc>
          <w:tcPr>
            <w:tcW w:w="4675" w:type="dxa"/>
          </w:tcPr>
          <w:p w14:paraId="5DDF5523" w14:textId="7DC70F64" w:rsidR="008027BA" w:rsidRPr="00A00C82" w:rsidRDefault="008027BA" w:rsidP="008027BA">
            <w:pPr>
              <w:contextualSpacing/>
              <w:rPr>
                <w:b/>
              </w:rPr>
            </w:pPr>
            <w:r w:rsidRPr="00A00C82">
              <w:rPr>
                <w:b/>
              </w:rPr>
              <w:t>Dual Eligible</w:t>
            </w:r>
            <w:r>
              <w:rPr>
                <w:b/>
              </w:rPr>
              <w:t xml:space="preserve"> – P</w:t>
            </w:r>
            <w:r w:rsidRPr="00A00C82">
              <w:rPr>
                <w:b/>
              </w:rPr>
              <w:t>atient</w:t>
            </w:r>
            <w:r>
              <w:rPr>
                <w:b/>
              </w:rPr>
              <w:t>-Level – Cardiovascular</w:t>
            </w:r>
          </w:p>
        </w:tc>
        <w:tc>
          <w:tcPr>
            <w:tcW w:w="2610" w:type="dxa"/>
            <w:vAlign w:val="center"/>
          </w:tcPr>
          <w:p w14:paraId="5BD21041" w14:textId="037C0CE2" w:rsidR="008027BA" w:rsidRPr="006319AB" w:rsidRDefault="008027BA" w:rsidP="008027BA">
            <w:r w:rsidRPr="006319AB">
              <w:rPr>
                <w:rFonts w:cs="Courier New"/>
                <w:color w:val="000000"/>
              </w:rPr>
              <w:t>0.1607 (0.0101)</w:t>
            </w:r>
          </w:p>
        </w:tc>
        <w:tc>
          <w:tcPr>
            <w:tcW w:w="2065" w:type="dxa"/>
            <w:vAlign w:val="center"/>
          </w:tcPr>
          <w:p w14:paraId="24C68713" w14:textId="286DC89B" w:rsidR="008027BA" w:rsidRPr="006319AB" w:rsidRDefault="008027BA" w:rsidP="008027BA">
            <w:r w:rsidRPr="006319AB">
              <w:rPr>
                <w:rFonts w:cs="Courier New"/>
                <w:color w:val="000000"/>
              </w:rPr>
              <w:t>&lt;.0001</w:t>
            </w:r>
          </w:p>
        </w:tc>
      </w:tr>
      <w:tr w:rsidR="008027BA" w14:paraId="28B67FAD" w14:textId="465C9396" w:rsidTr="008027BA">
        <w:trPr>
          <w:tblHeader/>
        </w:trPr>
        <w:tc>
          <w:tcPr>
            <w:tcW w:w="4675" w:type="dxa"/>
          </w:tcPr>
          <w:p w14:paraId="6B9AF8CF" w14:textId="522AE728" w:rsidR="008027BA" w:rsidRPr="00A00C82" w:rsidRDefault="008027BA" w:rsidP="008027BA">
            <w:pPr>
              <w:contextualSpacing/>
              <w:rPr>
                <w:b/>
              </w:rPr>
            </w:pPr>
            <w:r w:rsidRPr="00A00C82">
              <w:rPr>
                <w:b/>
              </w:rPr>
              <w:t>Dual Eligible</w:t>
            </w:r>
            <w:r>
              <w:rPr>
                <w:b/>
              </w:rPr>
              <w:t xml:space="preserve"> – </w:t>
            </w:r>
            <w:r w:rsidRPr="00A00C82">
              <w:rPr>
                <w:b/>
              </w:rPr>
              <w:t>Hospital</w:t>
            </w:r>
            <w:r>
              <w:rPr>
                <w:b/>
              </w:rPr>
              <w:t>-Level – Cardiovascular</w:t>
            </w:r>
          </w:p>
        </w:tc>
        <w:tc>
          <w:tcPr>
            <w:tcW w:w="2610" w:type="dxa"/>
            <w:vAlign w:val="center"/>
          </w:tcPr>
          <w:p w14:paraId="33481682" w14:textId="49995E84" w:rsidR="008027BA" w:rsidRPr="006319AB" w:rsidRDefault="008027BA" w:rsidP="008027BA">
            <w:r w:rsidRPr="006319AB">
              <w:rPr>
                <w:rFonts w:cs="Courier New"/>
                <w:color w:val="000000"/>
              </w:rPr>
              <w:t>0.5318 (0.0418)</w:t>
            </w:r>
          </w:p>
        </w:tc>
        <w:tc>
          <w:tcPr>
            <w:tcW w:w="2065" w:type="dxa"/>
            <w:vAlign w:val="center"/>
          </w:tcPr>
          <w:p w14:paraId="6F94560F" w14:textId="72FBF114" w:rsidR="008027BA" w:rsidRPr="006319AB" w:rsidRDefault="008027BA" w:rsidP="008027BA">
            <w:r w:rsidRPr="006319AB">
              <w:rPr>
                <w:rFonts w:cs="Courier New"/>
                <w:color w:val="000000"/>
              </w:rPr>
              <w:t>&lt;.0001</w:t>
            </w:r>
          </w:p>
        </w:tc>
      </w:tr>
      <w:tr w:rsidR="008027BA" w14:paraId="33D42C26" w14:textId="3D7537C8" w:rsidTr="008027BA">
        <w:trPr>
          <w:tblHeader/>
        </w:trPr>
        <w:tc>
          <w:tcPr>
            <w:tcW w:w="4675" w:type="dxa"/>
          </w:tcPr>
          <w:p w14:paraId="7C4CDDFF" w14:textId="031C89CF" w:rsidR="008027BA" w:rsidRPr="00A00C82" w:rsidRDefault="008027BA" w:rsidP="008027BA">
            <w:pPr>
              <w:contextualSpacing/>
              <w:rPr>
                <w:b/>
              </w:rPr>
            </w:pPr>
            <w:r w:rsidRPr="00A00C82">
              <w:rPr>
                <w:b/>
              </w:rPr>
              <w:t>Dual Eligible</w:t>
            </w:r>
            <w:r>
              <w:rPr>
                <w:b/>
              </w:rPr>
              <w:t xml:space="preserve"> – P</w:t>
            </w:r>
            <w:r w:rsidRPr="00A00C82">
              <w:rPr>
                <w:b/>
              </w:rPr>
              <w:t>atient</w:t>
            </w:r>
            <w:r>
              <w:rPr>
                <w:b/>
              </w:rPr>
              <w:t>-Level – Neurology</w:t>
            </w:r>
          </w:p>
        </w:tc>
        <w:tc>
          <w:tcPr>
            <w:tcW w:w="2610" w:type="dxa"/>
            <w:vAlign w:val="center"/>
          </w:tcPr>
          <w:p w14:paraId="2BED6AC9" w14:textId="31CB1D2D" w:rsidR="008027BA" w:rsidRPr="006319AB" w:rsidRDefault="008027BA" w:rsidP="008027BA">
            <w:r w:rsidRPr="006319AB">
              <w:rPr>
                <w:rFonts w:cs="Courier New"/>
                <w:color w:val="000000"/>
              </w:rPr>
              <w:t>0.0874 (0.0129)</w:t>
            </w:r>
          </w:p>
        </w:tc>
        <w:tc>
          <w:tcPr>
            <w:tcW w:w="2065" w:type="dxa"/>
            <w:vAlign w:val="center"/>
          </w:tcPr>
          <w:p w14:paraId="4E267144" w14:textId="099F405F" w:rsidR="008027BA" w:rsidRPr="006319AB" w:rsidRDefault="008027BA" w:rsidP="008027BA">
            <w:r w:rsidRPr="006319AB">
              <w:rPr>
                <w:rFonts w:cs="Courier New"/>
                <w:color w:val="000000"/>
              </w:rPr>
              <w:t>&lt;.0001</w:t>
            </w:r>
          </w:p>
        </w:tc>
      </w:tr>
      <w:tr w:rsidR="008027BA" w14:paraId="239BCEA7" w14:textId="1455493F" w:rsidTr="008027BA">
        <w:trPr>
          <w:tblHeader/>
        </w:trPr>
        <w:tc>
          <w:tcPr>
            <w:tcW w:w="4675" w:type="dxa"/>
          </w:tcPr>
          <w:p w14:paraId="6DAE7D9A" w14:textId="16985C80" w:rsidR="008027BA" w:rsidRPr="00A00C82" w:rsidRDefault="008027BA" w:rsidP="008027BA">
            <w:pPr>
              <w:contextualSpacing/>
              <w:rPr>
                <w:b/>
              </w:rPr>
            </w:pPr>
            <w:r w:rsidRPr="00A00C82">
              <w:rPr>
                <w:b/>
              </w:rPr>
              <w:t>Dual Eligible</w:t>
            </w:r>
            <w:r>
              <w:rPr>
                <w:b/>
              </w:rPr>
              <w:t xml:space="preserve"> – </w:t>
            </w:r>
            <w:r w:rsidRPr="00A00C82">
              <w:rPr>
                <w:b/>
              </w:rPr>
              <w:t>Hospital</w:t>
            </w:r>
            <w:r>
              <w:rPr>
                <w:b/>
              </w:rPr>
              <w:t>-Level – Neurology</w:t>
            </w:r>
          </w:p>
        </w:tc>
        <w:tc>
          <w:tcPr>
            <w:tcW w:w="2610" w:type="dxa"/>
            <w:vAlign w:val="center"/>
          </w:tcPr>
          <w:p w14:paraId="5A1567F1" w14:textId="103A702A" w:rsidR="008027BA" w:rsidRPr="006319AB" w:rsidRDefault="008027BA" w:rsidP="008027BA">
            <w:r w:rsidRPr="006319AB">
              <w:rPr>
                <w:rFonts w:cs="Courier New"/>
                <w:color w:val="000000"/>
              </w:rPr>
              <w:t>0.4997 (0.0526)</w:t>
            </w:r>
          </w:p>
        </w:tc>
        <w:tc>
          <w:tcPr>
            <w:tcW w:w="2065" w:type="dxa"/>
            <w:vAlign w:val="center"/>
          </w:tcPr>
          <w:p w14:paraId="02417114" w14:textId="38BF0CA8" w:rsidR="008027BA" w:rsidRPr="006319AB" w:rsidRDefault="008027BA" w:rsidP="008027BA">
            <w:r w:rsidRPr="006319AB">
              <w:rPr>
                <w:rFonts w:cs="Courier New"/>
                <w:color w:val="000000"/>
              </w:rPr>
              <w:t>&lt;.0001</w:t>
            </w:r>
          </w:p>
        </w:tc>
      </w:tr>
      <w:tr w:rsidR="008027BA" w14:paraId="68D9B1AD" w14:textId="092BB5C8" w:rsidTr="008027BA">
        <w:trPr>
          <w:tblHeader/>
        </w:trPr>
        <w:tc>
          <w:tcPr>
            <w:tcW w:w="4675" w:type="dxa"/>
          </w:tcPr>
          <w:p w14:paraId="2B53B3F7" w14:textId="6D52078F" w:rsidR="008027BA" w:rsidRPr="00A00C82" w:rsidRDefault="008027BA" w:rsidP="008027BA">
            <w:pPr>
              <w:contextualSpacing/>
              <w:rPr>
                <w:b/>
              </w:rPr>
            </w:pPr>
            <w:r>
              <w:rPr>
                <w:b/>
              </w:rPr>
              <w:t xml:space="preserve">African American – </w:t>
            </w:r>
            <w:r w:rsidRPr="00A00C82">
              <w:rPr>
                <w:b/>
              </w:rPr>
              <w:t>Patient</w:t>
            </w:r>
            <w:r>
              <w:rPr>
                <w:b/>
              </w:rPr>
              <w:t>-Level – Medicine</w:t>
            </w:r>
          </w:p>
        </w:tc>
        <w:tc>
          <w:tcPr>
            <w:tcW w:w="2610" w:type="dxa"/>
            <w:vAlign w:val="center"/>
          </w:tcPr>
          <w:p w14:paraId="452BC64C" w14:textId="2CA40B25" w:rsidR="008027BA" w:rsidRPr="000916E1" w:rsidRDefault="008027BA" w:rsidP="008027BA">
            <w:r w:rsidRPr="000916E1">
              <w:rPr>
                <w:rFonts w:cs="Courier New"/>
                <w:color w:val="000000"/>
              </w:rPr>
              <w:t>0.0374 (0.00558)</w:t>
            </w:r>
          </w:p>
        </w:tc>
        <w:tc>
          <w:tcPr>
            <w:tcW w:w="2065" w:type="dxa"/>
            <w:vAlign w:val="center"/>
          </w:tcPr>
          <w:p w14:paraId="3B633AF6" w14:textId="2C4C60D6" w:rsidR="008027BA" w:rsidRPr="000916E1" w:rsidRDefault="008027BA" w:rsidP="008027BA">
            <w:r w:rsidRPr="000916E1">
              <w:t>&lt;.0001</w:t>
            </w:r>
          </w:p>
        </w:tc>
      </w:tr>
      <w:tr w:rsidR="008027BA" w14:paraId="71EDD31A" w14:textId="575BD3C6" w:rsidTr="008027BA">
        <w:trPr>
          <w:tblHeader/>
        </w:trPr>
        <w:tc>
          <w:tcPr>
            <w:tcW w:w="4675" w:type="dxa"/>
          </w:tcPr>
          <w:p w14:paraId="0282308A" w14:textId="684F65B4" w:rsidR="008027BA" w:rsidRPr="00A00C82" w:rsidRDefault="008027BA" w:rsidP="008027BA">
            <w:pPr>
              <w:contextualSpacing/>
              <w:rPr>
                <w:b/>
              </w:rPr>
            </w:pPr>
            <w:r>
              <w:rPr>
                <w:b/>
              </w:rPr>
              <w:t xml:space="preserve">African American – </w:t>
            </w:r>
            <w:r w:rsidRPr="00A00C82">
              <w:rPr>
                <w:b/>
              </w:rPr>
              <w:t>Hospital</w:t>
            </w:r>
            <w:r>
              <w:rPr>
                <w:b/>
              </w:rPr>
              <w:t>-Level – Medicine</w:t>
            </w:r>
          </w:p>
        </w:tc>
        <w:tc>
          <w:tcPr>
            <w:tcW w:w="2610" w:type="dxa"/>
            <w:vAlign w:val="center"/>
          </w:tcPr>
          <w:p w14:paraId="578CC6D1" w14:textId="44EE2D41" w:rsidR="008027BA" w:rsidRPr="000916E1" w:rsidRDefault="008027BA" w:rsidP="008027BA">
            <w:r w:rsidRPr="000916E1">
              <w:rPr>
                <w:rFonts w:cs="Courier New"/>
                <w:color w:val="000000"/>
              </w:rPr>
              <w:t>0.3208 (0.0119)</w:t>
            </w:r>
          </w:p>
        </w:tc>
        <w:tc>
          <w:tcPr>
            <w:tcW w:w="2065" w:type="dxa"/>
            <w:vAlign w:val="center"/>
          </w:tcPr>
          <w:p w14:paraId="4EB431F8" w14:textId="004AF9BF" w:rsidR="008027BA" w:rsidRPr="000916E1" w:rsidRDefault="008027BA" w:rsidP="008027BA">
            <w:r w:rsidRPr="000916E1">
              <w:t>&lt;.0001</w:t>
            </w:r>
          </w:p>
        </w:tc>
      </w:tr>
      <w:tr w:rsidR="008027BA" w14:paraId="7E6ADA68" w14:textId="171ED46A" w:rsidTr="008027BA">
        <w:trPr>
          <w:tblHeader/>
        </w:trPr>
        <w:tc>
          <w:tcPr>
            <w:tcW w:w="4675" w:type="dxa"/>
          </w:tcPr>
          <w:p w14:paraId="4BC88EBF" w14:textId="548193CD" w:rsidR="008027BA" w:rsidRPr="00A00C82" w:rsidRDefault="008027BA" w:rsidP="008027BA">
            <w:pPr>
              <w:contextualSpacing/>
              <w:rPr>
                <w:b/>
              </w:rPr>
            </w:pPr>
            <w:r>
              <w:rPr>
                <w:b/>
              </w:rPr>
              <w:t xml:space="preserve">African American – </w:t>
            </w:r>
            <w:r w:rsidRPr="00A00C82">
              <w:rPr>
                <w:b/>
              </w:rPr>
              <w:t>Patient</w:t>
            </w:r>
            <w:r>
              <w:rPr>
                <w:b/>
              </w:rPr>
              <w:t>-Level – Surgery</w:t>
            </w:r>
          </w:p>
        </w:tc>
        <w:tc>
          <w:tcPr>
            <w:tcW w:w="2610" w:type="dxa"/>
            <w:vAlign w:val="center"/>
          </w:tcPr>
          <w:p w14:paraId="68190A6E" w14:textId="2282FC3C" w:rsidR="008027BA" w:rsidRPr="000916E1" w:rsidRDefault="008027BA" w:rsidP="008027BA">
            <w:r w:rsidRPr="000916E1">
              <w:rPr>
                <w:rFonts w:cs="Courier New"/>
                <w:color w:val="000000"/>
              </w:rPr>
              <w:t>0.0959 (0.0103)</w:t>
            </w:r>
          </w:p>
        </w:tc>
        <w:tc>
          <w:tcPr>
            <w:tcW w:w="2065" w:type="dxa"/>
            <w:vAlign w:val="center"/>
          </w:tcPr>
          <w:p w14:paraId="23B1FE05" w14:textId="7F7DC5EB" w:rsidR="008027BA" w:rsidRPr="000916E1" w:rsidRDefault="008027BA" w:rsidP="008027BA">
            <w:r w:rsidRPr="000916E1">
              <w:rPr>
                <w:rFonts w:cs="Courier New"/>
                <w:color w:val="000000"/>
              </w:rPr>
              <w:t>&lt;.0001</w:t>
            </w:r>
          </w:p>
        </w:tc>
      </w:tr>
      <w:tr w:rsidR="008027BA" w14:paraId="0E969B2D" w14:textId="3557D39E" w:rsidTr="008027BA">
        <w:trPr>
          <w:tblHeader/>
        </w:trPr>
        <w:tc>
          <w:tcPr>
            <w:tcW w:w="4675" w:type="dxa"/>
          </w:tcPr>
          <w:p w14:paraId="6449CAC1" w14:textId="219A7037" w:rsidR="008027BA" w:rsidRPr="00A00C82" w:rsidRDefault="008027BA" w:rsidP="008027BA">
            <w:pPr>
              <w:contextualSpacing/>
              <w:rPr>
                <w:b/>
              </w:rPr>
            </w:pPr>
            <w:r>
              <w:rPr>
                <w:b/>
              </w:rPr>
              <w:t xml:space="preserve">African American – </w:t>
            </w:r>
            <w:r w:rsidRPr="00A00C82">
              <w:rPr>
                <w:b/>
              </w:rPr>
              <w:t>Hospital</w:t>
            </w:r>
            <w:r>
              <w:rPr>
                <w:b/>
              </w:rPr>
              <w:t>-Level – Surgery</w:t>
            </w:r>
          </w:p>
        </w:tc>
        <w:tc>
          <w:tcPr>
            <w:tcW w:w="2610" w:type="dxa"/>
            <w:vAlign w:val="center"/>
          </w:tcPr>
          <w:p w14:paraId="7DF43B6E" w14:textId="086000EB" w:rsidR="008027BA" w:rsidRPr="000916E1" w:rsidRDefault="008027BA" w:rsidP="008027BA">
            <w:r w:rsidRPr="000916E1">
              <w:rPr>
                <w:rFonts w:cs="Courier New"/>
                <w:color w:val="000000"/>
              </w:rPr>
              <w:t>0.4423 (0.0214)</w:t>
            </w:r>
          </w:p>
        </w:tc>
        <w:tc>
          <w:tcPr>
            <w:tcW w:w="2065" w:type="dxa"/>
            <w:vAlign w:val="center"/>
          </w:tcPr>
          <w:p w14:paraId="1D98EBB1" w14:textId="0C946E4A" w:rsidR="008027BA" w:rsidRPr="000916E1" w:rsidRDefault="008027BA" w:rsidP="008027BA">
            <w:r w:rsidRPr="000916E1">
              <w:rPr>
                <w:rFonts w:cs="Courier New"/>
                <w:color w:val="000000"/>
              </w:rPr>
              <w:t>&lt;.0001</w:t>
            </w:r>
          </w:p>
        </w:tc>
      </w:tr>
      <w:tr w:rsidR="008027BA" w14:paraId="193A05F9" w14:textId="4A5FC1BE" w:rsidTr="008027BA">
        <w:trPr>
          <w:tblHeader/>
        </w:trPr>
        <w:tc>
          <w:tcPr>
            <w:tcW w:w="4675" w:type="dxa"/>
          </w:tcPr>
          <w:p w14:paraId="42CBD7D4" w14:textId="7C5593A3" w:rsidR="008027BA" w:rsidRPr="00A00C82" w:rsidRDefault="008027BA" w:rsidP="008027BA">
            <w:pPr>
              <w:contextualSpacing/>
              <w:rPr>
                <w:b/>
              </w:rPr>
            </w:pPr>
            <w:r>
              <w:rPr>
                <w:b/>
              </w:rPr>
              <w:t xml:space="preserve">African American – </w:t>
            </w:r>
            <w:r w:rsidRPr="00A00C82">
              <w:rPr>
                <w:b/>
              </w:rPr>
              <w:t>Patient</w:t>
            </w:r>
            <w:r>
              <w:rPr>
                <w:b/>
              </w:rPr>
              <w:t>-Level – Cardio Respiratory</w:t>
            </w:r>
          </w:p>
        </w:tc>
        <w:tc>
          <w:tcPr>
            <w:tcW w:w="2610" w:type="dxa"/>
            <w:vAlign w:val="center"/>
          </w:tcPr>
          <w:p w14:paraId="2123A8A0" w14:textId="7D5078FF" w:rsidR="008027BA" w:rsidRPr="000916E1" w:rsidRDefault="008027BA" w:rsidP="008027BA">
            <w:r w:rsidRPr="000916E1">
              <w:rPr>
                <w:rFonts w:cs="Courier New"/>
                <w:color w:val="000000"/>
              </w:rPr>
              <w:t>0.0470 (0.00884)</w:t>
            </w:r>
          </w:p>
        </w:tc>
        <w:tc>
          <w:tcPr>
            <w:tcW w:w="2065" w:type="dxa"/>
            <w:vAlign w:val="center"/>
          </w:tcPr>
          <w:p w14:paraId="7008B5F9" w14:textId="6C105A29" w:rsidR="008027BA" w:rsidRPr="000916E1" w:rsidRDefault="008027BA" w:rsidP="008027BA">
            <w:r w:rsidRPr="000916E1">
              <w:rPr>
                <w:rFonts w:cs="Courier New"/>
                <w:color w:val="000000"/>
              </w:rPr>
              <w:t>&lt;.0001</w:t>
            </w:r>
          </w:p>
        </w:tc>
      </w:tr>
      <w:tr w:rsidR="008027BA" w14:paraId="70C0CB4F" w14:textId="1084C14B" w:rsidTr="008027BA">
        <w:trPr>
          <w:tblHeader/>
        </w:trPr>
        <w:tc>
          <w:tcPr>
            <w:tcW w:w="4675" w:type="dxa"/>
          </w:tcPr>
          <w:p w14:paraId="6203E650" w14:textId="1973A58E" w:rsidR="008027BA" w:rsidRPr="00A00C82" w:rsidRDefault="008027BA" w:rsidP="008027BA">
            <w:pPr>
              <w:contextualSpacing/>
              <w:rPr>
                <w:b/>
              </w:rPr>
            </w:pPr>
            <w:r>
              <w:rPr>
                <w:b/>
              </w:rPr>
              <w:t xml:space="preserve">African American – </w:t>
            </w:r>
            <w:r w:rsidRPr="00A00C82">
              <w:rPr>
                <w:b/>
              </w:rPr>
              <w:t>Hospital</w:t>
            </w:r>
            <w:r>
              <w:rPr>
                <w:b/>
              </w:rPr>
              <w:t>-Level – Cardio Respiratory</w:t>
            </w:r>
          </w:p>
        </w:tc>
        <w:tc>
          <w:tcPr>
            <w:tcW w:w="2610" w:type="dxa"/>
            <w:vAlign w:val="center"/>
          </w:tcPr>
          <w:p w14:paraId="4AA7887E" w14:textId="7A6386AE" w:rsidR="008027BA" w:rsidRPr="000916E1" w:rsidRDefault="008027BA" w:rsidP="008027BA">
            <w:r w:rsidRPr="000916E1">
              <w:rPr>
                <w:rFonts w:cs="Courier New"/>
                <w:color w:val="000000"/>
              </w:rPr>
              <w:t>0.3386 (0.0186)</w:t>
            </w:r>
          </w:p>
        </w:tc>
        <w:tc>
          <w:tcPr>
            <w:tcW w:w="2065" w:type="dxa"/>
            <w:vAlign w:val="center"/>
          </w:tcPr>
          <w:p w14:paraId="182C262A" w14:textId="4D7B5BFC" w:rsidR="008027BA" w:rsidRPr="000916E1" w:rsidRDefault="008027BA" w:rsidP="008027BA">
            <w:r w:rsidRPr="000916E1">
              <w:rPr>
                <w:rFonts w:cs="Courier New"/>
                <w:color w:val="000000"/>
              </w:rPr>
              <w:t>&lt;.0001</w:t>
            </w:r>
          </w:p>
        </w:tc>
      </w:tr>
      <w:tr w:rsidR="008027BA" w14:paraId="45F18636" w14:textId="1FB46490" w:rsidTr="008027BA">
        <w:trPr>
          <w:tblHeader/>
        </w:trPr>
        <w:tc>
          <w:tcPr>
            <w:tcW w:w="4675" w:type="dxa"/>
          </w:tcPr>
          <w:p w14:paraId="2F447C6D" w14:textId="3D2B988C" w:rsidR="008027BA" w:rsidRPr="00A00C82" w:rsidRDefault="008027BA" w:rsidP="008027BA">
            <w:pPr>
              <w:contextualSpacing/>
              <w:rPr>
                <w:b/>
              </w:rPr>
            </w:pPr>
            <w:r>
              <w:rPr>
                <w:b/>
              </w:rPr>
              <w:t xml:space="preserve">African American – </w:t>
            </w:r>
            <w:r w:rsidRPr="00A00C82">
              <w:rPr>
                <w:b/>
              </w:rPr>
              <w:t>Patient</w:t>
            </w:r>
            <w:r>
              <w:rPr>
                <w:b/>
              </w:rPr>
              <w:t>-Level – Cardiovascular</w:t>
            </w:r>
          </w:p>
        </w:tc>
        <w:tc>
          <w:tcPr>
            <w:tcW w:w="2610" w:type="dxa"/>
            <w:vAlign w:val="center"/>
          </w:tcPr>
          <w:p w14:paraId="71663CA2" w14:textId="1A2B22E6" w:rsidR="008027BA" w:rsidRPr="000916E1" w:rsidRDefault="008027BA" w:rsidP="008027BA">
            <w:r w:rsidRPr="000916E1">
              <w:rPr>
                <w:rFonts w:cs="Courier New"/>
                <w:color w:val="000000"/>
              </w:rPr>
              <w:t>0.0763 (0.0131)</w:t>
            </w:r>
          </w:p>
        </w:tc>
        <w:tc>
          <w:tcPr>
            <w:tcW w:w="2065" w:type="dxa"/>
            <w:vAlign w:val="center"/>
          </w:tcPr>
          <w:p w14:paraId="7A310749" w14:textId="4238FFA6" w:rsidR="008027BA" w:rsidRPr="000916E1" w:rsidRDefault="008027BA" w:rsidP="008027BA">
            <w:r w:rsidRPr="000916E1">
              <w:rPr>
                <w:rFonts w:cs="Courier New"/>
                <w:color w:val="000000"/>
              </w:rPr>
              <w:t>&lt;.0001</w:t>
            </w:r>
          </w:p>
        </w:tc>
      </w:tr>
      <w:tr w:rsidR="008027BA" w14:paraId="3223D799" w14:textId="37D4DACF" w:rsidTr="008027BA">
        <w:trPr>
          <w:tblHeader/>
        </w:trPr>
        <w:tc>
          <w:tcPr>
            <w:tcW w:w="4675" w:type="dxa"/>
          </w:tcPr>
          <w:p w14:paraId="5DB6A7D9" w14:textId="5361866F" w:rsidR="008027BA" w:rsidRPr="00A00C82" w:rsidRDefault="008027BA" w:rsidP="008027BA">
            <w:pPr>
              <w:contextualSpacing/>
              <w:rPr>
                <w:b/>
              </w:rPr>
            </w:pPr>
            <w:r>
              <w:rPr>
                <w:b/>
              </w:rPr>
              <w:t xml:space="preserve">African American – </w:t>
            </w:r>
            <w:r w:rsidRPr="00A00C82">
              <w:rPr>
                <w:b/>
              </w:rPr>
              <w:t>Hospital</w:t>
            </w:r>
            <w:r>
              <w:rPr>
                <w:b/>
              </w:rPr>
              <w:t>-Level – Cardiovascular</w:t>
            </w:r>
          </w:p>
        </w:tc>
        <w:tc>
          <w:tcPr>
            <w:tcW w:w="2610" w:type="dxa"/>
            <w:vAlign w:val="center"/>
          </w:tcPr>
          <w:p w14:paraId="43520EB1" w14:textId="495D8026" w:rsidR="008027BA" w:rsidRPr="000916E1" w:rsidRDefault="008027BA" w:rsidP="008027BA">
            <w:r w:rsidRPr="000916E1">
              <w:rPr>
                <w:rFonts w:cs="Courier New"/>
                <w:color w:val="000000"/>
              </w:rPr>
              <w:t>0.3501 (0.0269)</w:t>
            </w:r>
          </w:p>
        </w:tc>
        <w:tc>
          <w:tcPr>
            <w:tcW w:w="2065" w:type="dxa"/>
            <w:vAlign w:val="center"/>
          </w:tcPr>
          <w:p w14:paraId="3E0A747E" w14:textId="55DA6EAE" w:rsidR="008027BA" w:rsidRPr="000916E1" w:rsidRDefault="008027BA" w:rsidP="008027BA">
            <w:r w:rsidRPr="000916E1">
              <w:rPr>
                <w:rFonts w:cs="Courier New"/>
                <w:color w:val="000000"/>
              </w:rPr>
              <w:t>&lt;.0001</w:t>
            </w:r>
          </w:p>
        </w:tc>
      </w:tr>
      <w:tr w:rsidR="008027BA" w14:paraId="337C0478" w14:textId="5AD2CDE2" w:rsidTr="008027BA">
        <w:trPr>
          <w:tblHeader/>
        </w:trPr>
        <w:tc>
          <w:tcPr>
            <w:tcW w:w="4675" w:type="dxa"/>
          </w:tcPr>
          <w:p w14:paraId="2412C98C" w14:textId="23823C98" w:rsidR="008027BA" w:rsidRPr="00A00C82" w:rsidRDefault="008027BA" w:rsidP="008027BA">
            <w:pPr>
              <w:contextualSpacing/>
              <w:rPr>
                <w:b/>
              </w:rPr>
            </w:pPr>
            <w:r>
              <w:rPr>
                <w:b/>
              </w:rPr>
              <w:t xml:space="preserve">African American – </w:t>
            </w:r>
            <w:r w:rsidRPr="00A00C82">
              <w:rPr>
                <w:b/>
              </w:rPr>
              <w:t>Patient</w:t>
            </w:r>
            <w:r>
              <w:rPr>
                <w:b/>
              </w:rPr>
              <w:t>-Level – Neurology</w:t>
            </w:r>
          </w:p>
        </w:tc>
        <w:tc>
          <w:tcPr>
            <w:tcW w:w="2610" w:type="dxa"/>
            <w:vAlign w:val="center"/>
          </w:tcPr>
          <w:p w14:paraId="7FCAC5D7" w14:textId="0A3A83BB" w:rsidR="008027BA" w:rsidRPr="000916E1" w:rsidRDefault="008027BA" w:rsidP="008027BA">
            <w:r w:rsidRPr="000916E1">
              <w:rPr>
                <w:rFonts w:cs="Courier New"/>
                <w:color w:val="000000"/>
              </w:rPr>
              <w:t>0.1200 (0.0155)</w:t>
            </w:r>
          </w:p>
        </w:tc>
        <w:tc>
          <w:tcPr>
            <w:tcW w:w="2065" w:type="dxa"/>
            <w:vAlign w:val="center"/>
          </w:tcPr>
          <w:p w14:paraId="2114BBF9" w14:textId="7D810CBE" w:rsidR="008027BA" w:rsidRPr="000916E1" w:rsidRDefault="008027BA" w:rsidP="008027BA">
            <w:r w:rsidRPr="000916E1">
              <w:rPr>
                <w:rFonts w:cs="Courier New"/>
                <w:color w:val="000000"/>
              </w:rPr>
              <w:t>&lt;.0001</w:t>
            </w:r>
          </w:p>
        </w:tc>
      </w:tr>
      <w:tr w:rsidR="008027BA" w14:paraId="53A8A950" w14:textId="4CE0F0F9" w:rsidTr="008027BA">
        <w:trPr>
          <w:tblHeader/>
        </w:trPr>
        <w:tc>
          <w:tcPr>
            <w:tcW w:w="4675" w:type="dxa"/>
          </w:tcPr>
          <w:p w14:paraId="37C42E3C" w14:textId="2A4A9D27" w:rsidR="008027BA" w:rsidRPr="00A00C82" w:rsidRDefault="008027BA" w:rsidP="008027BA">
            <w:pPr>
              <w:contextualSpacing/>
              <w:rPr>
                <w:b/>
              </w:rPr>
            </w:pPr>
            <w:r>
              <w:rPr>
                <w:b/>
              </w:rPr>
              <w:t xml:space="preserve">African American – </w:t>
            </w:r>
            <w:r w:rsidRPr="00A00C82">
              <w:rPr>
                <w:b/>
              </w:rPr>
              <w:t>Hospital</w:t>
            </w:r>
            <w:r>
              <w:rPr>
                <w:b/>
              </w:rPr>
              <w:t>-Level – Neurology</w:t>
            </w:r>
          </w:p>
        </w:tc>
        <w:tc>
          <w:tcPr>
            <w:tcW w:w="2610" w:type="dxa"/>
            <w:vAlign w:val="center"/>
          </w:tcPr>
          <w:p w14:paraId="7C2E87F0" w14:textId="21EACE1F" w:rsidR="008027BA" w:rsidRPr="000916E1" w:rsidRDefault="008027BA" w:rsidP="008027BA">
            <w:r w:rsidRPr="000916E1">
              <w:rPr>
                <w:rFonts w:cs="Courier New"/>
                <w:color w:val="000000"/>
              </w:rPr>
              <w:t>0.5252 (0.0331)</w:t>
            </w:r>
          </w:p>
        </w:tc>
        <w:tc>
          <w:tcPr>
            <w:tcW w:w="2065" w:type="dxa"/>
            <w:vAlign w:val="center"/>
          </w:tcPr>
          <w:p w14:paraId="202201B8" w14:textId="31EC2F57" w:rsidR="008027BA" w:rsidRPr="000916E1" w:rsidRDefault="008027BA" w:rsidP="008027BA">
            <w:r w:rsidRPr="000916E1">
              <w:rPr>
                <w:rFonts w:cs="Courier New"/>
                <w:color w:val="000000"/>
              </w:rPr>
              <w:t>&lt;.0001</w:t>
            </w:r>
          </w:p>
        </w:tc>
      </w:tr>
      <w:tr w:rsidR="008027BA" w14:paraId="1C3AF02A" w14:textId="2C9D57FF" w:rsidTr="008027BA">
        <w:trPr>
          <w:tblHeader/>
        </w:trPr>
        <w:tc>
          <w:tcPr>
            <w:tcW w:w="4675" w:type="dxa"/>
          </w:tcPr>
          <w:p w14:paraId="0874481E" w14:textId="6F62045C" w:rsidR="008027BA" w:rsidRPr="00A00C82" w:rsidRDefault="008027BA" w:rsidP="008027BA">
            <w:pPr>
              <w:contextualSpacing/>
              <w:rPr>
                <w:b/>
              </w:rPr>
            </w:pPr>
            <w:r>
              <w:rPr>
                <w:b/>
              </w:rPr>
              <w:t>AHRQ SES Index – Patient-Level – Medicine</w:t>
            </w:r>
          </w:p>
        </w:tc>
        <w:tc>
          <w:tcPr>
            <w:tcW w:w="2610" w:type="dxa"/>
            <w:vAlign w:val="center"/>
          </w:tcPr>
          <w:p w14:paraId="6FFF6982" w14:textId="3A87F5E8" w:rsidR="008027BA" w:rsidRPr="000916E1" w:rsidRDefault="008027BA" w:rsidP="008027BA">
            <w:r w:rsidRPr="000916E1">
              <w:rPr>
                <w:rFonts w:cs="Courier New"/>
                <w:color w:val="000000"/>
              </w:rPr>
              <w:t>0.0249 (0.00444)</w:t>
            </w:r>
          </w:p>
        </w:tc>
        <w:tc>
          <w:tcPr>
            <w:tcW w:w="2065" w:type="dxa"/>
            <w:vAlign w:val="center"/>
          </w:tcPr>
          <w:p w14:paraId="347F8C6D" w14:textId="0CF1A03F" w:rsidR="008027BA" w:rsidRPr="006319AB" w:rsidRDefault="008027BA" w:rsidP="008027BA">
            <w:r w:rsidRPr="006319AB">
              <w:t>&lt;.0001</w:t>
            </w:r>
          </w:p>
        </w:tc>
      </w:tr>
      <w:tr w:rsidR="008027BA" w14:paraId="27707AD3" w14:textId="250969F2" w:rsidTr="008027BA">
        <w:trPr>
          <w:tblHeader/>
        </w:trPr>
        <w:tc>
          <w:tcPr>
            <w:tcW w:w="4675" w:type="dxa"/>
          </w:tcPr>
          <w:p w14:paraId="1C1C4870" w14:textId="0DF6F44E" w:rsidR="008027BA" w:rsidRPr="00A00C82" w:rsidRDefault="008027BA" w:rsidP="008027BA">
            <w:pPr>
              <w:contextualSpacing/>
              <w:rPr>
                <w:b/>
              </w:rPr>
            </w:pPr>
            <w:r>
              <w:rPr>
                <w:b/>
              </w:rPr>
              <w:t xml:space="preserve">AHRQ SES Index – </w:t>
            </w:r>
            <w:r w:rsidRPr="00A00C82">
              <w:rPr>
                <w:b/>
              </w:rPr>
              <w:t>Hospital</w:t>
            </w:r>
            <w:r>
              <w:rPr>
                <w:b/>
              </w:rPr>
              <w:t>-Level – Medicine</w:t>
            </w:r>
          </w:p>
        </w:tc>
        <w:tc>
          <w:tcPr>
            <w:tcW w:w="2610" w:type="dxa"/>
            <w:vAlign w:val="center"/>
          </w:tcPr>
          <w:p w14:paraId="0413A79D" w14:textId="6647EDCB" w:rsidR="008027BA" w:rsidRPr="000916E1" w:rsidRDefault="008027BA" w:rsidP="008027BA">
            <w:r w:rsidRPr="000916E1">
              <w:rPr>
                <w:rFonts w:cs="Courier New"/>
                <w:color w:val="000000"/>
              </w:rPr>
              <w:t>0.0788 (0.00653)</w:t>
            </w:r>
          </w:p>
        </w:tc>
        <w:tc>
          <w:tcPr>
            <w:tcW w:w="2065" w:type="dxa"/>
            <w:vAlign w:val="center"/>
          </w:tcPr>
          <w:p w14:paraId="0111EAFC" w14:textId="707A75E3" w:rsidR="008027BA" w:rsidRPr="006319AB" w:rsidRDefault="008027BA" w:rsidP="008027BA">
            <w:r w:rsidRPr="006319AB">
              <w:t>&lt;.0001</w:t>
            </w:r>
          </w:p>
        </w:tc>
      </w:tr>
      <w:tr w:rsidR="008027BA" w14:paraId="05E535AC" w14:textId="0AE4BC0B" w:rsidTr="008027BA">
        <w:trPr>
          <w:tblHeader/>
        </w:trPr>
        <w:tc>
          <w:tcPr>
            <w:tcW w:w="4675" w:type="dxa"/>
          </w:tcPr>
          <w:p w14:paraId="2124A9C0" w14:textId="753232B7" w:rsidR="008027BA" w:rsidRPr="00B32431" w:rsidRDefault="008027BA" w:rsidP="008027BA">
            <w:pPr>
              <w:contextualSpacing/>
              <w:rPr>
                <w:b/>
                <w:lang w:val="fr-CH"/>
              </w:rPr>
            </w:pPr>
            <w:r w:rsidRPr="00B32431">
              <w:rPr>
                <w:b/>
                <w:lang w:val="fr-CH"/>
              </w:rPr>
              <w:t>AHRQ SES Index – Patient-Level – Surgery</w:t>
            </w:r>
          </w:p>
        </w:tc>
        <w:tc>
          <w:tcPr>
            <w:tcW w:w="2610" w:type="dxa"/>
            <w:vAlign w:val="center"/>
          </w:tcPr>
          <w:p w14:paraId="1690F977" w14:textId="339745FB" w:rsidR="008027BA" w:rsidRPr="000916E1" w:rsidRDefault="008027BA" w:rsidP="008027BA">
            <w:r w:rsidRPr="000916E1">
              <w:rPr>
                <w:rFonts w:cs="Courier New"/>
                <w:color w:val="000000"/>
              </w:rPr>
              <w:t>0.0349 (0.00689)</w:t>
            </w:r>
          </w:p>
        </w:tc>
        <w:tc>
          <w:tcPr>
            <w:tcW w:w="2065" w:type="dxa"/>
            <w:vAlign w:val="center"/>
          </w:tcPr>
          <w:p w14:paraId="52BF09BB" w14:textId="209B8FB4" w:rsidR="008027BA" w:rsidRPr="006319AB" w:rsidRDefault="008027BA" w:rsidP="008027BA">
            <w:r w:rsidRPr="006319AB">
              <w:rPr>
                <w:rFonts w:cs="Courier New"/>
                <w:color w:val="000000"/>
              </w:rPr>
              <w:t>&lt;.0001</w:t>
            </w:r>
          </w:p>
        </w:tc>
      </w:tr>
      <w:tr w:rsidR="008027BA" w14:paraId="4646DC28" w14:textId="2323273C" w:rsidTr="008027BA">
        <w:trPr>
          <w:tblHeader/>
        </w:trPr>
        <w:tc>
          <w:tcPr>
            <w:tcW w:w="4675" w:type="dxa"/>
          </w:tcPr>
          <w:p w14:paraId="4548C47A" w14:textId="784977AE" w:rsidR="008027BA" w:rsidRPr="00A00C82" w:rsidRDefault="008027BA" w:rsidP="008027BA">
            <w:pPr>
              <w:contextualSpacing/>
              <w:rPr>
                <w:b/>
              </w:rPr>
            </w:pPr>
            <w:r>
              <w:rPr>
                <w:b/>
              </w:rPr>
              <w:t xml:space="preserve">AHRQ SES Index – </w:t>
            </w:r>
            <w:r w:rsidRPr="00A00C82">
              <w:rPr>
                <w:b/>
              </w:rPr>
              <w:t>Hospital</w:t>
            </w:r>
            <w:r>
              <w:rPr>
                <w:b/>
              </w:rPr>
              <w:t>-Level – Surgery</w:t>
            </w:r>
          </w:p>
        </w:tc>
        <w:tc>
          <w:tcPr>
            <w:tcW w:w="2610" w:type="dxa"/>
            <w:vAlign w:val="center"/>
          </w:tcPr>
          <w:p w14:paraId="13A6509E" w14:textId="3ADB3F27" w:rsidR="008027BA" w:rsidRPr="000916E1" w:rsidRDefault="008027BA" w:rsidP="008027BA">
            <w:r w:rsidRPr="000916E1">
              <w:rPr>
                <w:rFonts w:cs="Courier New"/>
                <w:color w:val="000000"/>
              </w:rPr>
              <w:t>0.1254 (0.0120)</w:t>
            </w:r>
          </w:p>
        </w:tc>
        <w:tc>
          <w:tcPr>
            <w:tcW w:w="2065" w:type="dxa"/>
            <w:vAlign w:val="center"/>
          </w:tcPr>
          <w:p w14:paraId="6E6F7E22" w14:textId="49E2F6CE" w:rsidR="008027BA" w:rsidRPr="006319AB" w:rsidRDefault="008027BA" w:rsidP="008027BA">
            <w:r w:rsidRPr="006319AB">
              <w:rPr>
                <w:rFonts w:cs="Courier New"/>
                <w:color w:val="000000"/>
              </w:rPr>
              <w:t>&lt;.0001</w:t>
            </w:r>
          </w:p>
        </w:tc>
      </w:tr>
      <w:tr w:rsidR="008027BA" w14:paraId="1BAC8706" w14:textId="67D8B49A" w:rsidTr="008027BA">
        <w:trPr>
          <w:tblHeader/>
        </w:trPr>
        <w:tc>
          <w:tcPr>
            <w:tcW w:w="4675" w:type="dxa"/>
          </w:tcPr>
          <w:p w14:paraId="2778C379" w14:textId="52FB7D8B" w:rsidR="008027BA" w:rsidRPr="00A00C82" w:rsidRDefault="008027BA" w:rsidP="008027BA">
            <w:pPr>
              <w:contextualSpacing/>
              <w:rPr>
                <w:b/>
              </w:rPr>
            </w:pPr>
            <w:r>
              <w:rPr>
                <w:b/>
              </w:rPr>
              <w:t>AHRQ SES Index – Patient-Level – Cardio Respiratory</w:t>
            </w:r>
          </w:p>
        </w:tc>
        <w:tc>
          <w:tcPr>
            <w:tcW w:w="2610" w:type="dxa"/>
            <w:vAlign w:val="center"/>
          </w:tcPr>
          <w:p w14:paraId="5EEFC3BC" w14:textId="0B13597D" w:rsidR="008027BA" w:rsidRPr="000916E1" w:rsidRDefault="008027BA" w:rsidP="008027BA">
            <w:r w:rsidRPr="000916E1">
              <w:rPr>
                <w:rFonts w:cs="Courier New"/>
                <w:color w:val="000000"/>
              </w:rPr>
              <w:t>0.0376 (0.00661)</w:t>
            </w:r>
          </w:p>
        </w:tc>
        <w:tc>
          <w:tcPr>
            <w:tcW w:w="2065" w:type="dxa"/>
            <w:vAlign w:val="center"/>
          </w:tcPr>
          <w:p w14:paraId="2F34E7C7" w14:textId="0177B147" w:rsidR="008027BA" w:rsidRPr="006319AB" w:rsidRDefault="008027BA" w:rsidP="008027BA">
            <w:r w:rsidRPr="006319AB">
              <w:rPr>
                <w:rFonts w:cs="Courier New"/>
                <w:color w:val="000000"/>
              </w:rPr>
              <w:t>&lt;.0001</w:t>
            </w:r>
          </w:p>
        </w:tc>
      </w:tr>
      <w:tr w:rsidR="008027BA" w14:paraId="3D357F1F" w14:textId="7EB78524" w:rsidTr="008027BA">
        <w:trPr>
          <w:tblHeader/>
        </w:trPr>
        <w:tc>
          <w:tcPr>
            <w:tcW w:w="4675" w:type="dxa"/>
          </w:tcPr>
          <w:p w14:paraId="44C4C0D4" w14:textId="335663D6" w:rsidR="008027BA" w:rsidRPr="00A00C82" w:rsidRDefault="008027BA" w:rsidP="008027BA">
            <w:pPr>
              <w:contextualSpacing/>
              <w:rPr>
                <w:b/>
              </w:rPr>
            </w:pPr>
            <w:r>
              <w:rPr>
                <w:b/>
              </w:rPr>
              <w:t xml:space="preserve">AHRQ SES Index – </w:t>
            </w:r>
            <w:r w:rsidRPr="00A00C82">
              <w:rPr>
                <w:b/>
              </w:rPr>
              <w:t>Hospital</w:t>
            </w:r>
            <w:r>
              <w:rPr>
                <w:b/>
              </w:rPr>
              <w:t>-Level – Cardio Respiratory</w:t>
            </w:r>
          </w:p>
        </w:tc>
        <w:tc>
          <w:tcPr>
            <w:tcW w:w="2610" w:type="dxa"/>
            <w:vAlign w:val="center"/>
          </w:tcPr>
          <w:p w14:paraId="4B266214" w14:textId="146A2C08" w:rsidR="008027BA" w:rsidRPr="000916E1" w:rsidRDefault="008027BA" w:rsidP="008027BA">
            <w:r w:rsidRPr="000916E1">
              <w:rPr>
                <w:rFonts w:cs="Courier New"/>
                <w:color w:val="000000"/>
              </w:rPr>
              <w:t>0.1105 (0.00910)</w:t>
            </w:r>
          </w:p>
        </w:tc>
        <w:tc>
          <w:tcPr>
            <w:tcW w:w="2065" w:type="dxa"/>
            <w:vAlign w:val="center"/>
          </w:tcPr>
          <w:p w14:paraId="1A8D63AC" w14:textId="4151EB2A" w:rsidR="008027BA" w:rsidRPr="006319AB" w:rsidRDefault="008027BA" w:rsidP="008027BA">
            <w:r w:rsidRPr="006319AB">
              <w:rPr>
                <w:rFonts w:cs="Courier New"/>
                <w:color w:val="000000"/>
              </w:rPr>
              <w:t>&lt;.0001</w:t>
            </w:r>
          </w:p>
        </w:tc>
      </w:tr>
      <w:tr w:rsidR="008027BA" w14:paraId="27E78247" w14:textId="3FAF8177" w:rsidTr="008027BA">
        <w:trPr>
          <w:tblHeader/>
        </w:trPr>
        <w:tc>
          <w:tcPr>
            <w:tcW w:w="4675" w:type="dxa"/>
          </w:tcPr>
          <w:p w14:paraId="485AA699" w14:textId="69BDBAED" w:rsidR="008027BA" w:rsidRPr="00A00C82" w:rsidRDefault="008027BA" w:rsidP="008027BA">
            <w:pPr>
              <w:contextualSpacing/>
              <w:rPr>
                <w:b/>
              </w:rPr>
            </w:pPr>
            <w:r>
              <w:rPr>
                <w:b/>
              </w:rPr>
              <w:t>AHRQ SES Index – Patient-Level – Cardiovascular</w:t>
            </w:r>
          </w:p>
        </w:tc>
        <w:tc>
          <w:tcPr>
            <w:tcW w:w="2610" w:type="dxa"/>
            <w:vAlign w:val="center"/>
          </w:tcPr>
          <w:p w14:paraId="58B6095B" w14:textId="09D944D8" w:rsidR="008027BA" w:rsidRPr="000916E1" w:rsidRDefault="008027BA" w:rsidP="008027BA">
            <w:r w:rsidRPr="000916E1">
              <w:rPr>
                <w:rFonts w:cs="Courier New"/>
                <w:color w:val="000000"/>
              </w:rPr>
              <w:t>0.0307 (0.00943)</w:t>
            </w:r>
          </w:p>
        </w:tc>
        <w:tc>
          <w:tcPr>
            <w:tcW w:w="2065" w:type="dxa"/>
            <w:vAlign w:val="center"/>
          </w:tcPr>
          <w:p w14:paraId="5A91D6BA" w14:textId="091D2F62" w:rsidR="008027BA" w:rsidRPr="006319AB" w:rsidRDefault="008027BA" w:rsidP="008027BA">
            <w:r w:rsidRPr="000916E1">
              <w:rPr>
                <w:rFonts w:cs="Courier New"/>
                <w:color w:val="000000"/>
              </w:rPr>
              <w:t>0.0011</w:t>
            </w:r>
          </w:p>
        </w:tc>
      </w:tr>
      <w:tr w:rsidR="008027BA" w14:paraId="1017C6AB" w14:textId="438AAE98" w:rsidTr="008027BA">
        <w:trPr>
          <w:tblHeader/>
        </w:trPr>
        <w:tc>
          <w:tcPr>
            <w:tcW w:w="4675" w:type="dxa"/>
          </w:tcPr>
          <w:p w14:paraId="777D9610" w14:textId="5315A11D" w:rsidR="008027BA" w:rsidRPr="00A00C82" w:rsidRDefault="008027BA" w:rsidP="008027BA">
            <w:pPr>
              <w:contextualSpacing/>
              <w:rPr>
                <w:b/>
              </w:rPr>
            </w:pPr>
            <w:r>
              <w:rPr>
                <w:b/>
              </w:rPr>
              <w:t xml:space="preserve">AHRQ SES Index – </w:t>
            </w:r>
            <w:r w:rsidRPr="00A00C82">
              <w:rPr>
                <w:b/>
              </w:rPr>
              <w:t>Hospital</w:t>
            </w:r>
            <w:r>
              <w:rPr>
                <w:b/>
              </w:rPr>
              <w:t>-Level – Cardiovascular</w:t>
            </w:r>
          </w:p>
        </w:tc>
        <w:tc>
          <w:tcPr>
            <w:tcW w:w="2610" w:type="dxa"/>
            <w:vAlign w:val="center"/>
          </w:tcPr>
          <w:p w14:paraId="27F2CD77" w14:textId="509BE7AD" w:rsidR="008027BA" w:rsidRPr="000916E1" w:rsidRDefault="008027BA" w:rsidP="008027BA">
            <w:r w:rsidRPr="000916E1">
              <w:rPr>
                <w:rFonts w:cs="Courier New"/>
                <w:color w:val="000000"/>
              </w:rPr>
              <w:t>0.1375 (0.0149)</w:t>
            </w:r>
          </w:p>
        </w:tc>
        <w:tc>
          <w:tcPr>
            <w:tcW w:w="2065" w:type="dxa"/>
            <w:vAlign w:val="center"/>
          </w:tcPr>
          <w:p w14:paraId="28C10634" w14:textId="77243824" w:rsidR="008027BA" w:rsidRPr="006319AB" w:rsidRDefault="008027BA" w:rsidP="008027BA">
            <w:r w:rsidRPr="006319AB">
              <w:rPr>
                <w:rFonts w:cs="Courier New"/>
                <w:color w:val="000000"/>
              </w:rPr>
              <w:t>&lt;.0001</w:t>
            </w:r>
          </w:p>
        </w:tc>
      </w:tr>
      <w:tr w:rsidR="008027BA" w14:paraId="6B4923F5" w14:textId="2F5B92CD" w:rsidTr="008027BA">
        <w:trPr>
          <w:tblHeader/>
        </w:trPr>
        <w:tc>
          <w:tcPr>
            <w:tcW w:w="4675" w:type="dxa"/>
          </w:tcPr>
          <w:p w14:paraId="7B2D566C" w14:textId="3A58DE40" w:rsidR="008027BA" w:rsidRPr="00B32431" w:rsidRDefault="008027BA" w:rsidP="008027BA">
            <w:pPr>
              <w:contextualSpacing/>
              <w:rPr>
                <w:b/>
                <w:lang w:val="fr-CH"/>
              </w:rPr>
            </w:pPr>
            <w:r w:rsidRPr="00B32431">
              <w:rPr>
                <w:b/>
                <w:lang w:val="fr-CH"/>
              </w:rPr>
              <w:t>AHRQ SES Index – Patient-Level – Neurology</w:t>
            </w:r>
          </w:p>
        </w:tc>
        <w:tc>
          <w:tcPr>
            <w:tcW w:w="2610" w:type="dxa"/>
            <w:vAlign w:val="center"/>
          </w:tcPr>
          <w:p w14:paraId="1559784E" w14:textId="55F43027" w:rsidR="008027BA" w:rsidRPr="000916E1" w:rsidRDefault="008027BA" w:rsidP="008027BA">
            <w:r w:rsidRPr="000916E1">
              <w:rPr>
                <w:rFonts w:cs="Courier New"/>
                <w:color w:val="000000"/>
              </w:rPr>
              <w:t>0.0544 (0.0125)</w:t>
            </w:r>
          </w:p>
        </w:tc>
        <w:tc>
          <w:tcPr>
            <w:tcW w:w="2065" w:type="dxa"/>
            <w:vAlign w:val="center"/>
          </w:tcPr>
          <w:p w14:paraId="2469009C" w14:textId="4F168E3D" w:rsidR="008027BA" w:rsidRPr="006319AB" w:rsidRDefault="008027BA" w:rsidP="008027BA">
            <w:r w:rsidRPr="006319AB">
              <w:rPr>
                <w:rFonts w:cs="Courier New"/>
                <w:color w:val="000000"/>
              </w:rPr>
              <w:t>&lt;.0001</w:t>
            </w:r>
          </w:p>
        </w:tc>
      </w:tr>
      <w:tr w:rsidR="008027BA" w14:paraId="2AB3D858" w14:textId="23796EBE" w:rsidTr="008027BA">
        <w:trPr>
          <w:tblHeader/>
        </w:trPr>
        <w:tc>
          <w:tcPr>
            <w:tcW w:w="4675" w:type="dxa"/>
          </w:tcPr>
          <w:p w14:paraId="6FF54C30" w14:textId="3896ACCB" w:rsidR="008027BA" w:rsidRPr="00A00C82" w:rsidRDefault="008027BA" w:rsidP="008027BA">
            <w:pPr>
              <w:contextualSpacing/>
              <w:rPr>
                <w:b/>
              </w:rPr>
            </w:pPr>
            <w:r>
              <w:rPr>
                <w:b/>
              </w:rPr>
              <w:t xml:space="preserve">AHRQ SES Index – </w:t>
            </w:r>
            <w:r w:rsidRPr="00A00C82">
              <w:rPr>
                <w:b/>
              </w:rPr>
              <w:t>Hospital</w:t>
            </w:r>
            <w:r>
              <w:rPr>
                <w:b/>
              </w:rPr>
              <w:t>-Level – Neurology</w:t>
            </w:r>
          </w:p>
        </w:tc>
        <w:tc>
          <w:tcPr>
            <w:tcW w:w="2610" w:type="dxa"/>
            <w:vAlign w:val="center"/>
          </w:tcPr>
          <w:p w14:paraId="3078B3B7" w14:textId="66B879C6" w:rsidR="008027BA" w:rsidRPr="000916E1" w:rsidRDefault="008027BA" w:rsidP="008027BA">
            <w:r w:rsidRPr="000916E1">
              <w:rPr>
                <w:rFonts w:cs="Courier New"/>
                <w:color w:val="000000"/>
              </w:rPr>
              <w:t>0.1314 (0.0198)</w:t>
            </w:r>
          </w:p>
        </w:tc>
        <w:tc>
          <w:tcPr>
            <w:tcW w:w="2065" w:type="dxa"/>
            <w:vAlign w:val="center"/>
          </w:tcPr>
          <w:p w14:paraId="21934B13" w14:textId="4BF8D112" w:rsidR="008027BA" w:rsidRPr="006319AB" w:rsidRDefault="008027BA" w:rsidP="008027BA">
            <w:r w:rsidRPr="006319AB">
              <w:rPr>
                <w:rFonts w:cs="Courier New"/>
                <w:color w:val="000000"/>
              </w:rPr>
              <w:t>&lt;.0001</w:t>
            </w:r>
          </w:p>
        </w:tc>
      </w:tr>
    </w:tbl>
    <w:p w14:paraId="509EB8F6" w14:textId="640E36D5" w:rsidR="008027BA" w:rsidRDefault="008027BA" w:rsidP="00001D73">
      <w:pPr>
        <w:autoSpaceDE w:val="0"/>
        <w:autoSpaceDN w:val="0"/>
        <w:adjustRightInd w:val="0"/>
        <w:spacing w:after="0" w:line="240" w:lineRule="auto"/>
        <w:rPr>
          <w:rFonts w:cstheme="minorHAnsi"/>
          <w:b/>
          <w:bCs/>
        </w:rPr>
      </w:pPr>
    </w:p>
    <w:p w14:paraId="105A8577" w14:textId="634F048B" w:rsidR="008027BA" w:rsidRDefault="008027BA" w:rsidP="00001D73">
      <w:pPr>
        <w:autoSpaceDE w:val="0"/>
        <w:autoSpaceDN w:val="0"/>
        <w:adjustRightInd w:val="0"/>
        <w:spacing w:after="0" w:line="240" w:lineRule="auto"/>
        <w:rPr>
          <w:rFonts w:cstheme="minorHAnsi"/>
          <w:b/>
          <w:bCs/>
        </w:rPr>
      </w:pPr>
    </w:p>
    <w:p w14:paraId="696E3A76" w14:textId="6617CBBC" w:rsidR="00575EE3" w:rsidRDefault="00575EE3" w:rsidP="00001D73">
      <w:pPr>
        <w:autoSpaceDE w:val="0"/>
        <w:autoSpaceDN w:val="0"/>
        <w:adjustRightInd w:val="0"/>
        <w:spacing w:after="0" w:line="240" w:lineRule="auto"/>
        <w:rPr>
          <w:rFonts w:cstheme="minorHAnsi"/>
          <w:b/>
          <w:bCs/>
        </w:rPr>
      </w:pPr>
    </w:p>
    <w:p w14:paraId="39EFE07C" w14:textId="1C2F1625" w:rsidR="00575EE3" w:rsidRDefault="00575EE3" w:rsidP="00001D73">
      <w:pPr>
        <w:autoSpaceDE w:val="0"/>
        <w:autoSpaceDN w:val="0"/>
        <w:adjustRightInd w:val="0"/>
        <w:spacing w:after="0" w:line="240" w:lineRule="auto"/>
        <w:rPr>
          <w:rFonts w:cstheme="minorHAnsi"/>
          <w:b/>
          <w:bCs/>
        </w:rPr>
      </w:pPr>
    </w:p>
    <w:p w14:paraId="55715A37" w14:textId="1BDB932F" w:rsidR="00575EE3" w:rsidRDefault="00575EE3" w:rsidP="00001D73">
      <w:pPr>
        <w:autoSpaceDE w:val="0"/>
        <w:autoSpaceDN w:val="0"/>
        <w:adjustRightInd w:val="0"/>
        <w:spacing w:after="0" w:line="240" w:lineRule="auto"/>
        <w:rPr>
          <w:rFonts w:cstheme="minorHAnsi"/>
          <w:b/>
          <w:bCs/>
        </w:rPr>
      </w:pPr>
    </w:p>
    <w:p w14:paraId="51AA3B81" w14:textId="77777777" w:rsidR="00575EE3" w:rsidRPr="002F2AE5" w:rsidRDefault="00575EE3" w:rsidP="00001D73">
      <w:pPr>
        <w:autoSpaceDE w:val="0"/>
        <w:autoSpaceDN w:val="0"/>
        <w:adjustRightInd w:val="0"/>
        <w:spacing w:after="0" w:line="240" w:lineRule="auto"/>
        <w:rPr>
          <w:rFonts w:cstheme="minorHAnsi"/>
          <w:b/>
          <w:bCs/>
        </w:rPr>
      </w:pPr>
    </w:p>
    <w:p w14:paraId="281BC9AA" w14:textId="3D43BB0A" w:rsidR="00575EE3" w:rsidRPr="008C552A" w:rsidRDefault="001E018B" w:rsidP="00605F36">
      <w:pPr>
        <w:pBdr>
          <w:top w:val="single" w:sz="4" w:space="1" w:color="auto"/>
          <w:left w:val="single" w:sz="4" w:space="4" w:color="auto"/>
          <w:bottom w:val="single" w:sz="4" w:space="1" w:color="auto"/>
          <w:right w:val="single" w:sz="4" w:space="4" w:color="auto"/>
        </w:pBdr>
        <w:spacing w:line="240" w:lineRule="auto"/>
        <w:rPr>
          <w:rFonts w:eastAsia="MS Mincho"/>
          <w:b/>
          <w:color w:val="FF0000"/>
          <w:u w:val="single"/>
        </w:rPr>
      </w:pPr>
      <w:r w:rsidRPr="008C552A">
        <w:rPr>
          <w:rFonts w:eastAsia="MS Mincho"/>
          <w:b/>
          <w:color w:val="FF0000"/>
          <w:u w:val="single"/>
        </w:rPr>
        <w:lastRenderedPageBreak/>
        <w:t>ACR</w:t>
      </w:r>
    </w:p>
    <w:p w14:paraId="2A8B526E" w14:textId="06528DEF" w:rsidR="00605F36" w:rsidRPr="008C552A" w:rsidRDefault="00605F36" w:rsidP="00605F36">
      <w:pPr>
        <w:pBdr>
          <w:top w:val="single" w:sz="4" w:space="1" w:color="auto"/>
          <w:left w:val="single" w:sz="4" w:space="4" w:color="auto"/>
          <w:bottom w:val="single" w:sz="4" w:space="1" w:color="auto"/>
          <w:right w:val="single" w:sz="4" w:space="4" w:color="auto"/>
        </w:pBdr>
        <w:spacing w:line="240" w:lineRule="auto"/>
        <w:rPr>
          <w:rFonts w:eastAsia="MS Mincho"/>
          <w:color w:val="FF0000"/>
        </w:rPr>
      </w:pPr>
      <w:r w:rsidRPr="008C552A">
        <w:rPr>
          <w:rFonts w:eastAsia="MS Mincho"/>
          <w:color w:val="FF0000"/>
        </w:rPr>
        <w:t xml:space="preserve">We performed analyses to assess the effect of SES on the ACR measure. These analyses are informative for future measure use, but the decision not to adjust for SES in this </w:t>
      </w:r>
      <w:r w:rsidR="00AF476F" w:rsidRPr="008C552A">
        <w:rPr>
          <w:rFonts w:eastAsia="MS Mincho"/>
          <w:color w:val="FF0000"/>
        </w:rPr>
        <w:t>measure was based on conceptual</w:t>
      </w:r>
      <w:r w:rsidRPr="008C552A">
        <w:rPr>
          <w:rFonts w:eastAsia="MS Mincho"/>
          <w:color w:val="FF0000"/>
        </w:rPr>
        <w:t xml:space="preserve"> factors and not on the results of these statistical analyses (see 2b4.3.). </w:t>
      </w:r>
    </w:p>
    <w:p w14:paraId="6D688213" w14:textId="3EBC2175"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color w:val="FF0000"/>
        </w:rPr>
      </w:pPr>
      <w:r w:rsidRPr="008C552A">
        <w:rPr>
          <w:rFonts w:cstheme="minorHAnsi"/>
          <w:bCs/>
          <w:i/>
          <w:color w:val="FF0000"/>
        </w:rPr>
        <w:t>Variation in prevalence of the factor across measured entities</w:t>
      </w:r>
    </w:p>
    <w:p w14:paraId="5D53028B" w14:textId="408CC4A8"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C552A">
        <w:rPr>
          <w:rFonts w:cstheme="minorHAnsi"/>
          <w:bCs/>
          <w:color w:val="FF0000"/>
        </w:rPr>
        <w:t xml:space="preserve">The prevalence of </w:t>
      </w:r>
      <w:r w:rsidR="0012474E" w:rsidRPr="008C552A">
        <w:rPr>
          <w:rFonts w:cstheme="minorHAnsi"/>
          <w:bCs/>
          <w:color w:val="FF0000"/>
        </w:rPr>
        <w:t xml:space="preserve">SES </w:t>
      </w:r>
      <w:r w:rsidRPr="008C552A">
        <w:rPr>
          <w:rFonts w:cstheme="minorHAnsi"/>
          <w:bCs/>
          <w:color w:val="FF0000"/>
        </w:rPr>
        <w:t xml:space="preserve">factors in the </w:t>
      </w:r>
      <w:r w:rsidR="00933533" w:rsidRPr="008C552A">
        <w:rPr>
          <w:rFonts w:cstheme="minorHAnsi"/>
          <w:bCs/>
          <w:color w:val="FF0000"/>
        </w:rPr>
        <w:t>ACR</w:t>
      </w:r>
      <w:r w:rsidRPr="008C552A">
        <w:rPr>
          <w:rFonts w:cstheme="minorHAnsi"/>
          <w:bCs/>
          <w:color w:val="FF0000"/>
        </w:rPr>
        <w:t xml:space="preserve"> cohort varies across measured entities. The median percentage of </w:t>
      </w:r>
      <w:r w:rsidR="00831693" w:rsidRPr="008C552A">
        <w:rPr>
          <w:rFonts w:cstheme="minorHAnsi"/>
          <w:bCs/>
          <w:color w:val="FF0000"/>
        </w:rPr>
        <w:t>dual-eligible</w:t>
      </w:r>
      <w:r w:rsidRPr="008C552A">
        <w:rPr>
          <w:rFonts w:cstheme="minorHAnsi"/>
          <w:bCs/>
          <w:color w:val="FF0000"/>
        </w:rPr>
        <w:t xml:space="preserve"> patients is 8.0% (interquartile range [IQR] 5.1%-</w:t>
      </w:r>
      <w:r w:rsidR="0093627C" w:rsidRPr="008C552A">
        <w:rPr>
          <w:rFonts w:cstheme="minorHAnsi"/>
          <w:bCs/>
          <w:color w:val="FF0000"/>
        </w:rPr>
        <w:t>13.3</w:t>
      </w:r>
      <w:r w:rsidRPr="008C552A">
        <w:rPr>
          <w:rFonts w:cstheme="minorHAnsi"/>
          <w:bCs/>
          <w:color w:val="FF0000"/>
        </w:rPr>
        <w:t xml:space="preserve">%). The median percentage of low SES AHRQ indicator patients is </w:t>
      </w:r>
      <w:r w:rsidR="0093627C" w:rsidRPr="008C552A">
        <w:rPr>
          <w:rFonts w:cstheme="minorHAnsi"/>
          <w:bCs/>
          <w:color w:val="FF0000"/>
        </w:rPr>
        <w:t>48.9</w:t>
      </w:r>
      <w:r w:rsidRPr="008C552A">
        <w:rPr>
          <w:rFonts w:cstheme="minorHAnsi"/>
          <w:bCs/>
          <w:color w:val="FF0000"/>
        </w:rPr>
        <w:t xml:space="preserve">% (IQR </w:t>
      </w:r>
      <w:r w:rsidR="0093627C" w:rsidRPr="008C552A">
        <w:rPr>
          <w:rFonts w:cstheme="minorHAnsi"/>
          <w:bCs/>
          <w:color w:val="FF0000"/>
        </w:rPr>
        <w:t>31.8</w:t>
      </w:r>
      <w:r w:rsidRPr="008C552A">
        <w:rPr>
          <w:rFonts w:cstheme="minorHAnsi"/>
          <w:bCs/>
          <w:color w:val="FF0000"/>
        </w:rPr>
        <w:t>%-</w:t>
      </w:r>
      <w:r w:rsidR="0093627C" w:rsidRPr="008C552A">
        <w:rPr>
          <w:rFonts w:cstheme="minorHAnsi"/>
          <w:bCs/>
          <w:color w:val="FF0000"/>
        </w:rPr>
        <w:t>66.4</w:t>
      </w:r>
      <w:r w:rsidRPr="008C552A">
        <w:rPr>
          <w:rFonts w:cstheme="minorHAnsi"/>
          <w:bCs/>
          <w:color w:val="FF0000"/>
        </w:rPr>
        <w:t>%).</w:t>
      </w:r>
    </w:p>
    <w:p w14:paraId="54958136" w14:textId="77777777"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068AD1FB" w14:textId="77777777"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color w:val="FF0000"/>
        </w:rPr>
      </w:pPr>
      <w:r w:rsidRPr="008C552A">
        <w:rPr>
          <w:rFonts w:cstheme="minorHAnsi"/>
          <w:bCs/>
          <w:i/>
          <w:color w:val="FF0000"/>
        </w:rPr>
        <w:t>Empirical association with the outcome (bivariate)</w:t>
      </w:r>
    </w:p>
    <w:p w14:paraId="16A64A1A" w14:textId="53FE38D6"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C552A">
        <w:rPr>
          <w:rFonts w:cstheme="minorHAnsi"/>
          <w:bCs/>
          <w:color w:val="FF0000"/>
        </w:rPr>
        <w:t xml:space="preserve">The patient-level observed hospital wide readmission rate is higher for </w:t>
      </w:r>
      <w:r w:rsidR="00831693" w:rsidRPr="008C552A">
        <w:rPr>
          <w:rFonts w:cstheme="minorHAnsi"/>
          <w:bCs/>
          <w:color w:val="FF0000"/>
        </w:rPr>
        <w:t>dual-eligible</w:t>
      </w:r>
      <w:r w:rsidRPr="008C552A">
        <w:rPr>
          <w:rFonts w:cstheme="minorHAnsi"/>
          <w:bCs/>
          <w:color w:val="FF0000"/>
        </w:rPr>
        <w:t xml:space="preserve"> patients, </w:t>
      </w:r>
      <w:r w:rsidR="009F0FC8" w:rsidRPr="008C552A">
        <w:rPr>
          <w:rFonts w:cstheme="minorHAnsi"/>
          <w:bCs/>
          <w:color w:val="FF0000"/>
        </w:rPr>
        <w:t>16.0</w:t>
      </w:r>
      <w:r w:rsidRPr="008C552A">
        <w:rPr>
          <w:rFonts w:cstheme="minorHAnsi"/>
          <w:bCs/>
          <w:color w:val="FF0000"/>
        </w:rPr>
        <w:t>%, compared with 14.</w:t>
      </w:r>
      <w:r w:rsidR="009F0FC8" w:rsidRPr="008C552A">
        <w:rPr>
          <w:rFonts w:cstheme="minorHAnsi"/>
          <w:bCs/>
          <w:color w:val="FF0000"/>
        </w:rPr>
        <w:t>7</w:t>
      </w:r>
      <w:r w:rsidRPr="008C552A">
        <w:rPr>
          <w:rFonts w:cstheme="minorHAnsi"/>
          <w:bCs/>
          <w:color w:val="FF0000"/>
        </w:rPr>
        <w:t xml:space="preserve">% for all other patients. </w:t>
      </w:r>
      <w:r w:rsidR="003F4530" w:rsidRPr="008C552A">
        <w:rPr>
          <w:rFonts w:cstheme="minorHAnsi"/>
          <w:bCs/>
          <w:color w:val="FF0000"/>
        </w:rPr>
        <w:t>Similarly,</w:t>
      </w:r>
      <w:r w:rsidRPr="008C552A">
        <w:rPr>
          <w:rFonts w:cstheme="minorHAnsi"/>
          <w:bCs/>
          <w:color w:val="FF0000"/>
        </w:rPr>
        <w:t xml:space="preserve"> the readmission rate for patients in the lowest SES quartile by AHRQ Index was </w:t>
      </w:r>
      <w:r w:rsidR="009F0FC8" w:rsidRPr="008C552A">
        <w:rPr>
          <w:rFonts w:cstheme="minorHAnsi"/>
          <w:bCs/>
          <w:color w:val="FF0000"/>
        </w:rPr>
        <w:t>15.6</w:t>
      </w:r>
      <w:r w:rsidRPr="008C552A">
        <w:rPr>
          <w:rFonts w:cstheme="minorHAnsi"/>
          <w:bCs/>
          <w:color w:val="FF0000"/>
        </w:rPr>
        <w:t xml:space="preserve">% compared with </w:t>
      </w:r>
      <w:r w:rsidR="009F0FC8" w:rsidRPr="008C552A">
        <w:rPr>
          <w:rFonts w:cstheme="minorHAnsi"/>
          <w:bCs/>
          <w:color w:val="FF0000"/>
        </w:rPr>
        <w:t>14.2</w:t>
      </w:r>
      <w:r w:rsidRPr="008C552A">
        <w:rPr>
          <w:rFonts w:cstheme="minorHAnsi"/>
          <w:bCs/>
          <w:color w:val="FF0000"/>
        </w:rPr>
        <w:t>% for all other patients.</w:t>
      </w:r>
    </w:p>
    <w:p w14:paraId="0475789A" w14:textId="77777777"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29A0656B" w14:textId="73613C11" w:rsidR="00F25342"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color w:val="FF0000"/>
        </w:rPr>
      </w:pPr>
      <w:r w:rsidRPr="008C552A">
        <w:rPr>
          <w:rFonts w:cstheme="minorHAnsi"/>
          <w:bCs/>
          <w:i/>
          <w:color w:val="FF0000"/>
        </w:rPr>
        <w:t xml:space="preserve">Incremental effect of </w:t>
      </w:r>
      <w:r w:rsidR="0012474E" w:rsidRPr="008C552A">
        <w:rPr>
          <w:rFonts w:cstheme="minorHAnsi"/>
          <w:bCs/>
          <w:i/>
          <w:color w:val="FF0000"/>
        </w:rPr>
        <w:t xml:space="preserve">SES </w:t>
      </w:r>
      <w:r w:rsidRPr="008C552A">
        <w:rPr>
          <w:rFonts w:cstheme="minorHAnsi"/>
          <w:bCs/>
          <w:i/>
          <w:color w:val="FF0000"/>
        </w:rPr>
        <w:t>variables in a multivariable model</w:t>
      </w:r>
    </w:p>
    <w:p w14:paraId="6B0B1EED" w14:textId="20D3C87C" w:rsidR="007404A5" w:rsidRPr="008C552A" w:rsidRDefault="00F25342" w:rsidP="00F253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8C552A">
        <w:rPr>
          <w:rFonts w:cstheme="minorHAnsi"/>
          <w:bCs/>
          <w:color w:val="FF0000"/>
        </w:rPr>
        <w:t xml:space="preserve">We examined the strength and significance of the </w:t>
      </w:r>
      <w:r w:rsidR="0012474E" w:rsidRPr="008C552A">
        <w:rPr>
          <w:rFonts w:cstheme="minorHAnsi"/>
          <w:bCs/>
          <w:color w:val="FF0000"/>
        </w:rPr>
        <w:t xml:space="preserve">SES </w:t>
      </w:r>
      <w:r w:rsidRPr="008C552A">
        <w:rPr>
          <w:rFonts w:cstheme="minorHAnsi"/>
          <w:bCs/>
          <w:color w:val="FF0000"/>
        </w:rPr>
        <w:t xml:space="preserve">variables in the context of a multivariable model. </w:t>
      </w:r>
      <w:r w:rsidR="0012474E" w:rsidRPr="008C552A">
        <w:rPr>
          <w:rFonts w:cstheme="minorHAnsi"/>
          <w:bCs/>
          <w:color w:val="FF0000"/>
        </w:rPr>
        <w:t>W</w:t>
      </w:r>
      <w:r w:rsidRPr="008C552A">
        <w:rPr>
          <w:rFonts w:cstheme="minorHAnsi"/>
          <w:bCs/>
          <w:color w:val="FF0000"/>
        </w:rPr>
        <w:t xml:space="preserve">hen we include any of these variables in a multivariate model that includes all of the claims-based clinical variables the effect size of each of these variables is small. We also find that the c-statistic is essentially unchanged with the addition of any of these variables into the model. </w:t>
      </w:r>
      <w:r w:rsidR="00605AED" w:rsidRPr="008C552A">
        <w:rPr>
          <w:rFonts w:cstheme="minorHAnsi"/>
          <w:bCs/>
          <w:color w:val="FF0000"/>
        </w:rPr>
        <w:t>Furthermore,</w:t>
      </w:r>
      <w:r w:rsidRPr="008C552A">
        <w:rPr>
          <w:rFonts w:cstheme="minorHAnsi"/>
          <w:bCs/>
          <w:color w:val="FF0000"/>
        </w:rPr>
        <w:t xml:space="preserve"> we find that the addition of any of these variables into the model has little to no effect on </w:t>
      </w:r>
      <w:r w:rsidR="007A17E5" w:rsidRPr="008C552A">
        <w:rPr>
          <w:rFonts w:cstheme="minorHAnsi"/>
          <w:bCs/>
          <w:color w:val="FF0000"/>
        </w:rPr>
        <w:t>ACO</w:t>
      </w:r>
      <w:r w:rsidRPr="008C552A">
        <w:rPr>
          <w:rFonts w:cstheme="minorHAnsi"/>
          <w:bCs/>
          <w:color w:val="FF0000"/>
        </w:rPr>
        <w:t xml:space="preserve"> performance. We examined the change in </w:t>
      </w:r>
      <w:r w:rsidR="007A17E5" w:rsidRPr="008C552A">
        <w:rPr>
          <w:rFonts w:cstheme="minorHAnsi"/>
          <w:bCs/>
          <w:color w:val="FF0000"/>
        </w:rPr>
        <w:t>ACOs</w:t>
      </w:r>
      <w:r w:rsidRPr="008C552A">
        <w:rPr>
          <w:rFonts w:cstheme="minorHAnsi"/>
          <w:bCs/>
          <w:color w:val="FF0000"/>
        </w:rPr>
        <w:t xml:space="preserve">’ RSRRs with the addition of these variables. The median absolute change in </w:t>
      </w:r>
      <w:r w:rsidR="007A17E5" w:rsidRPr="008C552A">
        <w:rPr>
          <w:rFonts w:cstheme="minorHAnsi"/>
          <w:bCs/>
          <w:color w:val="FF0000"/>
        </w:rPr>
        <w:t>ACOs’</w:t>
      </w:r>
      <w:r w:rsidRPr="008C552A">
        <w:rPr>
          <w:rFonts w:cstheme="minorHAnsi"/>
          <w:bCs/>
          <w:color w:val="FF0000"/>
        </w:rPr>
        <w:t xml:space="preserve"> RSRRs when adding a </w:t>
      </w:r>
      <w:r w:rsidR="00831693" w:rsidRPr="008C552A">
        <w:rPr>
          <w:rFonts w:cstheme="minorHAnsi"/>
          <w:bCs/>
          <w:color w:val="FF0000"/>
        </w:rPr>
        <w:t>dual-eligible</w:t>
      </w:r>
      <w:r w:rsidRPr="008C552A">
        <w:rPr>
          <w:rFonts w:cstheme="minorHAnsi"/>
          <w:bCs/>
          <w:color w:val="FF0000"/>
        </w:rPr>
        <w:t xml:space="preserve"> indicator is </w:t>
      </w:r>
      <w:r w:rsidR="00C0079F" w:rsidRPr="008C552A">
        <w:rPr>
          <w:rFonts w:cstheme="minorHAnsi"/>
          <w:bCs/>
          <w:color w:val="FF0000"/>
        </w:rPr>
        <w:t>-0.105</w:t>
      </w:r>
      <w:r w:rsidRPr="008C552A">
        <w:rPr>
          <w:rFonts w:cstheme="minorHAnsi"/>
          <w:bCs/>
          <w:color w:val="FF0000"/>
        </w:rPr>
        <w:t>% (interquartile range [IQR] -</w:t>
      </w:r>
      <w:r w:rsidR="00C0079F" w:rsidRPr="008C552A">
        <w:rPr>
          <w:rFonts w:cstheme="minorHAnsi"/>
          <w:bCs/>
          <w:color w:val="FF0000"/>
        </w:rPr>
        <w:t>0.305</w:t>
      </w:r>
      <w:r w:rsidRPr="008C552A">
        <w:rPr>
          <w:rFonts w:cstheme="minorHAnsi"/>
          <w:bCs/>
          <w:color w:val="FF0000"/>
        </w:rPr>
        <w:t>% – 0.</w:t>
      </w:r>
      <w:r w:rsidR="00C0079F" w:rsidRPr="008C552A">
        <w:rPr>
          <w:rFonts w:cstheme="minorHAnsi"/>
          <w:bCs/>
          <w:color w:val="FF0000"/>
        </w:rPr>
        <w:t>216</w:t>
      </w:r>
      <w:r w:rsidRPr="008C552A">
        <w:rPr>
          <w:rFonts w:cstheme="minorHAnsi"/>
          <w:bCs/>
          <w:color w:val="FF0000"/>
        </w:rPr>
        <w:t>%, minimum -0.</w:t>
      </w:r>
      <w:r w:rsidR="00C0079F" w:rsidRPr="008C552A">
        <w:rPr>
          <w:rFonts w:cstheme="minorHAnsi"/>
          <w:bCs/>
          <w:color w:val="FF0000"/>
        </w:rPr>
        <w:t>794</w:t>
      </w:r>
      <w:r w:rsidRPr="008C552A">
        <w:rPr>
          <w:rFonts w:cstheme="minorHAnsi"/>
          <w:bCs/>
          <w:color w:val="FF0000"/>
        </w:rPr>
        <w:t xml:space="preserve">% – maximum </w:t>
      </w:r>
      <w:r w:rsidR="00C0079F" w:rsidRPr="008C552A">
        <w:rPr>
          <w:rFonts w:cstheme="minorHAnsi"/>
          <w:bCs/>
          <w:color w:val="FF0000"/>
        </w:rPr>
        <w:t>2.426</w:t>
      </w:r>
      <w:r w:rsidRPr="008C552A">
        <w:rPr>
          <w:rFonts w:cstheme="minorHAnsi"/>
          <w:bCs/>
          <w:color w:val="FF0000"/>
        </w:rPr>
        <w:t xml:space="preserve">%) with a correlation coefficient between RSRRs for each </w:t>
      </w:r>
      <w:r w:rsidR="007A17E5" w:rsidRPr="008C552A">
        <w:rPr>
          <w:rFonts w:cstheme="minorHAnsi"/>
          <w:bCs/>
          <w:color w:val="FF0000"/>
        </w:rPr>
        <w:t>ACO</w:t>
      </w:r>
      <w:r w:rsidRPr="008C552A">
        <w:rPr>
          <w:rFonts w:cstheme="minorHAnsi"/>
          <w:bCs/>
          <w:color w:val="FF0000"/>
        </w:rPr>
        <w:t xml:space="preserve"> with and without </w:t>
      </w:r>
      <w:r w:rsidR="00831693" w:rsidRPr="008C552A">
        <w:rPr>
          <w:rFonts w:cstheme="minorHAnsi"/>
          <w:bCs/>
          <w:color w:val="FF0000"/>
        </w:rPr>
        <w:t xml:space="preserve">dual-eligible </w:t>
      </w:r>
      <w:r w:rsidRPr="008C552A">
        <w:rPr>
          <w:rFonts w:cstheme="minorHAnsi"/>
          <w:bCs/>
          <w:color w:val="FF0000"/>
        </w:rPr>
        <w:t>added of 0.99</w:t>
      </w:r>
      <w:r w:rsidR="00C0079F" w:rsidRPr="008C552A">
        <w:rPr>
          <w:rFonts w:cstheme="minorHAnsi"/>
          <w:bCs/>
          <w:color w:val="FF0000"/>
        </w:rPr>
        <w:t>7</w:t>
      </w:r>
      <w:r w:rsidRPr="008C552A">
        <w:rPr>
          <w:rFonts w:cstheme="minorHAnsi"/>
          <w:bCs/>
          <w:color w:val="FF0000"/>
        </w:rPr>
        <w:t xml:space="preserve">. The median absolute change in </w:t>
      </w:r>
      <w:r w:rsidR="00C0079F" w:rsidRPr="008C552A">
        <w:rPr>
          <w:rFonts w:cstheme="minorHAnsi"/>
          <w:bCs/>
          <w:color w:val="FF0000"/>
        </w:rPr>
        <w:t>ACOs</w:t>
      </w:r>
      <w:r w:rsidRPr="008C552A">
        <w:rPr>
          <w:rFonts w:cstheme="minorHAnsi"/>
          <w:bCs/>
          <w:color w:val="FF0000"/>
        </w:rPr>
        <w:t xml:space="preserve">’ RSRRs when adding a low SES AHRQ indicator is </w:t>
      </w:r>
      <w:r w:rsidR="00066472" w:rsidRPr="008C552A">
        <w:rPr>
          <w:rFonts w:cstheme="minorHAnsi"/>
          <w:bCs/>
          <w:color w:val="FF0000"/>
        </w:rPr>
        <w:t>-</w:t>
      </w:r>
      <w:r w:rsidRPr="008C552A">
        <w:rPr>
          <w:rFonts w:cstheme="minorHAnsi"/>
          <w:bCs/>
          <w:color w:val="FF0000"/>
        </w:rPr>
        <w:t>0.</w:t>
      </w:r>
      <w:r w:rsidR="00AD6F59" w:rsidRPr="008C552A">
        <w:rPr>
          <w:rFonts w:cstheme="minorHAnsi"/>
          <w:bCs/>
          <w:color w:val="FF0000"/>
        </w:rPr>
        <w:t>001</w:t>
      </w:r>
      <w:r w:rsidRPr="008C552A">
        <w:rPr>
          <w:rFonts w:cstheme="minorHAnsi"/>
          <w:bCs/>
          <w:color w:val="FF0000"/>
        </w:rPr>
        <w:t>% (IQR -0.</w:t>
      </w:r>
      <w:r w:rsidR="00AD6F59" w:rsidRPr="008C552A">
        <w:rPr>
          <w:rFonts w:cstheme="minorHAnsi"/>
          <w:bCs/>
          <w:color w:val="FF0000"/>
        </w:rPr>
        <w:t>054</w:t>
      </w:r>
      <w:r w:rsidRPr="008C552A">
        <w:rPr>
          <w:rFonts w:cstheme="minorHAnsi"/>
          <w:bCs/>
          <w:color w:val="FF0000"/>
        </w:rPr>
        <w:t>% – 0.</w:t>
      </w:r>
      <w:r w:rsidR="00AD6F59" w:rsidRPr="008C552A">
        <w:rPr>
          <w:rFonts w:cstheme="minorHAnsi"/>
          <w:bCs/>
          <w:color w:val="FF0000"/>
        </w:rPr>
        <w:t>046</w:t>
      </w:r>
      <w:r w:rsidRPr="008C552A">
        <w:rPr>
          <w:rFonts w:cstheme="minorHAnsi"/>
          <w:bCs/>
          <w:color w:val="FF0000"/>
        </w:rPr>
        <w:t>%, minimum -0.</w:t>
      </w:r>
      <w:r w:rsidR="00066472" w:rsidRPr="008C552A">
        <w:rPr>
          <w:rFonts w:cstheme="minorHAnsi"/>
          <w:bCs/>
          <w:color w:val="FF0000"/>
        </w:rPr>
        <w:t>200</w:t>
      </w:r>
      <w:r w:rsidRPr="008C552A">
        <w:rPr>
          <w:rFonts w:cstheme="minorHAnsi"/>
          <w:bCs/>
          <w:color w:val="FF0000"/>
        </w:rPr>
        <w:t>% – maximum 0.1</w:t>
      </w:r>
      <w:r w:rsidR="00066472" w:rsidRPr="008C552A">
        <w:rPr>
          <w:rFonts w:cstheme="minorHAnsi"/>
          <w:bCs/>
          <w:color w:val="FF0000"/>
        </w:rPr>
        <w:t>74</w:t>
      </w:r>
      <w:r w:rsidRPr="008C552A">
        <w:rPr>
          <w:rFonts w:cstheme="minorHAnsi"/>
          <w:bCs/>
          <w:color w:val="FF0000"/>
        </w:rPr>
        <w:t>%) with a correlation coefficient between RSRRs for each hospital with and without low SES added of 0.99</w:t>
      </w:r>
      <w:r w:rsidR="00066472" w:rsidRPr="008C552A">
        <w:rPr>
          <w:rFonts w:cstheme="minorHAnsi"/>
          <w:bCs/>
          <w:color w:val="FF0000"/>
        </w:rPr>
        <w:t>99</w:t>
      </w:r>
      <w:r w:rsidRPr="008C552A">
        <w:rPr>
          <w:rFonts w:cstheme="minorHAnsi"/>
          <w:bCs/>
          <w:color w:val="FF0000"/>
        </w:rPr>
        <w:t>.</w:t>
      </w:r>
    </w:p>
    <w:p w14:paraId="2AE9B196" w14:textId="79DAD07B" w:rsidR="00001D73" w:rsidRPr="002F2AE5" w:rsidRDefault="00001D73" w:rsidP="00001D73">
      <w:pPr>
        <w:autoSpaceDE w:val="0"/>
        <w:autoSpaceDN w:val="0"/>
        <w:adjustRightInd w:val="0"/>
        <w:spacing w:after="0" w:line="240" w:lineRule="auto"/>
        <w:rPr>
          <w:rFonts w:cstheme="minorHAnsi"/>
          <w:b/>
          <w:bCs/>
        </w:rPr>
      </w:pPr>
    </w:p>
    <w:p w14:paraId="2AE9B197" w14:textId="77777777" w:rsidR="00C1695E" w:rsidRPr="002F2AE5" w:rsidRDefault="00C1695E" w:rsidP="00001D73">
      <w:pPr>
        <w:autoSpaceDE w:val="0"/>
        <w:autoSpaceDN w:val="0"/>
        <w:adjustRightInd w:val="0"/>
        <w:spacing w:after="0" w:line="240" w:lineRule="auto"/>
        <w:rPr>
          <w:rFonts w:cstheme="minorHAnsi"/>
          <w:b/>
          <w:bCs/>
        </w:rPr>
      </w:pPr>
    </w:p>
    <w:p w14:paraId="7B75A548" w14:textId="77777777" w:rsidR="008027BA" w:rsidRDefault="00E1508F" w:rsidP="00092566">
      <w:pPr>
        <w:autoSpaceDE w:val="0"/>
        <w:autoSpaceDN w:val="0"/>
        <w:adjustRightInd w:val="0"/>
        <w:spacing w:after="0" w:line="240" w:lineRule="auto"/>
        <w:rPr>
          <w:rFonts w:cstheme="minorHAnsi"/>
          <w:bCs/>
        </w:rPr>
      </w:pPr>
      <w:r w:rsidRPr="002F2AE5">
        <w:rPr>
          <w:rFonts w:cstheme="minorHAnsi"/>
          <w:b/>
          <w:bCs/>
        </w:rPr>
        <w:t>2b4.</w:t>
      </w:r>
      <w:r w:rsidR="00092566" w:rsidRPr="002F2AE5">
        <w:rPr>
          <w:rFonts w:cstheme="minorHAnsi"/>
          <w:b/>
          <w:bCs/>
        </w:rPr>
        <w:t xml:space="preserve">5. </w:t>
      </w:r>
      <w:r w:rsidR="008871A9" w:rsidRPr="002F2AE5">
        <w:rPr>
          <w:rFonts w:cstheme="minorHAnsi"/>
          <w:b/>
          <w:bCs/>
        </w:rPr>
        <w:t>Describe the method of</w:t>
      </w:r>
      <w:r w:rsidR="00092566" w:rsidRPr="002F2AE5">
        <w:rPr>
          <w:rFonts w:cstheme="minorHAnsi"/>
          <w:b/>
          <w:bCs/>
        </w:rPr>
        <w:t xml:space="preserve"> </w:t>
      </w:r>
      <w:r w:rsidR="008871A9" w:rsidRPr="002F2AE5">
        <w:rPr>
          <w:rFonts w:cstheme="minorHAnsi"/>
          <w:b/>
          <w:bCs/>
        </w:rPr>
        <w:t xml:space="preserve">testing/analysis used </w:t>
      </w:r>
      <w:r w:rsidR="00092566" w:rsidRPr="002F2AE5">
        <w:rPr>
          <w:rFonts w:cstheme="minorHAnsi"/>
          <w:b/>
          <w:bCs/>
        </w:rPr>
        <w:t xml:space="preserve">to develop and validate the adequacy of the statistical model </w:t>
      </w:r>
      <w:r w:rsidR="00092566" w:rsidRPr="002F2AE5">
        <w:rPr>
          <w:rFonts w:cstheme="minorHAnsi"/>
          <w:b/>
          <w:bCs/>
          <w:u w:val="single"/>
        </w:rPr>
        <w:t>or</w:t>
      </w:r>
      <w:r w:rsidR="00092566" w:rsidRPr="002F2AE5">
        <w:rPr>
          <w:rFonts w:cstheme="minorHAnsi"/>
          <w:b/>
          <w:bCs/>
        </w:rPr>
        <w:t xml:space="preserve"> stratification approach</w:t>
      </w:r>
      <w:r w:rsidR="00092566" w:rsidRPr="002F2AE5">
        <w:rPr>
          <w:rFonts w:cstheme="minorHAnsi"/>
          <w:bCs/>
        </w:rPr>
        <w:t xml:space="preserve"> (</w:t>
      </w:r>
      <w:r w:rsidR="008871A9" w:rsidRPr="002F2AE5">
        <w:rPr>
          <w:rFonts w:cstheme="minorHAnsi"/>
          <w:bCs/>
          <w:i/>
        </w:rPr>
        <w:t>describe the steps―do not just name a method</w:t>
      </w:r>
      <w:r w:rsidR="006C3A4F" w:rsidRPr="002F2AE5">
        <w:rPr>
          <w:rFonts w:cstheme="minorHAnsi"/>
          <w:bCs/>
          <w:i/>
        </w:rPr>
        <w:t>; what statistical analysis was used</w:t>
      </w:r>
      <w:r w:rsidR="00092566" w:rsidRPr="002F2AE5">
        <w:rPr>
          <w:rFonts w:cstheme="minorHAnsi"/>
          <w:bCs/>
        </w:rPr>
        <w:t>)</w:t>
      </w:r>
    </w:p>
    <w:p w14:paraId="2073F04E" w14:textId="62C45B2A" w:rsidR="00575EE3" w:rsidRPr="00575EE3" w:rsidRDefault="00575EE3"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
          <w:bCs/>
          <w:i/>
        </w:rPr>
      </w:pPr>
      <w:r w:rsidRPr="00575EE3">
        <w:rPr>
          <w:rFonts w:cstheme="minorHAnsi"/>
          <w:b/>
          <w:bCs/>
          <w:i/>
        </w:rPr>
        <w:t xml:space="preserve">Approach to assessing model performance (Dataset 1 </w:t>
      </w:r>
      <w:r w:rsidR="00956B12">
        <w:rPr>
          <w:rFonts w:cstheme="minorHAnsi"/>
          <w:bCs/>
          <w:i/>
        </w:rPr>
        <w:t>and</w:t>
      </w:r>
      <w:r w:rsidR="00956B12" w:rsidRPr="00575EE3">
        <w:rPr>
          <w:rFonts w:cstheme="minorHAnsi"/>
          <w:b/>
          <w:bCs/>
          <w:i/>
        </w:rPr>
        <w:t xml:space="preserve"> </w:t>
      </w:r>
      <w:r w:rsidRPr="00575EE3">
        <w:rPr>
          <w:rFonts w:cstheme="minorHAnsi"/>
          <w:b/>
          <w:bCs/>
          <w:i/>
        </w:rPr>
        <w:t>Dataset 2)</w:t>
      </w:r>
    </w:p>
    <w:p w14:paraId="4C730A05" w14:textId="33E871B5"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Cs/>
        </w:rPr>
      </w:pPr>
      <w:r w:rsidRPr="00151DB5">
        <w:rPr>
          <w:rFonts w:cstheme="minorHAnsi"/>
          <w:bCs/>
        </w:rPr>
        <w:t xml:space="preserve">We tested the performance of the model for </w:t>
      </w:r>
      <w:r w:rsidRPr="00A207E7">
        <w:rPr>
          <w:rFonts w:cstheme="minorHAnsi"/>
          <w:b/>
          <w:bCs/>
        </w:rPr>
        <w:t xml:space="preserve">Dataset 1 </w:t>
      </w:r>
      <w:r w:rsidR="00956B12">
        <w:rPr>
          <w:rFonts w:cstheme="minorHAnsi"/>
          <w:bCs/>
        </w:rPr>
        <w:t>and</w:t>
      </w:r>
      <w:r w:rsidR="00956B12">
        <w:rPr>
          <w:rFonts w:cstheme="minorHAnsi"/>
          <w:b/>
          <w:bCs/>
          <w:u w:val="single"/>
        </w:rPr>
        <w:t xml:space="preserve"> </w:t>
      </w:r>
      <w:r w:rsidRPr="00151DB5">
        <w:rPr>
          <w:rFonts w:cstheme="minorHAnsi"/>
          <w:b/>
          <w:bCs/>
        </w:rPr>
        <w:t>Dataset 2</w:t>
      </w:r>
      <w:r w:rsidRPr="00151DB5">
        <w:rPr>
          <w:rFonts w:cstheme="minorHAnsi"/>
          <w:bCs/>
        </w:rPr>
        <w:t xml:space="preserve"> described in section 1.7. We computed three summary statistics for assessing model performance (Harrell and Shih, 2001) for the development and validation cohort:</w:t>
      </w:r>
    </w:p>
    <w:p w14:paraId="7454520E" w14:textId="77777777"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Cs/>
        </w:rPr>
      </w:pPr>
    </w:p>
    <w:p w14:paraId="61DCE708" w14:textId="77777777"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
          <w:bCs/>
          <w:i/>
        </w:rPr>
      </w:pPr>
      <w:r w:rsidRPr="00151DB5">
        <w:rPr>
          <w:rFonts w:cstheme="minorHAnsi"/>
          <w:b/>
          <w:bCs/>
          <w:i/>
        </w:rPr>
        <w:t>Discrimination Statistics</w:t>
      </w:r>
    </w:p>
    <w:p w14:paraId="72981929" w14:textId="77777777"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Cs/>
        </w:rPr>
      </w:pPr>
      <w:r w:rsidRPr="00151DB5">
        <w:rPr>
          <w:rFonts w:cstheme="minorHAnsi"/>
          <w:bCs/>
        </w:rPr>
        <w:t xml:space="preserve">(1) </w:t>
      </w:r>
      <w:r w:rsidRPr="00151DB5">
        <w:t>Area under the receiver operating characteristic (ROC) curve (the c-statistic) is the probability that predicting the outcome is better than chance, which is a measure of how accurately a statistical model is able to distinguish between a patient with and without an outcome.</w:t>
      </w:r>
    </w:p>
    <w:p w14:paraId="500A3261" w14:textId="77777777"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pPr>
      <w:r w:rsidRPr="00151DB5">
        <w:rPr>
          <w:rFonts w:cstheme="minorHAnsi"/>
          <w:bCs/>
        </w:rPr>
        <w:t xml:space="preserve">(2) Predictive ability </w:t>
      </w:r>
      <w:r w:rsidRPr="00151DB5">
        <w:t>(discrimination in predictive ability measures the ability to distinguish high-risk subjects from low-risk subjects; therefore, we would hope to see a wide range between the lowest decile and highest decile.)</w:t>
      </w:r>
    </w:p>
    <w:p w14:paraId="323B9013" w14:textId="77777777" w:rsidR="008027BA" w:rsidRPr="00FC4690" w:rsidRDefault="008027BA" w:rsidP="008027BA">
      <w:pPr>
        <w:pBdr>
          <w:top w:val="single" w:sz="4" w:space="0" w:color="auto"/>
          <w:left w:val="single" w:sz="4" w:space="4" w:color="auto"/>
          <w:bottom w:val="single" w:sz="4" w:space="1" w:color="auto"/>
          <w:right w:val="single" w:sz="4" w:space="4" w:color="auto"/>
        </w:pBdr>
        <w:spacing w:line="240" w:lineRule="auto"/>
        <w:contextualSpacing/>
      </w:pPr>
    </w:p>
    <w:p w14:paraId="321304C4" w14:textId="77777777" w:rsidR="008027BA" w:rsidRPr="00956B12"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
          <w:bCs/>
          <w:i/>
        </w:rPr>
      </w:pPr>
      <w:r w:rsidRPr="00151DB5">
        <w:rPr>
          <w:b/>
          <w:i/>
        </w:rPr>
        <w:t>Calibration Statistics</w:t>
      </w:r>
      <w:r>
        <w:rPr>
          <w:b/>
          <w:i/>
        </w:rPr>
        <w:t xml:space="preserve"> </w:t>
      </w:r>
      <w:r w:rsidRPr="00FC4690">
        <w:rPr>
          <w:b/>
        </w:rPr>
        <w:t>(</w:t>
      </w:r>
      <w:r w:rsidRPr="00ED0A10">
        <w:rPr>
          <w:rFonts w:cstheme="minorHAnsi"/>
          <w:b/>
          <w:bCs/>
        </w:rPr>
        <w:t>Dataset 2)</w:t>
      </w:r>
    </w:p>
    <w:p w14:paraId="1EAAA135" w14:textId="77777777"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Cs/>
        </w:rPr>
      </w:pPr>
      <w:r w:rsidRPr="00151DB5">
        <w:rPr>
          <w:rFonts w:cstheme="minorHAnsi"/>
          <w:bCs/>
        </w:rPr>
        <w:lastRenderedPageBreak/>
        <w:t>(3) Over-fitting indices (over-fitting refers to the phenomenon in which a model accurately describes the relationship between predictive variables and outcome in the development dataset but fails to provide valid predictions in new patients.)</w:t>
      </w:r>
    </w:p>
    <w:p w14:paraId="12F7251B" w14:textId="77777777" w:rsidR="008027BA" w:rsidRPr="00151DB5"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Cs/>
        </w:rPr>
      </w:pPr>
    </w:p>
    <w:p w14:paraId="2E572ECA" w14:textId="77777777" w:rsidR="008027BA" w:rsidRPr="00C81E1E" w:rsidRDefault="008027BA" w:rsidP="008027BA">
      <w:pPr>
        <w:pBdr>
          <w:top w:val="single" w:sz="4" w:space="0" w:color="auto"/>
          <w:left w:val="single" w:sz="4" w:space="4" w:color="auto"/>
          <w:bottom w:val="single" w:sz="4" w:space="1" w:color="auto"/>
          <w:right w:val="single" w:sz="4" w:space="4" w:color="auto"/>
        </w:pBdr>
        <w:spacing w:line="240" w:lineRule="auto"/>
        <w:contextualSpacing/>
        <w:rPr>
          <w:rFonts w:cstheme="minorHAnsi"/>
          <w:bCs/>
          <w:u w:val="single"/>
        </w:rPr>
      </w:pPr>
      <w:r w:rsidRPr="00C81E1E">
        <w:rPr>
          <w:rFonts w:cstheme="minorHAnsi"/>
          <w:bCs/>
          <w:u w:val="single"/>
        </w:rPr>
        <w:t>References:</w:t>
      </w:r>
    </w:p>
    <w:p w14:paraId="61AAB4C7" w14:textId="77777777" w:rsidR="008027BA" w:rsidRPr="008D2BD7" w:rsidRDefault="008027BA" w:rsidP="008027BA">
      <w:pPr>
        <w:pBdr>
          <w:top w:val="single" w:sz="4" w:space="0" w:color="auto"/>
          <w:left w:val="single" w:sz="4" w:space="4" w:color="auto"/>
          <w:bottom w:val="single" w:sz="4" w:space="1" w:color="auto"/>
          <w:right w:val="single" w:sz="4" w:space="4" w:color="auto"/>
        </w:pBdr>
        <w:spacing w:after="240" w:line="240" w:lineRule="auto"/>
        <w:rPr>
          <w:rFonts w:cstheme="minorHAnsi"/>
          <w:bCs/>
        </w:rPr>
      </w:pPr>
      <w:r w:rsidRPr="008D2BD7">
        <w:t>Harrell</w:t>
      </w:r>
      <w:r>
        <w:t xml:space="preserve"> FE</w:t>
      </w:r>
      <w:r w:rsidRPr="008D2BD7">
        <w:t xml:space="preserve"> and Shih</w:t>
      </w:r>
      <w:r>
        <w:t xml:space="preserve"> YC</w:t>
      </w:r>
      <w:r w:rsidRPr="008D2BD7">
        <w:t xml:space="preserve">T. Using full probability models to compute probabilities of actual interest to decision makers, </w:t>
      </w:r>
      <w:r w:rsidRPr="008D2BD7">
        <w:rPr>
          <w:i/>
          <w:iCs/>
        </w:rPr>
        <w:t xml:space="preserve">Int. J. Technol. Assess. </w:t>
      </w:r>
      <w:r w:rsidRPr="00F10EF4">
        <w:rPr>
          <w:i/>
          <w:iCs/>
        </w:rPr>
        <w:t>Health Care</w:t>
      </w:r>
      <w:r w:rsidRPr="00F10EF4">
        <w:t xml:space="preserve"> </w:t>
      </w:r>
      <w:r w:rsidRPr="00F10EF4">
        <w:rPr>
          <w:rStyle w:val="Strong"/>
          <w:b w:val="0"/>
        </w:rPr>
        <w:t>17</w:t>
      </w:r>
      <w:r w:rsidRPr="00F10EF4">
        <w:t xml:space="preserve"> (</w:t>
      </w:r>
      <w:r w:rsidRPr="008D2BD7">
        <w:t>2001), pp. 17–26.</w:t>
      </w:r>
    </w:p>
    <w:p w14:paraId="3FB2AC84" w14:textId="77777777" w:rsidR="008027BA" w:rsidRDefault="008027BA" w:rsidP="00092566">
      <w:pPr>
        <w:autoSpaceDE w:val="0"/>
        <w:autoSpaceDN w:val="0"/>
        <w:adjustRightInd w:val="0"/>
        <w:spacing w:after="0" w:line="240" w:lineRule="auto"/>
        <w:rPr>
          <w:rFonts w:cstheme="minorHAnsi"/>
          <w:bCs/>
          <w:i/>
        </w:rPr>
      </w:pPr>
    </w:p>
    <w:p w14:paraId="2AE9B199" w14:textId="6AFB2476" w:rsidR="00E1508F" w:rsidRPr="002F2AE5" w:rsidRDefault="00001D73" w:rsidP="00092566">
      <w:pPr>
        <w:autoSpaceDE w:val="0"/>
        <w:autoSpaceDN w:val="0"/>
        <w:adjustRightInd w:val="0"/>
        <w:spacing w:after="0" w:line="240" w:lineRule="auto"/>
        <w:rPr>
          <w:rFonts w:cstheme="minorHAnsi"/>
          <w:b/>
          <w:bCs/>
        </w:rPr>
      </w:pPr>
      <w:r w:rsidRPr="002F2AE5">
        <w:rPr>
          <w:rFonts w:cstheme="minorHAnsi"/>
          <w:bCs/>
          <w:i/>
        </w:rPr>
        <w:t>Provide</w:t>
      </w:r>
      <w:r w:rsidR="00092566" w:rsidRPr="002F2AE5">
        <w:rPr>
          <w:rFonts w:cstheme="minorHAnsi"/>
          <w:bCs/>
          <w:i/>
        </w:rPr>
        <w:t xml:space="preserve"> the statistical results from testing the approach to controlling for differences in patient </w:t>
      </w:r>
      <w:r w:rsidR="00092566" w:rsidRPr="005E4506">
        <w:rPr>
          <w:rFonts w:cstheme="minorHAnsi"/>
          <w:bCs/>
          <w:i/>
        </w:rPr>
        <w:t>characteristics (case mix)</w:t>
      </w:r>
      <w:r w:rsidRPr="005E4506">
        <w:rPr>
          <w:rFonts w:cstheme="minorHAnsi"/>
          <w:bCs/>
          <w:i/>
        </w:rPr>
        <w:t xml:space="preserve"> below</w:t>
      </w:r>
      <w:r w:rsidRPr="005E4506">
        <w:rPr>
          <w:rFonts w:cstheme="minorHAnsi"/>
          <w:bCs/>
        </w:rPr>
        <w:t>.</w:t>
      </w:r>
      <w:r w:rsidR="00092566" w:rsidRPr="005E4506">
        <w:rPr>
          <w:rFonts w:cstheme="minorHAnsi"/>
          <w:bCs/>
        </w:rPr>
        <w:br/>
      </w:r>
      <w:r w:rsidR="001F7A20" w:rsidRPr="005E4506">
        <w:rPr>
          <w:rFonts w:cstheme="minorHAnsi"/>
          <w:b/>
          <w:bCs/>
          <w:i/>
        </w:rPr>
        <w:t>If</w:t>
      </w:r>
      <w:r w:rsidR="00743E46" w:rsidRPr="005E4506">
        <w:rPr>
          <w:rFonts w:cstheme="minorHAnsi"/>
          <w:b/>
          <w:bCs/>
          <w:i/>
        </w:rPr>
        <w:t xml:space="preserve"> stratified, skip to</w:t>
      </w:r>
      <w:r w:rsidR="00743E46" w:rsidRPr="00A768D7">
        <w:rPr>
          <w:rFonts w:cstheme="minorHAnsi"/>
          <w:b/>
          <w:bCs/>
          <w:i/>
        </w:rPr>
        <w:t xml:space="preserve"> </w:t>
      </w:r>
      <w:hyperlink w:anchor="question2b49" w:history="1">
        <w:r w:rsidR="00743E46" w:rsidRPr="00A768D7">
          <w:rPr>
            <w:rStyle w:val="Hyperlink"/>
            <w:rFonts w:cstheme="minorHAnsi"/>
            <w:b/>
            <w:bCs/>
            <w:i/>
            <w:color w:val="auto"/>
          </w:rPr>
          <w:t>2b4.9</w:t>
        </w:r>
      </w:hyperlink>
    </w:p>
    <w:p w14:paraId="2AE9B19A" w14:textId="77777777" w:rsidR="00743E46" w:rsidRPr="002F2AE5" w:rsidRDefault="00743E46" w:rsidP="00092566">
      <w:pPr>
        <w:autoSpaceDE w:val="0"/>
        <w:autoSpaceDN w:val="0"/>
        <w:adjustRightInd w:val="0"/>
        <w:spacing w:after="0" w:line="240" w:lineRule="auto"/>
        <w:rPr>
          <w:rFonts w:cstheme="minorHAnsi"/>
          <w:b/>
          <w:bCs/>
        </w:rPr>
      </w:pPr>
    </w:p>
    <w:p w14:paraId="22A3CF8F" w14:textId="77777777" w:rsidR="008027BA" w:rsidRDefault="00743E46" w:rsidP="00092566">
      <w:pPr>
        <w:autoSpaceDE w:val="0"/>
        <w:autoSpaceDN w:val="0"/>
        <w:adjustRightInd w:val="0"/>
        <w:spacing w:after="0" w:line="240" w:lineRule="auto"/>
        <w:rPr>
          <w:rFonts w:cstheme="minorHAnsi"/>
          <w:b/>
          <w:bCs/>
        </w:rPr>
      </w:pPr>
      <w:r w:rsidRPr="002F2AE5">
        <w:rPr>
          <w:rFonts w:cstheme="minorHAnsi"/>
          <w:b/>
          <w:bCs/>
        </w:rPr>
        <w:t xml:space="preserve">2b4.6. </w:t>
      </w:r>
      <w:r w:rsidR="00001D73" w:rsidRPr="002F2AE5">
        <w:rPr>
          <w:rFonts w:cstheme="minorHAnsi"/>
          <w:b/>
          <w:bCs/>
        </w:rPr>
        <w:t xml:space="preserve">Statistical </w:t>
      </w:r>
      <w:r w:rsidR="00092566" w:rsidRPr="002F2AE5">
        <w:rPr>
          <w:rFonts w:cstheme="minorHAnsi"/>
          <w:b/>
          <w:bCs/>
        </w:rPr>
        <w:t>Risk Model Discrimination Statistics</w:t>
      </w:r>
      <w:r w:rsidR="003605B4" w:rsidRPr="002F2AE5">
        <w:rPr>
          <w:rFonts w:cstheme="minorHAnsi"/>
          <w:bCs/>
        </w:rPr>
        <w:t xml:space="preserve"> (</w:t>
      </w:r>
      <w:r w:rsidR="003605B4" w:rsidRPr="002F2AE5">
        <w:rPr>
          <w:rFonts w:cstheme="minorHAnsi"/>
          <w:bCs/>
          <w:i/>
        </w:rPr>
        <w:t>e.g., c-statistic, R-squared</w:t>
      </w:r>
      <w:r w:rsidR="003605B4" w:rsidRPr="002F2AE5">
        <w:rPr>
          <w:rFonts w:cstheme="minorHAnsi"/>
          <w:bCs/>
        </w:rPr>
        <w:t>)</w:t>
      </w:r>
      <w:r w:rsidRPr="002F2AE5">
        <w:rPr>
          <w:rFonts w:cstheme="minorHAnsi"/>
          <w:b/>
          <w:bCs/>
        </w:rPr>
        <w:t>:</w:t>
      </w:r>
      <w:r w:rsidR="00092566" w:rsidRPr="002F2AE5">
        <w:rPr>
          <w:rFonts w:cstheme="minorHAnsi"/>
          <w:b/>
          <w:bCs/>
        </w:rPr>
        <w:t xml:space="preserve">  </w:t>
      </w:r>
    </w:p>
    <w:p w14:paraId="6E1AAFC5" w14:textId="7D119DAF" w:rsidR="008027BA" w:rsidRDefault="008027BA" w:rsidP="00092566">
      <w:pPr>
        <w:autoSpaceDE w:val="0"/>
        <w:autoSpaceDN w:val="0"/>
        <w:adjustRightInd w:val="0"/>
        <w:spacing w:after="0" w:line="240" w:lineRule="auto"/>
        <w:rPr>
          <w:rFonts w:cstheme="minorHAnsi"/>
          <w:b/>
          <w:bCs/>
        </w:rPr>
      </w:pPr>
    </w:p>
    <w:p w14:paraId="27DB39C9" w14:textId="31B3D106" w:rsidR="00A56D8C" w:rsidRPr="00844F4A" w:rsidRDefault="00A56D8C" w:rsidP="00092566">
      <w:pPr>
        <w:autoSpaceDE w:val="0"/>
        <w:autoSpaceDN w:val="0"/>
        <w:adjustRightInd w:val="0"/>
        <w:spacing w:after="0" w:line="240" w:lineRule="auto"/>
        <w:rPr>
          <w:rFonts w:cstheme="minorHAnsi"/>
          <w:b/>
          <w:bCs/>
        </w:rPr>
      </w:pPr>
      <w:r w:rsidRPr="00844F4A">
        <w:rPr>
          <w:rFonts w:cstheme="minorHAnsi"/>
          <w:b/>
          <w:bCs/>
        </w:rPr>
        <w:t xml:space="preserve">The following results are for the </w:t>
      </w:r>
      <w:r w:rsidR="00B36169" w:rsidRPr="00844F4A">
        <w:rPr>
          <w:rFonts w:cstheme="minorHAnsi"/>
          <w:b/>
          <w:bCs/>
        </w:rPr>
        <w:t xml:space="preserve">HWR </w:t>
      </w:r>
      <w:r w:rsidRPr="00844F4A">
        <w:rPr>
          <w:rFonts w:cstheme="minorHAnsi"/>
          <w:b/>
          <w:bCs/>
        </w:rPr>
        <w:t>measure.</w:t>
      </w:r>
    </w:p>
    <w:p w14:paraId="211E67F6" w14:textId="77777777" w:rsidR="00A56D8C" w:rsidRDefault="00A56D8C" w:rsidP="00092566">
      <w:pPr>
        <w:autoSpaceDE w:val="0"/>
        <w:autoSpaceDN w:val="0"/>
        <w:adjustRightInd w:val="0"/>
        <w:spacing w:after="0" w:line="240" w:lineRule="auto"/>
        <w:rPr>
          <w:rFonts w:cstheme="minorHAnsi"/>
          <w:b/>
          <w:bCs/>
        </w:rPr>
      </w:pPr>
    </w:p>
    <w:p w14:paraId="7B1CAB59" w14:textId="77777777" w:rsidR="008027BA" w:rsidRDefault="008027BA" w:rsidP="008027BA">
      <w:pPr>
        <w:autoSpaceDE w:val="0"/>
        <w:autoSpaceDN w:val="0"/>
        <w:adjustRightInd w:val="0"/>
        <w:spacing w:after="0" w:line="240" w:lineRule="auto"/>
        <w:rPr>
          <w:rFonts w:cstheme="minorHAnsi"/>
          <w:b/>
          <w:bCs/>
        </w:rPr>
      </w:pPr>
      <w:r>
        <w:rPr>
          <w:rFonts w:cstheme="minorHAnsi"/>
          <w:b/>
          <w:bCs/>
        </w:rPr>
        <w:tab/>
        <w:t>Medicine Cohort Model Discrimination</w:t>
      </w:r>
    </w:p>
    <w:tbl>
      <w:tblPr>
        <w:tblW w:w="9360" w:type="dxa"/>
        <w:tblInd w:w="-5" w:type="dxa"/>
        <w:tblLayout w:type="fixed"/>
        <w:tblCellMar>
          <w:left w:w="0" w:type="dxa"/>
          <w:right w:w="0" w:type="dxa"/>
        </w:tblCellMar>
        <w:tblLook w:val="0000" w:firstRow="0" w:lastRow="0" w:firstColumn="0" w:lastColumn="0" w:noHBand="0" w:noVBand="0"/>
      </w:tblPr>
      <w:tblGrid>
        <w:gridCol w:w="2340"/>
        <w:gridCol w:w="1980"/>
        <w:gridCol w:w="1710"/>
        <w:gridCol w:w="1710"/>
        <w:gridCol w:w="1620"/>
      </w:tblGrid>
      <w:tr w:rsidR="008027BA" w:rsidRPr="00C40456" w14:paraId="749C5E31" w14:textId="77777777" w:rsidTr="00ED0A10">
        <w:trPr>
          <w:cantSplit/>
          <w:trHeight w:hRule="exact" w:val="910"/>
          <w:tblHeader/>
        </w:trPr>
        <w:tc>
          <w:tcPr>
            <w:tcW w:w="23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5E678D6" w14:textId="77777777" w:rsidR="008027BA" w:rsidRPr="00C40456" w:rsidRDefault="008027BA" w:rsidP="00A56D8C">
            <w:pPr>
              <w:kinsoku w:val="0"/>
              <w:overflowPunct w:val="0"/>
              <w:autoSpaceDE w:val="0"/>
              <w:autoSpaceDN w:val="0"/>
              <w:adjustRightInd w:val="0"/>
              <w:spacing w:before="166" w:after="0" w:line="240" w:lineRule="auto"/>
              <w:ind w:right="5"/>
              <w:jc w:val="center"/>
              <w:rPr>
                <w:rFonts w:ascii="Times New Roman" w:hAnsi="Times New Roman" w:cs="Times New Roman"/>
                <w:sz w:val="24"/>
                <w:szCs w:val="24"/>
              </w:rPr>
            </w:pPr>
            <w:r w:rsidRPr="00C40456">
              <w:rPr>
                <w:rFonts w:ascii="Arial" w:hAnsi="Arial" w:cs="Arial"/>
                <w:b/>
                <w:bCs/>
                <w:spacing w:val="-1"/>
                <w:sz w:val="20"/>
                <w:szCs w:val="20"/>
              </w:rPr>
              <w:t>Indices</w:t>
            </w:r>
          </w:p>
        </w:tc>
        <w:tc>
          <w:tcPr>
            <w:tcW w:w="19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B654D3" w14:textId="77777777" w:rsidR="008027BA" w:rsidRPr="00C40456" w:rsidRDefault="008027BA" w:rsidP="00A56D8C">
            <w:pPr>
              <w:kinsoku w:val="0"/>
              <w:overflowPunct w:val="0"/>
              <w:autoSpaceDE w:val="0"/>
              <w:autoSpaceDN w:val="0"/>
              <w:adjustRightInd w:val="0"/>
              <w:spacing w:before="51" w:after="0" w:line="240" w:lineRule="auto"/>
              <w:ind w:right="5"/>
              <w:jc w:val="center"/>
              <w:rPr>
                <w:rFonts w:ascii="Arial" w:hAnsi="Arial" w:cs="Arial"/>
                <w:sz w:val="20"/>
                <w:szCs w:val="20"/>
              </w:rPr>
            </w:pPr>
            <w:r w:rsidRPr="00C40456">
              <w:rPr>
                <w:rFonts w:ascii="Arial" w:hAnsi="Arial" w:cs="Arial"/>
                <w:b/>
                <w:bCs/>
                <w:spacing w:val="-1"/>
                <w:sz w:val="20"/>
                <w:szCs w:val="20"/>
              </w:rPr>
              <w:t>2007-2008</w:t>
            </w:r>
          </w:p>
          <w:p w14:paraId="7EE10D7F"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b/>
                <w:bCs/>
                <w:spacing w:val="-1"/>
                <w:sz w:val="20"/>
                <w:szCs w:val="20"/>
              </w:rPr>
              <w:t>Development</w:t>
            </w:r>
            <w:r w:rsidRPr="00C40456">
              <w:rPr>
                <w:rFonts w:ascii="Arial" w:hAnsi="Arial" w:cs="Arial"/>
                <w:b/>
                <w:bCs/>
                <w:spacing w:val="-20"/>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ACFC217" w14:textId="77777777" w:rsidR="008027BA" w:rsidRPr="00C40456" w:rsidRDefault="008027BA" w:rsidP="00A56D8C">
            <w:pPr>
              <w:kinsoku w:val="0"/>
              <w:overflowPunct w:val="0"/>
              <w:autoSpaceDE w:val="0"/>
              <w:autoSpaceDN w:val="0"/>
              <w:adjustRightInd w:val="0"/>
              <w:spacing w:before="51" w:after="0" w:line="240" w:lineRule="auto"/>
              <w:jc w:val="center"/>
              <w:rPr>
                <w:rFonts w:ascii="Arial" w:hAnsi="Arial" w:cs="Arial"/>
                <w:sz w:val="20"/>
                <w:szCs w:val="20"/>
              </w:rPr>
            </w:pPr>
            <w:r w:rsidRPr="00C40456">
              <w:rPr>
                <w:rFonts w:ascii="Arial" w:hAnsi="Arial" w:cs="Arial"/>
                <w:b/>
                <w:bCs/>
                <w:spacing w:val="-1"/>
                <w:sz w:val="20"/>
                <w:szCs w:val="20"/>
              </w:rPr>
              <w:t>2007-2008</w:t>
            </w:r>
          </w:p>
          <w:p w14:paraId="2F55B70F"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65C97F7" w14:textId="77777777" w:rsidR="008027BA" w:rsidRPr="00C40456" w:rsidRDefault="008027BA" w:rsidP="00A56D8C">
            <w:pPr>
              <w:kinsoku w:val="0"/>
              <w:overflowPunct w:val="0"/>
              <w:autoSpaceDE w:val="0"/>
              <w:autoSpaceDN w:val="0"/>
              <w:adjustRightInd w:val="0"/>
              <w:spacing w:before="51" w:after="0" w:line="240" w:lineRule="auto"/>
              <w:jc w:val="center"/>
              <w:rPr>
                <w:rFonts w:ascii="Arial" w:hAnsi="Arial" w:cs="Arial"/>
                <w:sz w:val="20"/>
                <w:szCs w:val="20"/>
              </w:rPr>
            </w:pPr>
            <w:r w:rsidRPr="00C40456">
              <w:rPr>
                <w:rFonts w:ascii="Arial" w:hAnsi="Arial" w:cs="Arial"/>
                <w:b/>
                <w:bCs/>
                <w:spacing w:val="-1"/>
                <w:sz w:val="20"/>
                <w:szCs w:val="20"/>
              </w:rPr>
              <w:t>2009</w:t>
            </w:r>
          </w:p>
          <w:p w14:paraId="293E8638" w14:textId="77777777" w:rsidR="008027BA" w:rsidRPr="00C40456" w:rsidRDefault="008027BA" w:rsidP="00A56D8C">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Pr>
                <w:rFonts w:ascii="Arial" w:hAnsi="Arial" w:cs="Arial"/>
                <w:b/>
                <w:bCs/>
                <w:sz w:val="20"/>
                <w:szCs w:val="20"/>
              </w:rPr>
              <w:t xml:space="preserve">Validation </w:t>
            </w:r>
            <w:r w:rsidRPr="00C40456">
              <w:rPr>
                <w:rFonts w:ascii="Arial" w:hAnsi="Arial" w:cs="Arial"/>
                <w:b/>
                <w:bCs/>
                <w:sz w:val="20"/>
                <w:szCs w:val="20"/>
              </w:rPr>
              <w:t>Sample</w:t>
            </w:r>
          </w:p>
        </w:tc>
        <w:tc>
          <w:tcPr>
            <w:tcW w:w="162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EAFE19E" w14:textId="50DB1EF2" w:rsidR="008027BA" w:rsidRDefault="008027BA" w:rsidP="00A56D8C">
            <w:pPr>
              <w:kinsoku w:val="0"/>
              <w:overflowPunct w:val="0"/>
              <w:autoSpaceDE w:val="0"/>
              <w:autoSpaceDN w:val="0"/>
              <w:adjustRightInd w:val="0"/>
              <w:spacing w:before="51" w:after="0" w:line="240" w:lineRule="auto"/>
              <w:jc w:val="center"/>
              <w:rPr>
                <w:rFonts w:ascii="Arial" w:hAnsi="Arial" w:cs="Arial"/>
                <w:b/>
                <w:bCs/>
                <w:spacing w:val="-1"/>
                <w:sz w:val="20"/>
                <w:szCs w:val="20"/>
              </w:rPr>
            </w:pPr>
            <w:r>
              <w:rPr>
                <w:rFonts w:ascii="Arial" w:hAnsi="Arial" w:cs="Arial"/>
                <w:b/>
                <w:bCs/>
                <w:spacing w:val="-1"/>
                <w:sz w:val="20"/>
                <w:szCs w:val="20"/>
              </w:rPr>
              <w:t>2015</w:t>
            </w:r>
          </w:p>
          <w:p w14:paraId="1C6F4AFC" w14:textId="77777777" w:rsidR="008027BA" w:rsidRPr="00C40456" w:rsidRDefault="008027BA" w:rsidP="00A56D8C">
            <w:pPr>
              <w:kinsoku w:val="0"/>
              <w:overflowPunct w:val="0"/>
              <w:autoSpaceDE w:val="0"/>
              <w:autoSpaceDN w:val="0"/>
              <w:adjustRightInd w:val="0"/>
              <w:spacing w:before="51" w:after="0" w:line="240" w:lineRule="auto"/>
              <w:jc w:val="center"/>
              <w:rPr>
                <w:rFonts w:ascii="Arial" w:hAnsi="Arial" w:cs="Arial"/>
                <w:b/>
                <w:bCs/>
                <w:spacing w:val="-1"/>
                <w:sz w:val="20"/>
                <w:szCs w:val="20"/>
              </w:rPr>
            </w:pPr>
            <w:r>
              <w:rPr>
                <w:rFonts w:ascii="Arial" w:hAnsi="Arial" w:cs="Arial"/>
                <w:b/>
                <w:bCs/>
                <w:spacing w:val="-1"/>
                <w:sz w:val="20"/>
                <w:szCs w:val="20"/>
              </w:rPr>
              <w:t>HWR Data for Public Reporting</w:t>
            </w:r>
          </w:p>
        </w:tc>
      </w:tr>
      <w:tr w:rsidR="008027BA" w:rsidRPr="00C40456" w14:paraId="52C33BDB"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2DD663EE"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z w:val="20"/>
                <w:szCs w:val="20"/>
              </w:rPr>
              <w:t>Number</w:t>
            </w:r>
            <w:r w:rsidRPr="00C40456">
              <w:rPr>
                <w:rFonts w:ascii="Arial" w:hAnsi="Arial" w:cs="Arial"/>
                <w:spacing w:val="-7"/>
                <w:sz w:val="20"/>
                <w:szCs w:val="20"/>
              </w:rPr>
              <w:t xml:space="preserve"> </w:t>
            </w:r>
            <w:r w:rsidRPr="00C40456">
              <w:rPr>
                <w:rFonts w:ascii="Arial" w:hAnsi="Arial" w:cs="Arial"/>
                <w:spacing w:val="-1"/>
                <w:sz w:val="20"/>
                <w:szCs w:val="20"/>
              </w:rPr>
              <w:t>of</w:t>
            </w:r>
            <w:r w:rsidRPr="00C40456">
              <w:rPr>
                <w:rFonts w:ascii="Arial" w:hAnsi="Arial" w:cs="Arial"/>
                <w:spacing w:val="-6"/>
                <w:sz w:val="20"/>
                <w:szCs w:val="20"/>
              </w:rPr>
              <w:t xml:space="preserve"> </w:t>
            </w:r>
            <w:r w:rsidRPr="00C40456">
              <w:rPr>
                <w:rFonts w:ascii="Arial" w:hAnsi="Arial" w:cs="Arial"/>
                <w:spacing w:val="-1"/>
                <w:sz w:val="20"/>
                <w:szCs w:val="20"/>
              </w:rPr>
              <w:t>hospital</w:t>
            </w:r>
            <w:r w:rsidRPr="00C40456">
              <w:rPr>
                <w:rFonts w:ascii="Arial" w:hAnsi="Arial" w:cs="Arial"/>
                <w:spacing w:val="-7"/>
                <w:sz w:val="20"/>
                <w:szCs w:val="20"/>
              </w:rPr>
              <w:t xml:space="preserve"> </w:t>
            </w:r>
            <w:r w:rsidRPr="00C40456">
              <w:rPr>
                <w:rFonts w:ascii="Arial" w:hAnsi="Arial" w:cs="Arial"/>
                <w:spacing w:val="-1"/>
                <w:sz w:val="20"/>
                <w:szCs w:val="20"/>
              </w:rPr>
              <w:t>stays</w:t>
            </w:r>
          </w:p>
        </w:tc>
        <w:tc>
          <w:tcPr>
            <w:tcW w:w="1980" w:type="dxa"/>
            <w:tcBorders>
              <w:top w:val="single" w:sz="4" w:space="0" w:color="000000"/>
              <w:left w:val="single" w:sz="4" w:space="0" w:color="000000"/>
              <w:bottom w:val="single" w:sz="4" w:space="0" w:color="000000"/>
              <w:right w:val="single" w:sz="4" w:space="0" w:color="000000"/>
            </w:tcBorders>
            <w:vAlign w:val="center"/>
          </w:tcPr>
          <w:p w14:paraId="14C46B1E"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3,085,962</w:t>
            </w:r>
          </w:p>
        </w:tc>
        <w:tc>
          <w:tcPr>
            <w:tcW w:w="1710" w:type="dxa"/>
            <w:tcBorders>
              <w:top w:val="single" w:sz="4" w:space="0" w:color="000000"/>
              <w:left w:val="single" w:sz="4" w:space="0" w:color="000000"/>
              <w:bottom w:val="single" w:sz="4" w:space="0" w:color="000000"/>
              <w:right w:val="single" w:sz="4" w:space="0" w:color="000000"/>
            </w:tcBorders>
            <w:vAlign w:val="center"/>
          </w:tcPr>
          <w:p w14:paraId="4E4E2694"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3,082,357</w:t>
            </w:r>
          </w:p>
        </w:tc>
        <w:tc>
          <w:tcPr>
            <w:tcW w:w="1710" w:type="dxa"/>
            <w:tcBorders>
              <w:top w:val="single" w:sz="4" w:space="0" w:color="000000"/>
              <w:left w:val="single" w:sz="4" w:space="0" w:color="000000"/>
              <w:bottom w:val="single" w:sz="4" w:space="0" w:color="000000"/>
              <w:right w:val="single" w:sz="4" w:space="0" w:color="000000"/>
            </w:tcBorders>
            <w:vAlign w:val="center"/>
          </w:tcPr>
          <w:p w14:paraId="272ADCF3"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3,032,518</w:t>
            </w:r>
          </w:p>
        </w:tc>
        <w:tc>
          <w:tcPr>
            <w:tcW w:w="1620" w:type="dxa"/>
            <w:tcBorders>
              <w:top w:val="single" w:sz="4" w:space="0" w:color="000000"/>
              <w:left w:val="single" w:sz="4" w:space="0" w:color="000000"/>
              <w:bottom w:val="single" w:sz="4" w:space="0" w:color="000000"/>
              <w:right w:val="single" w:sz="4" w:space="0" w:color="000000"/>
            </w:tcBorders>
            <w:vAlign w:val="center"/>
          </w:tcPr>
          <w:p w14:paraId="326B204F"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2,864,028</w:t>
            </w:r>
          </w:p>
        </w:tc>
      </w:tr>
      <w:tr w:rsidR="008027BA" w:rsidRPr="00C40456" w14:paraId="0FA8DB18"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26DC3380"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z w:val="20"/>
                <w:szCs w:val="20"/>
              </w:rPr>
              <w:t>Number</w:t>
            </w:r>
            <w:r w:rsidRPr="00C40456">
              <w:rPr>
                <w:rFonts w:ascii="Arial" w:hAnsi="Arial" w:cs="Arial"/>
                <w:spacing w:val="-9"/>
                <w:sz w:val="20"/>
                <w:szCs w:val="20"/>
              </w:rPr>
              <w:t xml:space="preserve"> </w:t>
            </w:r>
            <w:r w:rsidRPr="00C40456">
              <w:rPr>
                <w:rFonts w:ascii="Arial" w:hAnsi="Arial" w:cs="Arial"/>
                <w:spacing w:val="-1"/>
                <w:sz w:val="20"/>
                <w:szCs w:val="20"/>
              </w:rPr>
              <w:t>of</w:t>
            </w:r>
            <w:r w:rsidRPr="00C40456">
              <w:rPr>
                <w:rFonts w:ascii="Arial" w:hAnsi="Arial" w:cs="Arial"/>
                <w:spacing w:val="-7"/>
                <w:sz w:val="20"/>
                <w:szCs w:val="20"/>
              </w:rPr>
              <w:t xml:space="preserve"> </w:t>
            </w:r>
            <w:r w:rsidRPr="00C40456">
              <w:rPr>
                <w:rFonts w:ascii="Arial" w:hAnsi="Arial" w:cs="Arial"/>
                <w:spacing w:val="-1"/>
                <w:sz w:val="20"/>
                <w:szCs w:val="20"/>
              </w:rPr>
              <w:t>hospitals</w:t>
            </w:r>
          </w:p>
        </w:tc>
        <w:tc>
          <w:tcPr>
            <w:tcW w:w="1980" w:type="dxa"/>
            <w:tcBorders>
              <w:top w:val="single" w:sz="4" w:space="0" w:color="000000"/>
              <w:left w:val="single" w:sz="4" w:space="0" w:color="000000"/>
              <w:bottom w:val="single" w:sz="4" w:space="0" w:color="000000"/>
              <w:right w:val="single" w:sz="4" w:space="0" w:color="000000"/>
            </w:tcBorders>
            <w:vAlign w:val="center"/>
          </w:tcPr>
          <w:p w14:paraId="68B08166"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spacing w:val="-1"/>
                <w:sz w:val="20"/>
                <w:szCs w:val="20"/>
              </w:rPr>
              <w:t>4,954</w:t>
            </w:r>
          </w:p>
        </w:tc>
        <w:tc>
          <w:tcPr>
            <w:tcW w:w="1710" w:type="dxa"/>
            <w:tcBorders>
              <w:top w:val="single" w:sz="4" w:space="0" w:color="000000"/>
              <w:left w:val="single" w:sz="4" w:space="0" w:color="000000"/>
              <w:bottom w:val="single" w:sz="4" w:space="0" w:color="000000"/>
              <w:right w:val="single" w:sz="4" w:space="0" w:color="000000"/>
            </w:tcBorders>
            <w:vAlign w:val="center"/>
          </w:tcPr>
          <w:p w14:paraId="56612655"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4,946</w:t>
            </w:r>
          </w:p>
        </w:tc>
        <w:tc>
          <w:tcPr>
            <w:tcW w:w="1710" w:type="dxa"/>
            <w:tcBorders>
              <w:top w:val="single" w:sz="4" w:space="0" w:color="000000"/>
              <w:left w:val="single" w:sz="4" w:space="0" w:color="000000"/>
              <w:bottom w:val="single" w:sz="4" w:space="0" w:color="000000"/>
              <w:right w:val="single" w:sz="4" w:space="0" w:color="000000"/>
            </w:tcBorders>
            <w:vAlign w:val="center"/>
          </w:tcPr>
          <w:p w14:paraId="68086384"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4,908</w:t>
            </w:r>
          </w:p>
        </w:tc>
        <w:tc>
          <w:tcPr>
            <w:tcW w:w="1620" w:type="dxa"/>
            <w:tcBorders>
              <w:top w:val="single" w:sz="4" w:space="0" w:color="000000"/>
              <w:left w:val="single" w:sz="4" w:space="0" w:color="000000"/>
              <w:bottom w:val="single" w:sz="4" w:space="0" w:color="000000"/>
              <w:right w:val="single" w:sz="4" w:space="0" w:color="000000"/>
            </w:tcBorders>
            <w:vAlign w:val="center"/>
          </w:tcPr>
          <w:p w14:paraId="24DEBA96"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4,713</w:t>
            </w:r>
          </w:p>
        </w:tc>
      </w:tr>
      <w:tr w:rsidR="008027BA" w:rsidRPr="00C40456" w14:paraId="3679DF40" w14:textId="77777777" w:rsidTr="00ED0A10">
        <w:trPr>
          <w:cantSplit/>
          <w:trHeight w:hRule="exact" w:val="523"/>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0D448DBE" w14:textId="77777777" w:rsidR="008027BA" w:rsidRDefault="008027BA" w:rsidP="00A56D8C">
            <w:pPr>
              <w:kinsoku w:val="0"/>
              <w:overflowPunct w:val="0"/>
              <w:autoSpaceDE w:val="0"/>
              <w:autoSpaceDN w:val="0"/>
              <w:adjustRightInd w:val="0"/>
              <w:spacing w:after="0" w:line="240" w:lineRule="auto"/>
              <w:rPr>
                <w:rFonts w:ascii="Arial" w:hAnsi="Arial" w:cs="Arial"/>
                <w:spacing w:val="-1"/>
                <w:sz w:val="20"/>
                <w:szCs w:val="20"/>
              </w:rPr>
            </w:pPr>
            <w:r w:rsidRPr="00C40456">
              <w:rPr>
                <w:rFonts w:ascii="Arial" w:hAnsi="Arial" w:cs="Arial"/>
                <w:spacing w:val="-1"/>
                <w:sz w:val="20"/>
                <w:szCs w:val="20"/>
              </w:rPr>
              <w:t>Unadjusted</w:t>
            </w:r>
            <w:r w:rsidRPr="00C40456">
              <w:rPr>
                <w:rFonts w:ascii="Arial" w:hAnsi="Arial" w:cs="Arial"/>
                <w:spacing w:val="-14"/>
                <w:sz w:val="20"/>
                <w:szCs w:val="20"/>
              </w:rPr>
              <w:t xml:space="preserve"> </w:t>
            </w:r>
            <w:r w:rsidRPr="00C40456">
              <w:rPr>
                <w:rFonts w:ascii="Arial" w:hAnsi="Arial" w:cs="Arial"/>
                <w:sz w:val="20"/>
                <w:szCs w:val="20"/>
              </w:rPr>
              <w:t>readmission</w:t>
            </w:r>
            <w:r w:rsidRPr="00C40456">
              <w:rPr>
                <w:rFonts w:ascii="Arial" w:hAnsi="Arial" w:cs="Arial"/>
                <w:spacing w:val="-13"/>
                <w:sz w:val="20"/>
                <w:szCs w:val="20"/>
              </w:rPr>
              <w:t xml:space="preserve"> </w:t>
            </w:r>
            <w:r w:rsidRPr="00C40456">
              <w:rPr>
                <w:rFonts w:ascii="Arial" w:hAnsi="Arial" w:cs="Arial"/>
                <w:spacing w:val="-1"/>
                <w:sz w:val="20"/>
                <w:szCs w:val="20"/>
              </w:rPr>
              <w:t>rate</w:t>
            </w:r>
          </w:p>
          <w:p w14:paraId="5BE9EFF3" w14:textId="68D34D2C" w:rsidR="00575EE3" w:rsidRPr="00C40456" w:rsidRDefault="00575EE3" w:rsidP="00A56D8C">
            <w:pPr>
              <w:kinsoku w:val="0"/>
              <w:overflowPunct w:val="0"/>
              <w:autoSpaceDE w:val="0"/>
              <w:autoSpaceDN w:val="0"/>
              <w:adjustRightInd w:val="0"/>
              <w:spacing w:after="0" w:line="240" w:lineRule="auto"/>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38A71B03"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18.0%</w:t>
            </w:r>
          </w:p>
        </w:tc>
        <w:tc>
          <w:tcPr>
            <w:tcW w:w="1710" w:type="dxa"/>
            <w:tcBorders>
              <w:top w:val="single" w:sz="4" w:space="0" w:color="000000"/>
              <w:left w:val="single" w:sz="4" w:space="0" w:color="000000"/>
              <w:bottom w:val="single" w:sz="4" w:space="0" w:color="000000"/>
              <w:right w:val="single" w:sz="4" w:space="0" w:color="000000"/>
            </w:tcBorders>
            <w:vAlign w:val="center"/>
          </w:tcPr>
          <w:p w14:paraId="7DC424D8"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18.0%</w:t>
            </w:r>
          </w:p>
        </w:tc>
        <w:tc>
          <w:tcPr>
            <w:tcW w:w="1710" w:type="dxa"/>
            <w:tcBorders>
              <w:top w:val="single" w:sz="4" w:space="0" w:color="000000"/>
              <w:left w:val="single" w:sz="4" w:space="0" w:color="000000"/>
              <w:bottom w:val="single" w:sz="4" w:space="0" w:color="000000"/>
              <w:right w:val="single" w:sz="4" w:space="0" w:color="000000"/>
            </w:tcBorders>
            <w:vAlign w:val="center"/>
          </w:tcPr>
          <w:p w14:paraId="68C65BBE"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18.1%</w:t>
            </w:r>
          </w:p>
        </w:tc>
        <w:tc>
          <w:tcPr>
            <w:tcW w:w="1620" w:type="dxa"/>
            <w:tcBorders>
              <w:top w:val="single" w:sz="4" w:space="0" w:color="000000"/>
              <w:left w:val="single" w:sz="4" w:space="0" w:color="000000"/>
              <w:bottom w:val="single" w:sz="4" w:space="0" w:color="000000"/>
              <w:right w:val="single" w:sz="4" w:space="0" w:color="000000"/>
            </w:tcBorders>
            <w:vAlign w:val="center"/>
          </w:tcPr>
          <w:p w14:paraId="1CBA69CF" w14:textId="77777777" w:rsidR="008027BA" w:rsidRPr="00C40456" w:rsidRDefault="008027BA" w:rsidP="00A56D8C">
            <w:pPr>
              <w:kinsoku w:val="0"/>
              <w:overflowPunct w:val="0"/>
              <w:autoSpaceDE w:val="0"/>
              <w:autoSpaceDN w:val="0"/>
              <w:adjustRightInd w:val="0"/>
              <w:spacing w:after="0" w:line="240" w:lineRule="auto"/>
              <w:ind w:right="4"/>
              <w:jc w:val="center"/>
              <w:rPr>
                <w:rFonts w:ascii="Arial" w:hAnsi="Arial" w:cs="Arial"/>
                <w:spacing w:val="-1"/>
                <w:sz w:val="20"/>
                <w:szCs w:val="20"/>
              </w:rPr>
            </w:pPr>
            <w:r w:rsidRPr="00784051">
              <w:rPr>
                <w:rFonts w:ascii="Arial" w:hAnsi="Arial" w:cs="Arial"/>
                <w:spacing w:val="-1"/>
                <w:sz w:val="20"/>
                <w:szCs w:val="20"/>
              </w:rPr>
              <w:t>17.1%</w:t>
            </w:r>
          </w:p>
        </w:tc>
      </w:tr>
      <w:tr w:rsidR="008027BA" w:rsidRPr="00C40456" w14:paraId="7FB8EC22" w14:textId="77777777" w:rsidTr="00ED0A10">
        <w:trPr>
          <w:cantSplit/>
          <w:trHeight w:hRule="exact" w:val="919"/>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7C7664CD" w14:textId="77777777" w:rsidR="008027BA" w:rsidRPr="00C40456" w:rsidRDefault="008027BA" w:rsidP="00A56D8C">
            <w:pPr>
              <w:kinsoku w:val="0"/>
              <w:overflowPunct w:val="0"/>
              <w:autoSpaceDE w:val="0"/>
              <w:autoSpaceDN w:val="0"/>
              <w:adjustRightInd w:val="0"/>
              <w:spacing w:after="0" w:line="240" w:lineRule="auto"/>
              <w:ind w:right="404"/>
              <w:rPr>
                <w:rFonts w:ascii="Times New Roman" w:hAnsi="Times New Roman" w:cs="Times New Roman"/>
                <w:sz w:val="24"/>
                <w:szCs w:val="24"/>
              </w:rPr>
            </w:pPr>
            <w:r w:rsidRPr="00C40456">
              <w:rPr>
                <w:rFonts w:ascii="Arial" w:hAnsi="Arial" w:cs="Arial"/>
                <w:spacing w:val="-1"/>
                <w:sz w:val="20"/>
                <w:szCs w:val="20"/>
              </w:rPr>
              <w:t>Discrimination</w:t>
            </w:r>
            <w:r w:rsidRPr="00C40456">
              <w:rPr>
                <w:rFonts w:ascii="Arial" w:hAnsi="Arial" w:cs="Arial"/>
                <w:spacing w:val="-23"/>
                <w:sz w:val="20"/>
                <w:szCs w:val="20"/>
              </w:rPr>
              <w:t xml:space="preserve"> </w:t>
            </w:r>
            <w:r w:rsidRPr="00C40456">
              <w:rPr>
                <w:rFonts w:ascii="Arial" w:hAnsi="Arial" w:cs="Arial"/>
                <w:sz w:val="20"/>
                <w:szCs w:val="20"/>
              </w:rPr>
              <w:t>-Predictive</w:t>
            </w:r>
            <w:r w:rsidRPr="00C40456">
              <w:rPr>
                <w:rFonts w:ascii="Arial" w:hAnsi="Arial" w:cs="Arial"/>
                <w:spacing w:val="26"/>
                <w:w w:val="99"/>
                <w:sz w:val="20"/>
                <w:szCs w:val="20"/>
              </w:rPr>
              <w:t xml:space="preserve"> </w:t>
            </w:r>
            <w:r w:rsidRPr="00C40456">
              <w:rPr>
                <w:rFonts w:ascii="Arial" w:hAnsi="Arial" w:cs="Arial"/>
                <w:sz w:val="20"/>
                <w:szCs w:val="20"/>
              </w:rPr>
              <w:t>Ability</w:t>
            </w:r>
            <w:r w:rsidRPr="00C40456">
              <w:rPr>
                <w:rFonts w:ascii="Arial" w:hAnsi="Arial" w:cs="Arial"/>
                <w:spacing w:val="-11"/>
                <w:sz w:val="20"/>
                <w:szCs w:val="20"/>
              </w:rPr>
              <w:t xml:space="preserve"> </w:t>
            </w:r>
            <w:r w:rsidRPr="00C40456">
              <w:rPr>
                <w:rFonts w:ascii="Arial" w:hAnsi="Arial" w:cs="Arial"/>
                <w:sz w:val="20"/>
                <w:szCs w:val="20"/>
              </w:rPr>
              <w:t>(lowest</w:t>
            </w:r>
            <w:r w:rsidRPr="00C40456">
              <w:rPr>
                <w:rFonts w:ascii="Arial" w:hAnsi="Arial" w:cs="Arial"/>
                <w:spacing w:val="-7"/>
                <w:sz w:val="20"/>
                <w:szCs w:val="20"/>
              </w:rPr>
              <w:t xml:space="preserve"> </w:t>
            </w:r>
            <w:r w:rsidRPr="00C40456">
              <w:rPr>
                <w:rFonts w:ascii="Arial" w:hAnsi="Arial" w:cs="Arial"/>
                <w:spacing w:val="-1"/>
                <w:sz w:val="20"/>
                <w:szCs w:val="20"/>
              </w:rPr>
              <w:t>decile</w:t>
            </w:r>
            <w:r w:rsidRPr="00C40456">
              <w:rPr>
                <w:rFonts w:ascii="Arial" w:hAnsi="Arial" w:cs="Arial"/>
                <w:spacing w:val="-6"/>
                <w:sz w:val="20"/>
                <w:szCs w:val="20"/>
              </w:rPr>
              <w:t xml:space="preserve"> </w:t>
            </w:r>
            <w:r w:rsidRPr="00C40456">
              <w:rPr>
                <w:rFonts w:ascii="Arial" w:hAnsi="Arial" w:cs="Arial"/>
                <w:sz w:val="20"/>
                <w:szCs w:val="20"/>
              </w:rPr>
              <w:t>%,</w:t>
            </w:r>
            <w:r w:rsidRPr="00C40456">
              <w:rPr>
                <w:rFonts w:ascii="Arial" w:hAnsi="Arial" w:cs="Arial"/>
                <w:spacing w:val="30"/>
                <w:w w:val="99"/>
                <w:sz w:val="20"/>
                <w:szCs w:val="20"/>
              </w:rPr>
              <w:t xml:space="preserve"> </w:t>
            </w:r>
            <w:r w:rsidRPr="00C40456">
              <w:rPr>
                <w:rFonts w:ascii="Arial" w:hAnsi="Arial" w:cs="Arial"/>
                <w:spacing w:val="-1"/>
                <w:sz w:val="20"/>
                <w:szCs w:val="20"/>
              </w:rPr>
              <w:t>highest</w:t>
            </w:r>
            <w:r w:rsidRPr="00C40456">
              <w:rPr>
                <w:rFonts w:ascii="Arial" w:hAnsi="Arial" w:cs="Arial"/>
                <w:spacing w:val="-9"/>
                <w:sz w:val="20"/>
                <w:szCs w:val="20"/>
              </w:rPr>
              <w:t xml:space="preserve"> </w:t>
            </w:r>
            <w:r w:rsidRPr="00C40456">
              <w:rPr>
                <w:rFonts w:ascii="Arial" w:hAnsi="Arial" w:cs="Arial"/>
                <w:sz w:val="20"/>
                <w:szCs w:val="20"/>
              </w:rPr>
              <w:t>decile</w:t>
            </w:r>
            <w:r w:rsidRPr="00C40456">
              <w:rPr>
                <w:rFonts w:ascii="Arial" w:hAnsi="Arial" w:cs="Arial"/>
                <w:spacing w:val="-8"/>
                <w:sz w:val="20"/>
                <w:szCs w:val="20"/>
              </w:rPr>
              <w:t xml:space="preserve"> </w:t>
            </w:r>
            <w:r w:rsidRPr="00C40456">
              <w:rPr>
                <w:rFonts w:ascii="Arial" w:hAnsi="Arial"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vAlign w:val="center"/>
          </w:tcPr>
          <w:p w14:paraId="65060268"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rPr>
            </w:pPr>
          </w:p>
          <w:p w14:paraId="32974C63"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z w:val="20"/>
                <w:szCs w:val="20"/>
              </w:rPr>
              <w:t>9</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34</w:t>
            </w:r>
          </w:p>
        </w:tc>
        <w:tc>
          <w:tcPr>
            <w:tcW w:w="1710" w:type="dxa"/>
            <w:tcBorders>
              <w:top w:val="single" w:sz="4" w:space="0" w:color="000000"/>
              <w:left w:val="single" w:sz="4" w:space="0" w:color="000000"/>
              <w:bottom w:val="single" w:sz="4" w:space="0" w:color="000000"/>
              <w:right w:val="single" w:sz="4" w:space="0" w:color="000000"/>
            </w:tcBorders>
            <w:vAlign w:val="center"/>
          </w:tcPr>
          <w:p w14:paraId="715A4E6C"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rPr>
            </w:pPr>
          </w:p>
          <w:p w14:paraId="307F8AFC" w14:textId="77777777" w:rsidR="008027BA" w:rsidRPr="00C40456" w:rsidRDefault="008027BA" w:rsidP="00A56D8C">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C40456">
              <w:rPr>
                <w:rFonts w:ascii="Arial" w:hAnsi="Arial" w:cs="Arial"/>
                <w:sz w:val="20"/>
                <w:szCs w:val="20"/>
              </w:rPr>
              <w:t>9</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34</w:t>
            </w:r>
          </w:p>
        </w:tc>
        <w:tc>
          <w:tcPr>
            <w:tcW w:w="1710" w:type="dxa"/>
            <w:tcBorders>
              <w:top w:val="single" w:sz="4" w:space="0" w:color="000000"/>
              <w:left w:val="single" w:sz="4" w:space="0" w:color="000000"/>
              <w:bottom w:val="single" w:sz="4" w:space="0" w:color="000000"/>
              <w:right w:val="single" w:sz="4" w:space="0" w:color="000000"/>
            </w:tcBorders>
            <w:vAlign w:val="center"/>
          </w:tcPr>
          <w:p w14:paraId="2803A1DE"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rPr>
            </w:pPr>
          </w:p>
          <w:p w14:paraId="2E657D98" w14:textId="77777777" w:rsidR="008027BA" w:rsidRPr="00C40456" w:rsidRDefault="008027BA" w:rsidP="00A56D8C">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C40456">
              <w:rPr>
                <w:rFonts w:ascii="Arial" w:hAnsi="Arial" w:cs="Arial"/>
                <w:sz w:val="20"/>
                <w:szCs w:val="20"/>
              </w:rPr>
              <w:t>7</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36</w:t>
            </w:r>
          </w:p>
        </w:tc>
        <w:tc>
          <w:tcPr>
            <w:tcW w:w="1620" w:type="dxa"/>
            <w:tcBorders>
              <w:top w:val="single" w:sz="4" w:space="0" w:color="000000"/>
              <w:left w:val="single" w:sz="4" w:space="0" w:color="000000"/>
              <w:bottom w:val="single" w:sz="4" w:space="0" w:color="000000"/>
              <w:right w:val="single" w:sz="4" w:space="0" w:color="000000"/>
            </w:tcBorders>
            <w:vAlign w:val="center"/>
          </w:tcPr>
          <w:p w14:paraId="068FEFB0" w14:textId="77777777" w:rsidR="008027BA" w:rsidRDefault="008027BA" w:rsidP="00A56D8C">
            <w:pPr>
              <w:kinsoku w:val="0"/>
              <w:overflowPunct w:val="0"/>
              <w:autoSpaceDE w:val="0"/>
              <w:autoSpaceDN w:val="0"/>
              <w:adjustRightInd w:val="0"/>
              <w:spacing w:after="0" w:line="240" w:lineRule="auto"/>
              <w:jc w:val="center"/>
              <w:rPr>
                <w:rFonts w:ascii="Arial" w:hAnsi="Arial" w:cs="Arial"/>
                <w:sz w:val="20"/>
              </w:rPr>
            </w:pPr>
          </w:p>
          <w:p w14:paraId="5AEAE0A4"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rPr>
            </w:pPr>
            <w:r w:rsidRPr="00784051">
              <w:rPr>
                <w:rFonts w:ascii="Arial" w:hAnsi="Arial" w:cs="Arial"/>
                <w:sz w:val="20"/>
              </w:rPr>
              <w:t>9-33</w:t>
            </w:r>
          </w:p>
        </w:tc>
      </w:tr>
      <w:tr w:rsidR="008027BA" w:rsidRPr="00C40456" w14:paraId="6AE51739" w14:textId="77777777" w:rsidTr="00ED0A10">
        <w:trPr>
          <w:cantSplit/>
          <w:trHeight w:hRule="exact" w:val="334"/>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7447DE84"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pacing w:val="-1"/>
                <w:sz w:val="20"/>
                <w:szCs w:val="20"/>
              </w:rPr>
              <w:t>Discrimination</w:t>
            </w:r>
            <w:r w:rsidRPr="00C40456">
              <w:rPr>
                <w:rFonts w:ascii="Arial" w:hAnsi="Arial" w:cs="Arial"/>
                <w:spacing w:val="-7"/>
                <w:sz w:val="20"/>
                <w:szCs w:val="20"/>
              </w:rPr>
              <w:t xml:space="preserve"> </w:t>
            </w:r>
            <w:r w:rsidRPr="00C40456">
              <w:rPr>
                <w:rFonts w:ascii="Arial" w:hAnsi="Arial" w:cs="Arial"/>
                <w:sz w:val="20"/>
                <w:szCs w:val="20"/>
              </w:rPr>
              <w:t>–</w:t>
            </w:r>
            <w:r w:rsidRPr="00C40456">
              <w:rPr>
                <w:rFonts w:ascii="Arial" w:hAnsi="Arial" w:cs="Arial"/>
                <w:spacing w:val="-8"/>
                <w:sz w:val="20"/>
                <w:szCs w:val="20"/>
              </w:rPr>
              <w:t xml:space="preserve"> </w:t>
            </w:r>
            <w:r w:rsidRPr="00C40456">
              <w:rPr>
                <w:rFonts w:ascii="Arial" w:hAnsi="Arial" w:cs="Arial"/>
                <w:sz w:val="20"/>
                <w:szCs w:val="20"/>
              </w:rPr>
              <w:t>c</w:t>
            </w:r>
            <w:r w:rsidRPr="00C40456">
              <w:rPr>
                <w:rFonts w:ascii="Arial" w:hAnsi="Arial" w:cs="Arial"/>
                <w:spacing w:val="-7"/>
                <w:sz w:val="20"/>
                <w:szCs w:val="20"/>
              </w:rPr>
              <w:t xml:space="preserve"> </w:t>
            </w:r>
            <w:r w:rsidRPr="00C40456">
              <w:rPr>
                <w:rFonts w:ascii="Arial" w:hAnsi="Arial" w:cs="Arial"/>
                <w:spacing w:val="-1"/>
                <w:sz w:val="20"/>
                <w:szCs w:val="20"/>
              </w:rPr>
              <w:t>statistic</w:t>
            </w:r>
          </w:p>
        </w:tc>
        <w:tc>
          <w:tcPr>
            <w:tcW w:w="1980" w:type="dxa"/>
            <w:tcBorders>
              <w:top w:val="single" w:sz="4" w:space="0" w:color="000000"/>
              <w:left w:val="single" w:sz="4" w:space="0" w:color="000000"/>
              <w:bottom w:val="single" w:sz="4" w:space="0" w:color="000000"/>
              <w:right w:val="single" w:sz="4" w:space="0" w:color="000000"/>
            </w:tcBorders>
            <w:vAlign w:val="center"/>
          </w:tcPr>
          <w:p w14:paraId="04306C10"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spacing w:val="-1"/>
                <w:sz w:val="20"/>
                <w:szCs w:val="20"/>
              </w:rPr>
              <w:t>0.640</w:t>
            </w:r>
          </w:p>
        </w:tc>
        <w:tc>
          <w:tcPr>
            <w:tcW w:w="1710" w:type="dxa"/>
            <w:tcBorders>
              <w:top w:val="single" w:sz="4" w:space="0" w:color="000000"/>
              <w:left w:val="single" w:sz="4" w:space="0" w:color="000000"/>
              <w:bottom w:val="single" w:sz="4" w:space="0" w:color="000000"/>
              <w:right w:val="single" w:sz="4" w:space="0" w:color="000000"/>
            </w:tcBorders>
            <w:vAlign w:val="center"/>
          </w:tcPr>
          <w:p w14:paraId="50AE49E6"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0.641</w:t>
            </w:r>
          </w:p>
        </w:tc>
        <w:tc>
          <w:tcPr>
            <w:tcW w:w="1710" w:type="dxa"/>
            <w:tcBorders>
              <w:top w:val="single" w:sz="4" w:space="0" w:color="000000"/>
              <w:left w:val="single" w:sz="4" w:space="0" w:color="000000"/>
              <w:bottom w:val="single" w:sz="4" w:space="0" w:color="000000"/>
              <w:right w:val="single" w:sz="4" w:space="0" w:color="000000"/>
            </w:tcBorders>
            <w:vAlign w:val="center"/>
          </w:tcPr>
          <w:p w14:paraId="4955DD36"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0.663</w:t>
            </w:r>
          </w:p>
        </w:tc>
        <w:tc>
          <w:tcPr>
            <w:tcW w:w="1620" w:type="dxa"/>
            <w:tcBorders>
              <w:top w:val="single" w:sz="4" w:space="0" w:color="000000"/>
              <w:left w:val="single" w:sz="4" w:space="0" w:color="000000"/>
              <w:bottom w:val="single" w:sz="4" w:space="0" w:color="000000"/>
              <w:right w:val="single" w:sz="4" w:space="0" w:color="000000"/>
            </w:tcBorders>
            <w:vAlign w:val="center"/>
          </w:tcPr>
          <w:p w14:paraId="7E144697"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EB4ECF">
              <w:rPr>
                <w:rFonts w:ascii="Arial" w:hAnsi="Arial" w:cs="Arial"/>
                <w:spacing w:val="-1"/>
                <w:sz w:val="20"/>
                <w:szCs w:val="20"/>
              </w:rPr>
              <w:t>.643</w:t>
            </w:r>
          </w:p>
        </w:tc>
      </w:tr>
    </w:tbl>
    <w:p w14:paraId="71B8D606" w14:textId="77777777" w:rsidR="008027BA" w:rsidRDefault="008027BA" w:rsidP="008027BA">
      <w:pPr>
        <w:autoSpaceDE w:val="0"/>
        <w:autoSpaceDN w:val="0"/>
        <w:adjustRightInd w:val="0"/>
        <w:spacing w:after="0" w:line="240" w:lineRule="auto"/>
        <w:rPr>
          <w:rFonts w:cstheme="minorHAnsi"/>
          <w:b/>
          <w:bCs/>
        </w:rPr>
      </w:pPr>
    </w:p>
    <w:p w14:paraId="5AF788CF" w14:textId="77777777" w:rsidR="008027BA" w:rsidRDefault="008027BA" w:rsidP="008027BA">
      <w:pPr>
        <w:autoSpaceDE w:val="0"/>
        <w:autoSpaceDN w:val="0"/>
        <w:adjustRightInd w:val="0"/>
        <w:spacing w:after="0" w:line="240" w:lineRule="auto"/>
        <w:ind w:firstLine="720"/>
        <w:rPr>
          <w:rFonts w:cstheme="minorHAnsi"/>
          <w:b/>
          <w:bCs/>
        </w:rPr>
      </w:pPr>
      <w:r>
        <w:rPr>
          <w:rFonts w:cstheme="minorHAnsi"/>
          <w:b/>
          <w:bCs/>
        </w:rPr>
        <w:t>Surgical Cohort Model Discrimination</w:t>
      </w:r>
    </w:p>
    <w:tbl>
      <w:tblPr>
        <w:tblW w:w="9540" w:type="dxa"/>
        <w:tblInd w:w="-5" w:type="dxa"/>
        <w:tblLayout w:type="fixed"/>
        <w:tblCellMar>
          <w:left w:w="0" w:type="dxa"/>
          <w:right w:w="0" w:type="dxa"/>
        </w:tblCellMar>
        <w:tblLook w:val="0000" w:firstRow="0" w:lastRow="0" w:firstColumn="0" w:lastColumn="0" w:noHBand="0" w:noVBand="0"/>
      </w:tblPr>
      <w:tblGrid>
        <w:gridCol w:w="2340"/>
        <w:gridCol w:w="1980"/>
        <w:gridCol w:w="1710"/>
        <w:gridCol w:w="1710"/>
        <w:gridCol w:w="1800"/>
      </w:tblGrid>
      <w:tr w:rsidR="008027BA" w:rsidRPr="00C40456" w14:paraId="5553ECCB" w14:textId="77777777" w:rsidTr="00ED0A10">
        <w:trPr>
          <w:cantSplit/>
          <w:trHeight w:hRule="exact" w:val="802"/>
          <w:tblHeader/>
        </w:trPr>
        <w:tc>
          <w:tcPr>
            <w:tcW w:w="23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54844F0" w14:textId="77777777" w:rsidR="008027BA" w:rsidRPr="00C40456" w:rsidRDefault="008027BA" w:rsidP="00A56D8C">
            <w:pPr>
              <w:kinsoku w:val="0"/>
              <w:overflowPunct w:val="0"/>
              <w:autoSpaceDE w:val="0"/>
              <w:autoSpaceDN w:val="0"/>
              <w:adjustRightInd w:val="0"/>
              <w:spacing w:before="176" w:after="0" w:line="240" w:lineRule="auto"/>
              <w:ind w:right="3"/>
              <w:jc w:val="center"/>
              <w:rPr>
                <w:rFonts w:ascii="Times New Roman" w:hAnsi="Times New Roman" w:cs="Times New Roman"/>
                <w:sz w:val="24"/>
                <w:szCs w:val="24"/>
              </w:rPr>
            </w:pPr>
            <w:r w:rsidRPr="00C40456">
              <w:rPr>
                <w:rFonts w:ascii="Arial" w:hAnsi="Arial" w:cs="Arial"/>
                <w:b/>
                <w:bCs/>
                <w:spacing w:val="-1"/>
                <w:sz w:val="20"/>
                <w:szCs w:val="20"/>
              </w:rPr>
              <w:t>Indices</w:t>
            </w:r>
          </w:p>
        </w:tc>
        <w:tc>
          <w:tcPr>
            <w:tcW w:w="19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0899FEE" w14:textId="77777777" w:rsidR="008027BA" w:rsidRPr="00C40456" w:rsidRDefault="008027BA" w:rsidP="00A56D8C">
            <w:pPr>
              <w:kinsoku w:val="0"/>
              <w:overflowPunct w:val="0"/>
              <w:autoSpaceDE w:val="0"/>
              <w:autoSpaceDN w:val="0"/>
              <w:adjustRightInd w:val="0"/>
              <w:spacing w:before="61" w:after="0" w:line="240" w:lineRule="auto"/>
              <w:ind w:right="5"/>
              <w:jc w:val="center"/>
              <w:rPr>
                <w:rFonts w:ascii="Arial" w:hAnsi="Arial" w:cs="Arial"/>
                <w:sz w:val="20"/>
                <w:szCs w:val="20"/>
              </w:rPr>
            </w:pPr>
            <w:r w:rsidRPr="00C40456">
              <w:rPr>
                <w:rFonts w:ascii="Arial" w:hAnsi="Arial" w:cs="Arial"/>
                <w:b/>
                <w:bCs/>
                <w:spacing w:val="-1"/>
                <w:sz w:val="20"/>
                <w:szCs w:val="20"/>
              </w:rPr>
              <w:t>2007-2008</w:t>
            </w:r>
          </w:p>
          <w:p w14:paraId="5AC920C9"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b/>
                <w:bCs/>
                <w:spacing w:val="-1"/>
                <w:sz w:val="20"/>
                <w:szCs w:val="20"/>
              </w:rPr>
              <w:t>Development</w:t>
            </w:r>
            <w:r w:rsidRPr="00C40456">
              <w:rPr>
                <w:rFonts w:ascii="Arial" w:hAnsi="Arial" w:cs="Arial"/>
                <w:b/>
                <w:bCs/>
                <w:spacing w:val="-20"/>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0FBA91E" w14:textId="77777777" w:rsidR="008027BA" w:rsidRPr="00C40456" w:rsidRDefault="008027BA" w:rsidP="00A56D8C">
            <w:pPr>
              <w:kinsoku w:val="0"/>
              <w:overflowPunct w:val="0"/>
              <w:autoSpaceDE w:val="0"/>
              <w:autoSpaceDN w:val="0"/>
              <w:adjustRightInd w:val="0"/>
              <w:spacing w:before="61" w:after="0" w:line="240" w:lineRule="auto"/>
              <w:jc w:val="center"/>
              <w:rPr>
                <w:rFonts w:ascii="Arial" w:hAnsi="Arial" w:cs="Arial"/>
                <w:sz w:val="20"/>
                <w:szCs w:val="20"/>
              </w:rPr>
            </w:pPr>
            <w:r w:rsidRPr="00C40456">
              <w:rPr>
                <w:rFonts w:ascii="Arial" w:hAnsi="Arial" w:cs="Arial"/>
                <w:b/>
                <w:bCs/>
                <w:spacing w:val="-1"/>
                <w:sz w:val="20"/>
                <w:szCs w:val="20"/>
              </w:rPr>
              <w:t>2007-2008</w:t>
            </w:r>
          </w:p>
          <w:p w14:paraId="0193C589" w14:textId="77777777" w:rsidR="008027BA" w:rsidRPr="00C40456" w:rsidRDefault="008027BA" w:rsidP="00A56D8C">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0DBFF6" w14:textId="77777777" w:rsidR="008027BA" w:rsidRPr="00C40456" w:rsidRDefault="008027BA" w:rsidP="00A56D8C">
            <w:pPr>
              <w:kinsoku w:val="0"/>
              <w:overflowPunct w:val="0"/>
              <w:autoSpaceDE w:val="0"/>
              <w:autoSpaceDN w:val="0"/>
              <w:adjustRightInd w:val="0"/>
              <w:spacing w:before="61" w:after="0" w:line="240" w:lineRule="auto"/>
              <w:jc w:val="center"/>
              <w:rPr>
                <w:rFonts w:ascii="Arial" w:hAnsi="Arial" w:cs="Arial"/>
                <w:sz w:val="20"/>
                <w:szCs w:val="20"/>
              </w:rPr>
            </w:pPr>
            <w:r w:rsidRPr="00C40456">
              <w:rPr>
                <w:rFonts w:ascii="Arial" w:hAnsi="Arial" w:cs="Arial"/>
                <w:b/>
                <w:bCs/>
                <w:spacing w:val="-1"/>
                <w:sz w:val="20"/>
                <w:szCs w:val="20"/>
              </w:rPr>
              <w:t>2009</w:t>
            </w:r>
          </w:p>
          <w:p w14:paraId="3389F3C5" w14:textId="77777777" w:rsidR="008027BA" w:rsidRPr="00C40456" w:rsidRDefault="008027BA" w:rsidP="00A56D8C">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80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E59A2C5" w14:textId="5F2EF273" w:rsidR="008027BA" w:rsidRPr="00685B1A" w:rsidRDefault="008027BA" w:rsidP="00A56D8C">
            <w:pPr>
              <w:kinsoku w:val="0"/>
              <w:overflowPunct w:val="0"/>
              <w:autoSpaceDE w:val="0"/>
              <w:autoSpaceDN w:val="0"/>
              <w:adjustRightInd w:val="0"/>
              <w:spacing w:before="61" w:after="0" w:line="240" w:lineRule="auto"/>
              <w:jc w:val="center"/>
              <w:rPr>
                <w:rFonts w:ascii="Arial" w:hAnsi="Arial" w:cs="Arial"/>
                <w:b/>
                <w:bCs/>
                <w:spacing w:val="-1"/>
                <w:sz w:val="20"/>
                <w:szCs w:val="20"/>
              </w:rPr>
            </w:pPr>
            <w:r w:rsidRPr="00685B1A">
              <w:rPr>
                <w:rFonts w:ascii="Arial" w:hAnsi="Arial" w:cs="Arial"/>
                <w:b/>
                <w:bCs/>
                <w:spacing w:val="-1"/>
                <w:sz w:val="20"/>
                <w:szCs w:val="20"/>
              </w:rPr>
              <w:t>2015</w:t>
            </w:r>
          </w:p>
          <w:p w14:paraId="5FC64BB9" w14:textId="77777777" w:rsidR="008027BA" w:rsidRPr="00C40456" w:rsidRDefault="008027BA" w:rsidP="00A56D8C">
            <w:pPr>
              <w:kinsoku w:val="0"/>
              <w:overflowPunct w:val="0"/>
              <w:autoSpaceDE w:val="0"/>
              <w:autoSpaceDN w:val="0"/>
              <w:adjustRightInd w:val="0"/>
              <w:spacing w:before="61" w:after="0" w:line="240" w:lineRule="auto"/>
              <w:jc w:val="center"/>
              <w:rPr>
                <w:rFonts w:ascii="Arial" w:hAnsi="Arial" w:cs="Arial"/>
                <w:b/>
                <w:bCs/>
                <w:spacing w:val="-1"/>
                <w:sz w:val="20"/>
                <w:szCs w:val="20"/>
              </w:rPr>
            </w:pPr>
            <w:r w:rsidRPr="00685B1A">
              <w:rPr>
                <w:rFonts w:ascii="Arial" w:hAnsi="Arial" w:cs="Arial"/>
                <w:b/>
                <w:bCs/>
                <w:spacing w:val="-1"/>
                <w:sz w:val="20"/>
                <w:szCs w:val="20"/>
              </w:rPr>
              <w:t>HWR Data for Public Reporting</w:t>
            </w:r>
          </w:p>
        </w:tc>
      </w:tr>
      <w:tr w:rsidR="008027BA" w:rsidRPr="00C40456" w14:paraId="5E1EAC73" w14:textId="77777777" w:rsidTr="00ED0A10">
        <w:trPr>
          <w:cantSplit/>
          <w:trHeight w:hRule="exact" w:val="329"/>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0FB019DD" w14:textId="77777777" w:rsidR="008027BA" w:rsidRPr="00D21CA3"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D21CA3">
              <w:rPr>
                <w:rFonts w:ascii="Arial" w:hAnsi="Arial" w:cs="Arial"/>
                <w:sz w:val="20"/>
                <w:szCs w:val="20"/>
              </w:rPr>
              <w:t>Number</w:t>
            </w:r>
            <w:r w:rsidRPr="00D21CA3">
              <w:rPr>
                <w:rFonts w:ascii="Arial" w:hAnsi="Arial" w:cs="Arial"/>
                <w:spacing w:val="-7"/>
                <w:sz w:val="20"/>
                <w:szCs w:val="20"/>
              </w:rPr>
              <w:t xml:space="preserve"> </w:t>
            </w:r>
            <w:r w:rsidRPr="00D21CA3">
              <w:rPr>
                <w:rFonts w:ascii="Arial" w:hAnsi="Arial" w:cs="Arial"/>
                <w:spacing w:val="-1"/>
                <w:sz w:val="20"/>
                <w:szCs w:val="20"/>
              </w:rPr>
              <w:t>of</w:t>
            </w:r>
            <w:r w:rsidRPr="00D21CA3">
              <w:rPr>
                <w:rFonts w:ascii="Arial" w:hAnsi="Arial" w:cs="Arial"/>
                <w:spacing w:val="-6"/>
                <w:sz w:val="20"/>
                <w:szCs w:val="20"/>
              </w:rPr>
              <w:t xml:space="preserve"> </w:t>
            </w:r>
            <w:r w:rsidRPr="00D21CA3">
              <w:rPr>
                <w:rFonts w:ascii="Arial" w:hAnsi="Arial" w:cs="Arial"/>
                <w:spacing w:val="-1"/>
                <w:sz w:val="20"/>
                <w:szCs w:val="20"/>
              </w:rPr>
              <w:t>hospital</w:t>
            </w:r>
            <w:r w:rsidRPr="00D21CA3">
              <w:rPr>
                <w:rFonts w:ascii="Arial" w:hAnsi="Arial" w:cs="Arial"/>
                <w:spacing w:val="-7"/>
                <w:sz w:val="20"/>
                <w:szCs w:val="20"/>
              </w:rPr>
              <w:t xml:space="preserve"> </w:t>
            </w:r>
            <w:r w:rsidRPr="00D21CA3">
              <w:rPr>
                <w:rFonts w:ascii="Arial" w:hAnsi="Arial" w:cs="Arial"/>
                <w:spacing w:val="-1"/>
                <w:sz w:val="20"/>
                <w:szCs w:val="20"/>
              </w:rPr>
              <w:t>stays</w:t>
            </w:r>
          </w:p>
        </w:tc>
        <w:tc>
          <w:tcPr>
            <w:tcW w:w="1980" w:type="dxa"/>
            <w:tcBorders>
              <w:top w:val="single" w:sz="4" w:space="0" w:color="000000"/>
              <w:left w:val="single" w:sz="4" w:space="0" w:color="000000"/>
              <w:bottom w:val="single" w:sz="4" w:space="0" w:color="000000"/>
              <w:right w:val="single" w:sz="4" w:space="0" w:color="000000"/>
            </w:tcBorders>
            <w:vAlign w:val="center"/>
          </w:tcPr>
          <w:p w14:paraId="71DCFF42"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2,208,753</w:t>
            </w:r>
          </w:p>
        </w:tc>
        <w:tc>
          <w:tcPr>
            <w:tcW w:w="1710" w:type="dxa"/>
            <w:tcBorders>
              <w:top w:val="single" w:sz="4" w:space="0" w:color="000000"/>
              <w:left w:val="single" w:sz="4" w:space="0" w:color="000000"/>
              <w:bottom w:val="single" w:sz="4" w:space="0" w:color="000000"/>
              <w:right w:val="single" w:sz="4" w:space="0" w:color="000000"/>
            </w:tcBorders>
            <w:vAlign w:val="center"/>
          </w:tcPr>
          <w:p w14:paraId="46398E39"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2,208,482</w:t>
            </w:r>
          </w:p>
        </w:tc>
        <w:tc>
          <w:tcPr>
            <w:tcW w:w="1710" w:type="dxa"/>
            <w:tcBorders>
              <w:top w:val="single" w:sz="4" w:space="0" w:color="000000"/>
              <w:left w:val="single" w:sz="4" w:space="0" w:color="000000"/>
              <w:bottom w:val="single" w:sz="4" w:space="0" w:color="000000"/>
              <w:right w:val="single" w:sz="4" w:space="0" w:color="000000"/>
            </w:tcBorders>
            <w:vAlign w:val="center"/>
          </w:tcPr>
          <w:p w14:paraId="2911F54E"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2,109,292</w:t>
            </w:r>
          </w:p>
        </w:tc>
        <w:tc>
          <w:tcPr>
            <w:tcW w:w="1800" w:type="dxa"/>
            <w:tcBorders>
              <w:top w:val="single" w:sz="4" w:space="0" w:color="000000"/>
              <w:left w:val="single" w:sz="4" w:space="0" w:color="000000"/>
              <w:bottom w:val="single" w:sz="4" w:space="0" w:color="000000"/>
              <w:right w:val="single" w:sz="4" w:space="0" w:color="000000"/>
            </w:tcBorders>
            <w:vAlign w:val="center"/>
          </w:tcPr>
          <w:p w14:paraId="30FC6796" w14:textId="77777777" w:rsidR="008027BA" w:rsidRPr="00D21CA3"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1,695,227</w:t>
            </w:r>
          </w:p>
        </w:tc>
      </w:tr>
      <w:tr w:rsidR="008027BA" w:rsidRPr="00C40456" w14:paraId="5304A09F"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59CA9224" w14:textId="77777777" w:rsidR="008027BA" w:rsidRPr="00D21CA3"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D21CA3">
              <w:rPr>
                <w:rFonts w:ascii="Arial" w:hAnsi="Arial" w:cs="Arial"/>
                <w:sz w:val="20"/>
                <w:szCs w:val="20"/>
              </w:rPr>
              <w:t>Number</w:t>
            </w:r>
            <w:r w:rsidRPr="00D21CA3">
              <w:rPr>
                <w:rFonts w:ascii="Arial" w:hAnsi="Arial" w:cs="Arial"/>
                <w:spacing w:val="-9"/>
                <w:sz w:val="20"/>
                <w:szCs w:val="20"/>
              </w:rPr>
              <w:t xml:space="preserve"> </w:t>
            </w:r>
            <w:r w:rsidRPr="00D21CA3">
              <w:rPr>
                <w:rFonts w:ascii="Arial" w:hAnsi="Arial" w:cs="Arial"/>
                <w:spacing w:val="-1"/>
                <w:sz w:val="20"/>
                <w:szCs w:val="20"/>
              </w:rPr>
              <w:t>of</w:t>
            </w:r>
            <w:r w:rsidRPr="00D21CA3">
              <w:rPr>
                <w:rFonts w:ascii="Arial" w:hAnsi="Arial" w:cs="Arial"/>
                <w:spacing w:val="-7"/>
                <w:sz w:val="20"/>
                <w:szCs w:val="20"/>
              </w:rPr>
              <w:t xml:space="preserve"> </w:t>
            </w:r>
            <w:r w:rsidRPr="00D21CA3">
              <w:rPr>
                <w:rFonts w:ascii="Arial" w:hAnsi="Arial" w:cs="Arial"/>
                <w:spacing w:val="-1"/>
                <w:sz w:val="20"/>
                <w:szCs w:val="20"/>
              </w:rPr>
              <w:t>hospitals</w:t>
            </w:r>
          </w:p>
        </w:tc>
        <w:tc>
          <w:tcPr>
            <w:tcW w:w="1980" w:type="dxa"/>
            <w:tcBorders>
              <w:top w:val="single" w:sz="4" w:space="0" w:color="000000"/>
              <w:left w:val="single" w:sz="4" w:space="0" w:color="000000"/>
              <w:bottom w:val="single" w:sz="4" w:space="0" w:color="000000"/>
              <w:right w:val="single" w:sz="4" w:space="0" w:color="000000"/>
            </w:tcBorders>
            <w:vAlign w:val="center"/>
          </w:tcPr>
          <w:p w14:paraId="4B554B2A" w14:textId="77777777" w:rsidR="008027BA" w:rsidRPr="00D21CA3"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D21CA3">
              <w:rPr>
                <w:rFonts w:ascii="Arial" w:hAnsi="Arial" w:cs="Arial"/>
                <w:spacing w:val="-1"/>
                <w:sz w:val="20"/>
                <w:szCs w:val="20"/>
              </w:rPr>
              <w:t>4,354</w:t>
            </w:r>
          </w:p>
        </w:tc>
        <w:tc>
          <w:tcPr>
            <w:tcW w:w="1710" w:type="dxa"/>
            <w:tcBorders>
              <w:top w:val="single" w:sz="4" w:space="0" w:color="000000"/>
              <w:left w:val="single" w:sz="4" w:space="0" w:color="000000"/>
              <w:bottom w:val="single" w:sz="4" w:space="0" w:color="000000"/>
              <w:right w:val="single" w:sz="4" w:space="0" w:color="000000"/>
            </w:tcBorders>
            <w:vAlign w:val="center"/>
          </w:tcPr>
          <w:p w14:paraId="22316D2A"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4,353</w:t>
            </w:r>
          </w:p>
        </w:tc>
        <w:tc>
          <w:tcPr>
            <w:tcW w:w="1710" w:type="dxa"/>
            <w:tcBorders>
              <w:top w:val="single" w:sz="4" w:space="0" w:color="000000"/>
              <w:left w:val="single" w:sz="4" w:space="0" w:color="000000"/>
              <w:bottom w:val="single" w:sz="4" w:space="0" w:color="000000"/>
              <w:right w:val="single" w:sz="4" w:space="0" w:color="000000"/>
            </w:tcBorders>
            <w:vAlign w:val="center"/>
          </w:tcPr>
          <w:p w14:paraId="5D35B51B"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4,232</w:t>
            </w:r>
          </w:p>
        </w:tc>
        <w:tc>
          <w:tcPr>
            <w:tcW w:w="1800" w:type="dxa"/>
            <w:tcBorders>
              <w:top w:val="single" w:sz="4" w:space="0" w:color="000000"/>
              <w:left w:val="single" w:sz="4" w:space="0" w:color="000000"/>
              <w:bottom w:val="single" w:sz="4" w:space="0" w:color="000000"/>
              <w:right w:val="single" w:sz="4" w:space="0" w:color="000000"/>
            </w:tcBorders>
            <w:vAlign w:val="center"/>
          </w:tcPr>
          <w:p w14:paraId="7071A645" w14:textId="77777777" w:rsidR="008027BA" w:rsidRPr="00D21CA3"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4,031</w:t>
            </w:r>
          </w:p>
        </w:tc>
      </w:tr>
      <w:tr w:rsidR="008027BA" w:rsidRPr="00C40456" w14:paraId="5FC7F563" w14:textId="77777777" w:rsidTr="00ED0A10">
        <w:trPr>
          <w:cantSplit/>
          <w:trHeight w:hRule="exact" w:val="523"/>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7392E1D4" w14:textId="77777777" w:rsidR="008027BA" w:rsidRPr="00D21CA3"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D21CA3">
              <w:rPr>
                <w:rFonts w:ascii="Arial" w:hAnsi="Arial" w:cs="Arial"/>
                <w:spacing w:val="-1"/>
                <w:sz w:val="20"/>
                <w:szCs w:val="20"/>
              </w:rPr>
              <w:t>Unadjusted</w:t>
            </w:r>
            <w:r w:rsidRPr="00D21CA3">
              <w:rPr>
                <w:rFonts w:ascii="Arial" w:hAnsi="Arial" w:cs="Arial"/>
                <w:spacing w:val="-14"/>
                <w:sz w:val="20"/>
                <w:szCs w:val="20"/>
              </w:rPr>
              <w:t xml:space="preserve"> </w:t>
            </w:r>
            <w:r w:rsidRPr="00D21CA3">
              <w:rPr>
                <w:rFonts w:ascii="Arial" w:hAnsi="Arial" w:cs="Arial"/>
                <w:sz w:val="20"/>
                <w:szCs w:val="20"/>
              </w:rPr>
              <w:t>readmission</w:t>
            </w:r>
            <w:r w:rsidRPr="00D21CA3">
              <w:rPr>
                <w:rFonts w:ascii="Arial" w:hAnsi="Arial" w:cs="Arial"/>
                <w:spacing w:val="-13"/>
                <w:sz w:val="20"/>
                <w:szCs w:val="20"/>
              </w:rPr>
              <w:t xml:space="preserve"> </w:t>
            </w:r>
            <w:r w:rsidRPr="00D21CA3">
              <w:rPr>
                <w:rFonts w:ascii="Arial" w:hAnsi="Arial" w:cs="Arial"/>
                <w:spacing w:val="-1"/>
                <w:sz w:val="20"/>
                <w:szCs w:val="20"/>
              </w:rPr>
              <w:t>rate</w:t>
            </w:r>
          </w:p>
        </w:tc>
        <w:tc>
          <w:tcPr>
            <w:tcW w:w="1980" w:type="dxa"/>
            <w:tcBorders>
              <w:top w:val="single" w:sz="4" w:space="0" w:color="000000"/>
              <w:left w:val="single" w:sz="4" w:space="0" w:color="000000"/>
              <w:bottom w:val="single" w:sz="4" w:space="0" w:color="000000"/>
              <w:right w:val="single" w:sz="4" w:space="0" w:color="000000"/>
            </w:tcBorders>
            <w:vAlign w:val="center"/>
          </w:tcPr>
          <w:p w14:paraId="64EE7BB2" w14:textId="77777777" w:rsidR="008027BA" w:rsidRPr="00D21CA3" w:rsidRDefault="008027BA" w:rsidP="00A56D8C">
            <w:pPr>
              <w:kinsoku w:val="0"/>
              <w:overflowPunct w:val="0"/>
              <w:autoSpaceDE w:val="0"/>
              <w:autoSpaceDN w:val="0"/>
              <w:adjustRightInd w:val="0"/>
              <w:spacing w:after="0" w:line="240" w:lineRule="auto"/>
              <w:ind w:right="8"/>
              <w:jc w:val="center"/>
              <w:rPr>
                <w:rFonts w:ascii="Times New Roman" w:hAnsi="Times New Roman" w:cs="Times New Roman"/>
                <w:sz w:val="24"/>
                <w:szCs w:val="24"/>
              </w:rPr>
            </w:pPr>
            <w:r w:rsidRPr="00D21CA3">
              <w:rPr>
                <w:rFonts w:ascii="Arial" w:hAnsi="Arial" w:cs="Arial"/>
                <w:spacing w:val="-1"/>
                <w:sz w:val="20"/>
                <w:szCs w:val="20"/>
              </w:rPr>
              <w:t>12.6%</w:t>
            </w:r>
          </w:p>
        </w:tc>
        <w:tc>
          <w:tcPr>
            <w:tcW w:w="1710" w:type="dxa"/>
            <w:tcBorders>
              <w:top w:val="single" w:sz="4" w:space="0" w:color="000000"/>
              <w:left w:val="single" w:sz="4" w:space="0" w:color="000000"/>
              <w:bottom w:val="single" w:sz="4" w:space="0" w:color="000000"/>
              <w:right w:val="single" w:sz="4" w:space="0" w:color="000000"/>
            </w:tcBorders>
            <w:vAlign w:val="center"/>
          </w:tcPr>
          <w:p w14:paraId="2C0C5B45" w14:textId="77777777" w:rsidR="008027BA" w:rsidRPr="00D21CA3" w:rsidRDefault="008027BA" w:rsidP="00A56D8C">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D21CA3">
              <w:rPr>
                <w:rFonts w:ascii="Arial" w:hAnsi="Arial" w:cs="Arial"/>
                <w:spacing w:val="-1"/>
                <w:sz w:val="20"/>
                <w:szCs w:val="20"/>
              </w:rPr>
              <w:t>12.6%</w:t>
            </w:r>
          </w:p>
        </w:tc>
        <w:tc>
          <w:tcPr>
            <w:tcW w:w="1710" w:type="dxa"/>
            <w:tcBorders>
              <w:top w:val="single" w:sz="4" w:space="0" w:color="000000"/>
              <w:left w:val="single" w:sz="4" w:space="0" w:color="000000"/>
              <w:bottom w:val="single" w:sz="4" w:space="0" w:color="000000"/>
              <w:right w:val="single" w:sz="4" w:space="0" w:color="000000"/>
            </w:tcBorders>
            <w:vAlign w:val="center"/>
          </w:tcPr>
          <w:p w14:paraId="7116265A" w14:textId="77777777" w:rsidR="008027BA" w:rsidRPr="00D21CA3" w:rsidRDefault="008027BA" w:rsidP="00A56D8C">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D21CA3">
              <w:rPr>
                <w:rFonts w:ascii="Arial" w:hAnsi="Arial" w:cs="Arial"/>
                <w:spacing w:val="-1"/>
                <w:sz w:val="20"/>
                <w:szCs w:val="20"/>
              </w:rPr>
              <w:t>12.6%</w:t>
            </w:r>
          </w:p>
        </w:tc>
        <w:tc>
          <w:tcPr>
            <w:tcW w:w="1800" w:type="dxa"/>
            <w:tcBorders>
              <w:top w:val="single" w:sz="4" w:space="0" w:color="000000"/>
              <w:left w:val="single" w:sz="4" w:space="0" w:color="000000"/>
              <w:bottom w:val="single" w:sz="4" w:space="0" w:color="000000"/>
              <w:right w:val="single" w:sz="4" w:space="0" w:color="000000"/>
            </w:tcBorders>
            <w:vAlign w:val="center"/>
          </w:tcPr>
          <w:p w14:paraId="79CA450D" w14:textId="77777777" w:rsidR="008027BA" w:rsidRPr="00D21CA3" w:rsidRDefault="008027BA" w:rsidP="00A56D8C">
            <w:pPr>
              <w:kinsoku w:val="0"/>
              <w:overflowPunct w:val="0"/>
              <w:autoSpaceDE w:val="0"/>
              <w:autoSpaceDN w:val="0"/>
              <w:adjustRightInd w:val="0"/>
              <w:spacing w:after="0" w:line="240" w:lineRule="auto"/>
              <w:ind w:right="3"/>
              <w:jc w:val="center"/>
              <w:rPr>
                <w:rFonts w:ascii="Arial" w:hAnsi="Arial" w:cs="Arial"/>
                <w:spacing w:val="-1"/>
                <w:sz w:val="20"/>
                <w:szCs w:val="20"/>
              </w:rPr>
            </w:pPr>
            <w:r w:rsidRPr="00784051">
              <w:rPr>
                <w:rFonts w:ascii="Arial" w:hAnsi="Arial" w:cs="Arial"/>
                <w:spacing w:val="-1"/>
                <w:sz w:val="20"/>
                <w:szCs w:val="20"/>
              </w:rPr>
              <w:t>11.1%</w:t>
            </w:r>
          </w:p>
        </w:tc>
      </w:tr>
      <w:tr w:rsidR="008027BA" w:rsidRPr="00C40456" w14:paraId="2847A8AA" w14:textId="77777777" w:rsidTr="00ED0A10">
        <w:trPr>
          <w:cantSplit/>
          <w:trHeight w:hRule="exact" w:val="982"/>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151DC5F0" w14:textId="77777777" w:rsidR="008027BA" w:rsidRPr="00D21CA3" w:rsidRDefault="008027BA" w:rsidP="00A56D8C">
            <w:pPr>
              <w:kinsoku w:val="0"/>
              <w:overflowPunct w:val="0"/>
              <w:autoSpaceDE w:val="0"/>
              <w:autoSpaceDN w:val="0"/>
              <w:adjustRightInd w:val="0"/>
              <w:spacing w:after="0" w:line="240" w:lineRule="auto"/>
              <w:ind w:right="414"/>
              <w:rPr>
                <w:rFonts w:ascii="Times New Roman" w:hAnsi="Times New Roman" w:cs="Times New Roman"/>
                <w:sz w:val="24"/>
                <w:szCs w:val="24"/>
              </w:rPr>
            </w:pPr>
            <w:r w:rsidRPr="00D21CA3">
              <w:rPr>
                <w:rFonts w:ascii="Arial" w:hAnsi="Arial" w:cs="Arial"/>
                <w:spacing w:val="-1"/>
                <w:sz w:val="20"/>
                <w:szCs w:val="20"/>
              </w:rPr>
              <w:t>Discrimination</w:t>
            </w:r>
            <w:r w:rsidRPr="00D21CA3">
              <w:rPr>
                <w:rFonts w:ascii="Arial" w:hAnsi="Arial" w:cs="Arial"/>
                <w:spacing w:val="-23"/>
                <w:sz w:val="20"/>
                <w:szCs w:val="20"/>
              </w:rPr>
              <w:t xml:space="preserve"> </w:t>
            </w:r>
            <w:r w:rsidRPr="00D21CA3">
              <w:rPr>
                <w:rFonts w:ascii="Arial" w:hAnsi="Arial" w:cs="Arial"/>
                <w:sz w:val="20"/>
                <w:szCs w:val="20"/>
              </w:rPr>
              <w:t>-Predictive</w:t>
            </w:r>
            <w:r w:rsidRPr="00D21CA3">
              <w:rPr>
                <w:rFonts w:ascii="Arial" w:hAnsi="Arial" w:cs="Arial"/>
                <w:spacing w:val="26"/>
                <w:w w:val="99"/>
                <w:sz w:val="20"/>
                <w:szCs w:val="20"/>
              </w:rPr>
              <w:t xml:space="preserve"> </w:t>
            </w:r>
            <w:r w:rsidRPr="00D21CA3">
              <w:rPr>
                <w:rFonts w:ascii="Arial" w:hAnsi="Arial" w:cs="Arial"/>
                <w:sz w:val="20"/>
                <w:szCs w:val="20"/>
              </w:rPr>
              <w:t>Ability</w:t>
            </w:r>
            <w:r w:rsidRPr="00D21CA3">
              <w:rPr>
                <w:rFonts w:ascii="Arial" w:hAnsi="Arial" w:cs="Arial"/>
                <w:spacing w:val="-11"/>
                <w:sz w:val="20"/>
                <w:szCs w:val="20"/>
              </w:rPr>
              <w:t xml:space="preserve"> </w:t>
            </w:r>
            <w:r w:rsidRPr="00D21CA3">
              <w:rPr>
                <w:rFonts w:ascii="Arial" w:hAnsi="Arial" w:cs="Arial"/>
                <w:sz w:val="20"/>
                <w:szCs w:val="20"/>
              </w:rPr>
              <w:t>(lowest</w:t>
            </w:r>
            <w:r w:rsidRPr="00D21CA3">
              <w:rPr>
                <w:rFonts w:ascii="Arial" w:hAnsi="Arial" w:cs="Arial"/>
                <w:spacing w:val="-7"/>
                <w:sz w:val="20"/>
                <w:szCs w:val="20"/>
              </w:rPr>
              <w:t xml:space="preserve"> </w:t>
            </w:r>
            <w:r w:rsidRPr="00D21CA3">
              <w:rPr>
                <w:rFonts w:ascii="Arial" w:hAnsi="Arial" w:cs="Arial"/>
                <w:spacing w:val="-1"/>
                <w:sz w:val="20"/>
                <w:szCs w:val="20"/>
              </w:rPr>
              <w:t>decile</w:t>
            </w:r>
            <w:r w:rsidRPr="00D21CA3">
              <w:rPr>
                <w:rFonts w:ascii="Arial" w:hAnsi="Arial" w:cs="Arial"/>
                <w:spacing w:val="-6"/>
                <w:sz w:val="20"/>
                <w:szCs w:val="20"/>
              </w:rPr>
              <w:t xml:space="preserve"> </w:t>
            </w:r>
            <w:r w:rsidRPr="00D21CA3">
              <w:rPr>
                <w:rFonts w:ascii="Arial" w:hAnsi="Arial" w:cs="Arial"/>
                <w:sz w:val="20"/>
                <w:szCs w:val="20"/>
              </w:rPr>
              <w:t>%,</w:t>
            </w:r>
            <w:r w:rsidRPr="00D21CA3">
              <w:rPr>
                <w:rFonts w:ascii="Arial" w:hAnsi="Arial" w:cs="Arial"/>
                <w:spacing w:val="30"/>
                <w:w w:val="99"/>
                <w:sz w:val="20"/>
                <w:szCs w:val="20"/>
              </w:rPr>
              <w:t xml:space="preserve"> </w:t>
            </w:r>
            <w:r w:rsidRPr="00D21CA3">
              <w:rPr>
                <w:rFonts w:ascii="Arial" w:hAnsi="Arial" w:cs="Arial"/>
                <w:spacing w:val="-1"/>
                <w:sz w:val="20"/>
                <w:szCs w:val="20"/>
              </w:rPr>
              <w:t>highest</w:t>
            </w:r>
            <w:r w:rsidRPr="00D21CA3">
              <w:rPr>
                <w:rFonts w:ascii="Arial" w:hAnsi="Arial" w:cs="Arial"/>
                <w:spacing w:val="-9"/>
                <w:sz w:val="20"/>
                <w:szCs w:val="20"/>
              </w:rPr>
              <w:t xml:space="preserve"> </w:t>
            </w:r>
            <w:r w:rsidRPr="00D21CA3">
              <w:rPr>
                <w:rFonts w:ascii="Arial" w:hAnsi="Arial" w:cs="Arial"/>
                <w:sz w:val="20"/>
                <w:szCs w:val="20"/>
              </w:rPr>
              <w:t>decile</w:t>
            </w:r>
            <w:r w:rsidRPr="00D21CA3">
              <w:rPr>
                <w:rFonts w:ascii="Arial" w:hAnsi="Arial" w:cs="Arial"/>
                <w:spacing w:val="-8"/>
                <w:sz w:val="20"/>
                <w:szCs w:val="20"/>
              </w:rPr>
              <w:t xml:space="preserve"> </w:t>
            </w:r>
            <w:r w:rsidRPr="00D21CA3">
              <w:rPr>
                <w:rFonts w:ascii="Arial" w:hAnsi="Arial"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vAlign w:val="center"/>
          </w:tcPr>
          <w:p w14:paraId="3EEF19C9" w14:textId="77777777" w:rsidR="008027BA" w:rsidRPr="00D21CA3" w:rsidRDefault="008027BA" w:rsidP="00575EE3">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D21CA3">
              <w:rPr>
                <w:rFonts w:ascii="Arial" w:hAnsi="Arial" w:cs="Arial"/>
                <w:sz w:val="20"/>
                <w:szCs w:val="20"/>
              </w:rPr>
              <w:t>4</w:t>
            </w:r>
            <w:r w:rsidRPr="00D21CA3">
              <w:rPr>
                <w:rFonts w:ascii="Arial" w:hAnsi="Arial" w:cs="Arial"/>
                <w:spacing w:val="-4"/>
                <w:sz w:val="20"/>
                <w:szCs w:val="20"/>
              </w:rPr>
              <w:t xml:space="preserve"> </w:t>
            </w:r>
            <w:r w:rsidRPr="00D21CA3">
              <w:rPr>
                <w:rFonts w:ascii="Arial" w:hAnsi="Arial" w:cs="Arial"/>
                <w:sz w:val="20"/>
                <w:szCs w:val="20"/>
              </w:rPr>
              <w:t>–</w:t>
            </w:r>
            <w:r w:rsidRPr="00D21CA3">
              <w:rPr>
                <w:rFonts w:ascii="Arial" w:hAnsi="Arial" w:cs="Arial"/>
                <w:spacing w:val="-3"/>
                <w:sz w:val="20"/>
                <w:szCs w:val="20"/>
              </w:rPr>
              <w:t xml:space="preserve"> </w:t>
            </w:r>
            <w:r w:rsidRPr="00D21CA3">
              <w:rPr>
                <w:rFonts w:ascii="Arial" w:hAnsi="Arial" w:cs="Arial"/>
                <w:spacing w:val="2"/>
                <w:sz w:val="20"/>
                <w:szCs w:val="20"/>
              </w:rPr>
              <w:t>27</w:t>
            </w:r>
          </w:p>
        </w:tc>
        <w:tc>
          <w:tcPr>
            <w:tcW w:w="1710" w:type="dxa"/>
            <w:tcBorders>
              <w:top w:val="single" w:sz="4" w:space="0" w:color="000000"/>
              <w:left w:val="single" w:sz="4" w:space="0" w:color="000000"/>
              <w:bottom w:val="single" w:sz="4" w:space="0" w:color="000000"/>
              <w:right w:val="single" w:sz="4" w:space="0" w:color="000000"/>
            </w:tcBorders>
            <w:vAlign w:val="center"/>
          </w:tcPr>
          <w:p w14:paraId="6DA1C6EF" w14:textId="77777777" w:rsidR="008027BA" w:rsidRPr="00D21CA3" w:rsidRDefault="008027BA" w:rsidP="00575EE3">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D21CA3">
              <w:rPr>
                <w:rFonts w:ascii="Arial" w:hAnsi="Arial" w:cs="Arial"/>
                <w:sz w:val="20"/>
                <w:szCs w:val="20"/>
              </w:rPr>
              <w:t>4</w:t>
            </w:r>
            <w:r w:rsidRPr="00D21CA3">
              <w:rPr>
                <w:rFonts w:ascii="Arial" w:hAnsi="Arial" w:cs="Arial"/>
                <w:spacing w:val="-4"/>
                <w:sz w:val="20"/>
                <w:szCs w:val="20"/>
              </w:rPr>
              <w:t xml:space="preserve"> </w:t>
            </w:r>
            <w:r w:rsidRPr="00D21CA3">
              <w:rPr>
                <w:rFonts w:ascii="Arial" w:hAnsi="Arial" w:cs="Arial"/>
                <w:sz w:val="20"/>
                <w:szCs w:val="20"/>
              </w:rPr>
              <w:t>–</w:t>
            </w:r>
            <w:r w:rsidRPr="00D21CA3">
              <w:rPr>
                <w:rFonts w:ascii="Arial" w:hAnsi="Arial" w:cs="Arial"/>
                <w:spacing w:val="-3"/>
                <w:sz w:val="20"/>
                <w:szCs w:val="20"/>
              </w:rPr>
              <w:t xml:space="preserve"> </w:t>
            </w:r>
            <w:r w:rsidRPr="00D21CA3">
              <w:rPr>
                <w:rFonts w:ascii="Arial" w:hAnsi="Arial" w:cs="Arial"/>
                <w:spacing w:val="2"/>
                <w:sz w:val="20"/>
                <w:szCs w:val="20"/>
              </w:rPr>
              <w:t>27</w:t>
            </w:r>
          </w:p>
        </w:tc>
        <w:tc>
          <w:tcPr>
            <w:tcW w:w="1710" w:type="dxa"/>
            <w:tcBorders>
              <w:top w:val="single" w:sz="4" w:space="0" w:color="000000"/>
              <w:left w:val="single" w:sz="4" w:space="0" w:color="000000"/>
              <w:bottom w:val="single" w:sz="4" w:space="0" w:color="000000"/>
              <w:right w:val="single" w:sz="4" w:space="0" w:color="000000"/>
            </w:tcBorders>
            <w:vAlign w:val="center"/>
          </w:tcPr>
          <w:p w14:paraId="734537DD" w14:textId="77777777" w:rsidR="008027BA" w:rsidRPr="00D21CA3" w:rsidRDefault="008027BA" w:rsidP="00575EE3">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D21CA3">
              <w:rPr>
                <w:rFonts w:ascii="Arial" w:hAnsi="Arial" w:cs="Arial"/>
                <w:sz w:val="20"/>
                <w:szCs w:val="20"/>
              </w:rPr>
              <w:t>3</w:t>
            </w:r>
            <w:r w:rsidRPr="00D21CA3">
              <w:rPr>
                <w:rFonts w:ascii="Arial" w:hAnsi="Arial" w:cs="Arial"/>
                <w:spacing w:val="-4"/>
                <w:sz w:val="20"/>
                <w:szCs w:val="20"/>
              </w:rPr>
              <w:t xml:space="preserve"> </w:t>
            </w:r>
            <w:r w:rsidRPr="00D21CA3">
              <w:rPr>
                <w:rFonts w:ascii="Arial" w:hAnsi="Arial" w:cs="Arial"/>
                <w:sz w:val="20"/>
                <w:szCs w:val="20"/>
              </w:rPr>
              <w:t>–</w:t>
            </w:r>
            <w:r w:rsidRPr="00D21CA3">
              <w:rPr>
                <w:rFonts w:ascii="Arial" w:hAnsi="Arial" w:cs="Arial"/>
                <w:spacing w:val="-3"/>
                <w:sz w:val="20"/>
                <w:szCs w:val="20"/>
              </w:rPr>
              <w:t xml:space="preserve"> </w:t>
            </w:r>
            <w:r w:rsidRPr="00D21CA3">
              <w:rPr>
                <w:rFonts w:ascii="Arial" w:hAnsi="Arial" w:cs="Arial"/>
                <w:spacing w:val="2"/>
                <w:sz w:val="20"/>
                <w:szCs w:val="20"/>
              </w:rPr>
              <w:t>30</w:t>
            </w:r>
          </w:p>
        </w:tc>
        <w:tc>
          <w:tcPr>
            <w:tcW w:w="1800" w:type="dxa"/>
            <w:tcBorders>
              <w:top w:val="single" w:sz="4" w:space="0" w:color="000000"/>
              <w:left w:val="single" w:sz="4" w:space="0" w:color="000000"/>
              <w:bottom w:val="single" w:sz="4" w:space="0" w:color="000000"/>
              <w:right w:val="single" w:sz="4" w:space="0" w:color="000000"/>
            </w:tcBorders>
            <w:vAlign w:val="center"/>
          </w:tcPr>
          <w:p w14:paraId="746D8301" w14:textId="77777777" w:rsidR="008027BA" w:rsidRPr="00D21CA3" w:rsidRDefault="008027BA" w:rsidP="00575EE3">
            <w:pPr>
              <w:kinsoku w:val="0"/>
              <w:overflowPunct w:val="0"/>
              <w:autoSpaceDE w:val="0"/>
              <w:autoSpaceDN w:val="0"/>
              <w:adjustRightInd w:val="0"/>
              <w:spacing w:after="0" w:line="240" w:lineRule="auto"/>
              <w:jc w:val="center"/>
              <w:rPr>
                <w:rFonts w:ascii="Arial" w:hAnsi="Arial" w:cs="Arial"/>
              </w:rPr>
            </w:pPr>
            <w:r>
              <w:rPr>
                <w:rFonts w:ascii="Arial" w:hAnsi="Arial" w:cs="Arial"/>
                <w:sz w:val="20"/>
              </w:rPr>
              <w:t>5-27</w:t>
            </w:r>
          </w:p>
        </w:tc>
      </w:tr>
      <w:tr w:rsidR="008027BA" w:rsidRPr="00C40456" w14:paraId="4D04689C" w14:textId="77777777" w:rsidTr="00ED0A10">
        <w:trPr>
          <w:cantSplit/>
          <w:trHeight w:hRule="exact" w:val="280"/>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601E396E" w14:textId="77777777" w:rsidR="008027BA" w:rsidRPr="00D21CA3"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D21CA3">
              <w:rPr>
                <w:rFonts w:ascii="Arial" w:hAnsi="Arial" w:cs="Arial"/>
                <w:spacing w:val="-1"/>
                <w:sz w:val="20"/>
                <w:szCs w:val="20"/>
              </w:rPr>
              <w:t>Discrimination</w:t>
            </w:r>
            <w:r w:rsidRPr="00D21CA3">
              <w:rPr>
                <w:rFonts w:ascii="Arial" w:hAnsi="Arial" w:cs="Arial"/>
                <w:spacing w:val="-7"/>
                <w:sz w:val="20"/>
                <w:szCs w:val="20"/>
              </w:rPr>
              <w:t xml:space="preserve"> </w:t>
            </w:r>
            <w:r w:rsidRPr="00D21CA3">
              <w:rPr>
                <w:rFonts w:ascii="Arial" w:hAnsi="Arial" w:cs="Arial"/>
                <w:sz w:val="20"/>
                <w:szCs w:val="20"/>
              </w:rPr>
              <w:t>–</w:t>
            </w:r>
            <w:r w:rsidRPr="00D21CA3">
              <w:rPr>
                <w:rFonts w:ascii="Arial" w:hAnsi="Arial" w:cs="Arial"/>
                <w:spacing w:val="-8"/>
                <w:sz w:val="20"/>
                <w:szCs w:val="20"/>
              </w:rPr>
              <w:t xml:space="preserve"> </w:t>
            </w:r>
            <w:r w:rsidRPr="00D21CA3">
              <w:rPr>
                <w:rFonts w:ascii="Arial" w:hAnsi="Arial" w:cs="Arial"/>
                <w:sz w:val="20"/>
                <w:szCs w:val="20"/>
              </w:rPr>
              <w:t>c</w:t>
            </w:r>
            <w:r w:rsidRPr="00D21CA3">
              <w:rPr>
                <w:rFonts w:ascii="Arial" w:hAnsi="Arial" w:cs="Arial"/>
                <w:spacing w:val="-7"/>
                <w:sz w:val="20"/>
                <w:szCs w:val="20"/>
              </w:rPr>
              <w:t xml:space="preserve"> </w:t>
            </w:r>
            <w:r w:rsidRPr="00D21CA3">
              <w:rPr>
                <w:rFonts w:ascii="Arial" w:hAnsi="Arial" w:cs="Arial"/>
                <w:spacing w:val="-1"/>
                <w:sz w:val="20"/>
                <w:szCs w:val="20"/>
              </w:rPr>
              <w:t>statistic</w:t>
            </w:r>
          </w:p>
        </w:tc>
        <w:tc>
          <w:tcPr>
            <w:tcW w:w="1980" w:type="dxa"/>
            <w:tcBorders>
              <w:top w:val="single" w:sz="4" w:space="0" w:color="000000"/>
              <w:left w:val="single" w:sz="4" w:space="0" w:color="000000"/>
              <w:bottom w:val="single" w:sz="4" w:space="0" w:color="000000"/>
              <w:right w:val="single" w:sz="4" w:space="0" w:color="000000"/>
            </w:tcBorders>
            <w:vAlign w:val="center"/>
          </w:tcPr>
          <w:p w14:paraId="028E093B" w14:textId="77777777" w:rsidR="008027BA" w:rsidRPr="00D21CA3"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D21CA3">
              <w:rPr>
                <w:rFonts w:ascii="Arial" w:hAnsi="Arial" w:cs="Arial"/>
                <w:spacing w:val="-1"/>
                <w:sz w:val="20"/>
                <w:szCs w:val="20"/>
              </w:rPr>
              <w:t>0.675</w:t>
            </w:r>
          </w:p>
        </w:tc>
        <w:tc>
          <w:tcPr>
            <w:tcW w:w="1710" w:type="dxa"/>
            <w:tcBorders>
              <w:top w:val="single" w:sz="4" w:space="0" w:color="000000"/>
              <w:left w:val="single" w:sz="4" w:space="0" w:color="000000"/>
              <w:bottom w:val="single" w:sz="4" w:space="0" w:color="000000"/>
              <w:right w:val="single" w:sz="4" w:space="0" w:color="000000"/>
            </w:tcBorders>
            <w:vAlign w:val="center"/>
          </w:tcPr>
          <w:p w14:paraId="1E04CEDD"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0.675</w:t>
            </w:r>
          </w:p>
        </w:tc>
        <w:tc>
          <w:tcPr>
            <w:tcW w:w="1710" w:type="dxa"/>
            <w:tcBorders>
              <w:top w:val="single" w:sz="4" w:space="0" w:color="000000"/>
              <w:left w:val="single" w:sz="4" w:space="0" w:color="000000"/>
              <w:bottom w:val="single" w:sz="4" w:space="0" w:color="000000"/>
              <w:right w:val="single" w:sz="4" w:space="0" w:color="000000"/>
            </w:tcBorders>
            <w:vAlign w:val="center"/>
          </w:tcPr>
          <w:p w14:paraId="3980B121" w14:textId="77777777" w:rsidR="008027BA" w:rsidRPr="00D21CA3"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21CA3">
              <w:rPr>
                <w:rFonts w:ascii="Arial" w:hAnsi="Arial" w:cs="Arial"/>
                <w:spacing w:val="-1"/>
                <w:sz w:val="20"/>
                <w:szCs w:val="20"/>
              </w:rPr>
              <w:t>0.699</w:t>
            </w:r>
          </w:p>
        </w:tc>
        <w:tc>
          <w:tcPr>
            <w:tcW w:w="1800" w:type="dxa"/>
            <w:tcBorders>
              <w:top w:val="single" w:sz="4" w:space="0" w:color="000000"/>
              <w:left w:val="single" w:sz="4" w:space="0" w:color="000000"/>
              <w:bottom w:val="single" w:sz="4" w:space="0" w:color="000000"/>
              <w:right w:val="single" w:sz="4" w:space="0" w:color="000000"/>
            </w:tcBorders>
            <w:vAlign w:val="center"/>
          </w:tcPr>
          <w:p w14:paraId="19181C5A" w14:textId="77777777" w:rsidR="008027BA" w:rsidRPr="00D21CA3"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Pr>
                <w:rFonts w:ascii="Arial" w:hAnsi="Arial" w:cs="Arial"/>
                <w:spacing w:val="-1"/>
                <w:sz w:val="20"/>
                <w:szCs w:val="20"/>
              </w:rPr>
              <w:t>0.675</w:t>
            </w:r>
          </w:p>
        </w:tc>
      </w:tr>
    </w:tbl>
    <w:p w14:paraId="3D2E0030" w14:textId="77777777" w:rsidR="008027BA" w:rsidRDefault="008027BA" w:rsidP="008027BA">
      <w:pPr>
        <w:autoSpaceDE w:val="0"/>
        <w:autoSpaceDN w:val="0"/>
        <w:adjustRightInd w:val="0"/>
        <w:spacing w:after="0" w:line="240" w:lineRule="auto"/>
        <w:rPr>
          <w:rFonts w:cstheme="minorHAnsi"/>
          <w:b/>
          <w:bCs/>
        </w:rPr>
      </w:pPr>
    </w:p>
    <w:p w14:paraId="28CA1146" w14:textId="77777777" w:rsidR="008027BA" w:rsidRDefault="008027BA" w:rsidP="008027BA">
      <w:pPr>
        <w:autoSpaceDE w:val="0"/>
        <w:autoSpaceDN w:val="0"/>
        <w:adjustRightInd w:val="0"/>
        <w:spacing w:after="0" w:line="240" w:lineRule="auto"/>
        <w:ind w:firstLine="720"/>
        <w:rPr>
          <w:rFonts w:cstheme="minorHAnsi"/>
          <w:b/>
          <w:bCs/>
        </w:rPr>
      </w:pPr>
      <w:r>
        <w:rPr>
          <w:rFonts w:cstheme="minorHAnsi"/>
          <w:b/>
          <w:bCs/>
        </w:rPr>
        <w:t>Cardiorespiratory Cohort Model Discrimination</w:t>
      </w:r>
    </w:p>
    <w:tbl>
      <w:tblPr>
        <w:tblW w:w="9540" w:type="dxa"/>
        <w:tblInd w:w="-5" w:type="dxa"/>
        <w:tblLayout w:type="fixed"/>
        <w:tblCellMar>
          <w:left w:w="0" w:type="dxa"/>
          <w:right w:w="0" w:type="dxa"/>
        </w:tblCellMar>
        <w:tblLook w:val="0000" w:firstRow="0" w:lastRow="0" w:firstColumn="0" w:lastColumn="0" w:noHBand="0" w:noVBand="0"/>
      </w:tblPr>
      <w:tblGrid>
        <w:gridCol w:w="2340"/>
        <w:gridCol w:w="1980"/>
        <w:gridCol w:w="1710"/>
        <w:gridCol w:w="1710"/>
        <w:gridCol w:w="1800"/>
      </w:tblGrid>
      <w:tr w:rsidR="008027BA" w:rsidRPr="00C40456" w14:paraId="4A2EDBB3" w14:textId="77777777" w:rsidTr="00ED0A10">
        <w:trPr>
          <w:cantSplit/>
          <w:trHeight w:hRule="exact" w:val="919"/>
          <w:tblHeader/>
        </w:trPr>
        <w:tc>
          <w:tcPr>
            <w:tcW w:w="23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056A1E" w14:textId="77777777" w:rsidR="008027BA" w:rsidRPr="00C40456" w:rsidRDefault="008027BA" w:rsidP="00ED0A10">
            <w:pPr>
              <w:kinsoku w:val="0"/>
              <w:overflowPunct w:val="0"/>
              <w:autoSpaceDE w:val="0"/>
              <w:autoSpaceDN w:val="0"/>
              <w:adjustRightInd w:val="0"/>
              <w:spacing w:before="4" w:after="0" w:line="240" w:lineRule="auto"/>
              <w:jc w:val="center"/>
              <w:rPr>
                <w:rFonts w:ascii="Arial" w:hAnsi="Arial" w:cs="Arial"/>
                <w:sz w:val="16"/>
                <w:szCs w:val="16"/>
              </w:rPr>
            </w:pPr>
          </w:p>
          <w:p w14:paraId="49C4E9DF"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b/>
                <w:bCs/>
                <w:spacing w:val="-1"/>
                <w:sz w:val="20"/>
                <w:szCs w:val="20"/>
              </w:rPr>
              <w:t>Indices</w:t>
            </w:r>
          </w:p>
        </w:tc>
        <w:tc>
          <w:tcPr>
            <w:tcW w:w="19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24CFC49" w14:textId="77777777" w:rsidR="008027BA" w:rsidRPr="00C40456" w:rsidRDefault="008027BA" w:rsidP="00A56D8C">
            <w:pPr>
              <w:kinsoku w:val="0"/>
              <w:overflowPunct w:val="0"/>
              <w:autoSpaceDE w:val="0"/>
              <w:autoSpaceDN w:val="0"/>
              <w:adjustRightInd w:val="0"/>
              <w:spacing w:before="75" w:after="0" w:line="229" w:lineRule="exact"/>
              <w:ind w:right="5"/>
              <w:jc w:val="center"/>
              <w:rPr>
                <w:rFonts w:ascii="Arial" w:hAnsi="Arial" w:cs="Arial"/>
                <w:sz w:val="20"/>
                <w:szCs w:val="20"/>
              </w:rPr>
            </w:pPr>
            <w:r w:rsidRPr="00C40456">
              <w:rPr>
                <w:rFonts w:ascii="Arial" w:hAnsi="Arial" w:cs="Arial"/>
                <w:b/>
                <w:bCs/>
                <w:spacing w:val="-1"/>
                <w:sz w:val="20"/>
                <w:szCs w:val="20"/>
              </w:rPr>
              <w:t>2007-2008</w:t>
            </w:r>
          </w:p>
          <w:p w14:paraId="7E77420D" w14:textId="77777777" w:rsidR="008027BA" w:rsidRPr="00C40456" w:rsidRDefault="008027BA" w:rsidP="00A56D8C">
            <w:pPr>
              <w:kinsoku w:val="0"/>
              <w:overflowPunct w:val="0"/>
              <w:autoSpaceDE w:val="0"/>
              <w:autoSpaceDN w:val="0"/>
              <w:adjustRightInd w:val="0"/>
              <w:spacing w:after="0" w:line="229" w:lineRule="exact"/>
              <w:ind w:right="5"/>
              <w:jc w:val="center"/>
              <w:rPr>
                <w:rFonts w:ascii="Times New Roman" w:hAnsi="Times New Roman" w:cs="Times New Roman"/>
                <w:sz w:val="24"/>
                <w:szCs w:val="24"/>
              </w:rPr>
            </w:pPr>
            <w:r w:rsidRPr="00C40456">
              <w:rPr>
                <w:rFonts w:ascii="Arial" w:hAnsi="Arial" w:cs="Arial"/>
                <w:b/>
                <w:bCs/>
                <w:spacing w:val="-1"/>
                <w:sz w:val="20"/>
                <w:szCs w:val="20"/>
              </w:rPr>
              <w:t>Development</w:t>
            </w:r>
            <w:r w:rsidRPr="00C40456">
              <w:rPr>
                <w:rFonts w:ascii="Arial" w:hAnsi="Arial" w:cs="Arial"/>
                <w:b/>
                <w:bCs/>
                <w:spacing w:val="-20"/>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02DDC24" w14:textId="77777777" w:rsidR="008027BA" w:rsidRPr="00C40456" w:rsidRDefault="008027BA" w:rsidP="00A56D8C">
            <w:pPr>
              <w:kinsoku w:val="0"/>
              <w:overflowPunct w:val="0"/>
              <w:autoSpaceDE w:val="0"/>
              <w:autoSpaceDN w:val="0"/>
              <w:adjustRightInd w:val="0"/>
              <w:spacing w:before="75" w:after="0" w:line="229" w:lineRule="exact"/>
              <w:jc w:val="center"/>
              <w:rPr>
                <w:rFonts w:ascii="Arial" w:hAnsi="Arial" w:cs="Arial"/>
                <w:sz w:val="20"/>
                <w:szCs w:val="20"/>
              </w:rPr>
            </w:pPr>
            <w:r w:rsidRPr="00C40456">
              <w:rPr>
                <w:rFonts w:ascii="Arial" w:hAnsi="Arial" w:cs="Arial"/>
                <w:b/>
                <w:bCs/>
                <w:spacing w:val="-1"/>
                <w:sz w:val="20"/>
                <w:szCs w:val="20"/>
              </w:rPr>
              <w:t>2007-2008</w:t>
            </w:r>
          </w:p>
          <w:p w14:paraId="3A632ED0" w14:textId="77777777" w:rsidR="008027BA" w:rsidRPr="00C40456" w:rsidRDefault="008027BA" w:rsidP="00A56D8C">
            <w:pPr>
              <w:kinsoku w:val="0"/>
              <w:overflowPunct w:val="0"/>
              <w:autoSpaceDE w:val="0"/>
              <w:autoSpaceDN w:val="0"/>
              <w:adjustRightInd w:val="0"/>
              <w:spacing w:after="0" w:line="229" w:lineRule="exact"/>
              <w:ind w:right="2"/>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A07C452" w14:textId="77777777" w:rsidR="008027BA" w:rsidRPr="00C40456" w:rsidRDefault="008027BA" w:rsidP="00A56D8C">
            <w:pPr>
              <w:kinsoku w:val="0"/>
              <w:overflowPunct w:val="0"/>
              <w:autoSpaceDE w:val="0"/>
              <w:autoSpaceDN w:val="0"/>
              <w:adjustRightInd w:val="0"/>
              <w:spacing w:before="75" w:after="0" w:line="229" w:lineRule="exact"/>
              <w:jc w:val="center"/>
              <w:rPr>
                <w:rFonts w:ascii="Arial" w:hAnsi="Arial" w:cs="Arial"/>
                <w:sz w:val="20"/>
                <w:szCs w:val="20"/>
              </w:rPr>
            </w:pPr>
            <w:r w:rsidRPr="00C40456">
              <w:rPr>
                <w:rFonts w:ascii="Arial" w:hAnsi="Arial" w:cs="Arial"/>
                <w:b/>
                <w:bCs/>
                <w:spacing w:val="-1"/>
                <w:sz w:val="20"/>
                <w:szCs w:val="20"/>
              </w:rPr>
              <w:t>2009</w:t>
            </w:r>
          </w:p>
          <w:p w14:paraId="670340B3" w14:textId="77777777" w:rsidR="008027BA" w:rsidRPr="00C40456" w:rsidRDefault="008027BA" w:rsidP="00A56D8C">
            <w:pPr>
              <w:kinsoku w:val="0"/>
              <w:overflowPunct w:val="0"/>
              <w:autoSpaceDE w:val="0"/>
              <w:autoSpaceDN w:val="0"/>
              <w:adjustRightInd w:val="0"/>
              <w:spacing w:after="0" w:line="229" w:lineRule="exact"/>
              <w:ind w:right="2"/>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80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D5F4BD" w14:textId="3A842477" w:rsidR="008027BA" w:rsidRPr="00685B1A" w:rsidRDefault="008027BA" w:rsidP="00A56D8C">
            <w:pPr>
              <w:kinsoku w:val="0"/>
              <w:overflowPunct w:val="0"/>
              <w:autoSpaceDE w:val="0"/>
              <w:autoSpaceDN w:val="0"/>
              <w:adjustRightInd w:val="0"/>
              <w:spacing w:before="75" w:after="0" w:line="229" w:lineRule="exact"/>
              <w:jc w:val="center"/>
              <w:rPr>
                <w:rFonts w:ascii="Arial" w:hAnsi="Arial" w:cs="Arial"/>
                <w:b/>
                <w:bCs/>
                <w:spacing w:val="-1"/>
                <w:sz w:val="20"/>
                <w:szCs w:val="20"/>
              </w:rPr>
            </w:pPr>
            <w:r w:rsidRPr="00685B1A">
              <w:rPr>
                <w:rFonts w:ascii="Arial" w:hAnsi="Arial" w:cs="Arial"/>
                <w:b/>
                <w:bCs/>
                <w:spacing w:val="-1"/>
                <w:sz w:val="20"/>
                <w:szCs w:val="20"/>
              </w:rPr>
              <w:t>2015</w:t>
            </w:r>
          </w:p>
          <w:p w14:paraId="651AA4BD" w14:textId="77777777" w:rsidR="008027BA" w:rsidRPr="00C40456" w:rsidRDefault="008027BA" w:rsidP="00A56D8C">
            <w:pPr>
              <w:kinsoku w:val="0"/>
              <w:overflowPunct w:val="0"/>
              <w:autoSpaceDE w:val="0"/>
              <w:autoSpaceDN w:val="0"/>
              <w:adjustRightInd w:val="0"/>
              <w:spacing w:before="75" w:after="0" w:line="229" w:lineRule="exact"/>
              <w:jc w:val="center"/>
              <w:rPr>
                <w:rFonts w:ascii="Arial" w:hAnsi="Arial" w:cs="Arial"/>
                <w:b/>
                <w:bCs/>
                <w:spacing w:val="-1"/>
                <w:sz w:val="20"/>
                <w:szCs w:val="20"/>
              </w:rPr>
            </w:pPr>
            <w:r w:rsidRPr="00685B1A">
              <w:rPr>
                <w:rFonts w:ascii="Arial" w:hAnsi="Arial" w:cs="Arial"/>
                <w:b/>
                <w:bCs/>
                <w:spacing w:val="-1"/>
                <w:sz w:val="20"/>
                <w:szCs w:val="20"/>
              </w:rPr>
              <w:t>HWR Data for Public Reporting</w:t>
            </w:r>
          </w:p>
        </w:tc>
      </w:tr>
      <w:tr w:rsidR="008027BA" w:rsidRPr="00C40456" w14:paraId="00CB8587"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02AF483C"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z w:val="20"/>
                <w:szCs w:val="20"/>
              </w:rPr>
              <w:t>Number</w:t>
            </w:r>
            <w:r w:rsidRPr="00C40456">
              <w:rPr>
                <w:rFonts w:ascii="Arial" w:hAnsi="Arial" w:cs="Arial"/>
                <w:spacing w:val="-7"/>
                <w:sz w:val="20"/>
                <w:szCs w:val="20"/>
              </w:rPr>
              <w:t xml:space="preserve"> </w:t>
            </w:r>
            <w:r w:rsidRPr="00C40456">
              <w:rPr>
                <w:rFonts w:ascii="Arial" w:hAnsi="Arial" w:cs="Arial"/>
                <w:spacing w:val="-1"/>
                <w:sz w:val="20"/>
                <w:szCs w:val="20"/>
              </w:rPr>
              <w:t>of</w:t>
            </w:r>
            <w:r w:rsidRPr="00C40456">
              <w:rPr>
                <w:rFonts w:ascii="Arial" w:hAnsi="Arial" w:cs="Arial"/>
                <w:spacing w:val="-6"/>
                <w:sz w:val="20"/>
                <w:szCs w:val="20"/>
              </w:rPr>
              <w:t xml:space="preserve"> </w:t>
            </w:r>
            <w:r w:rsidRPr="00C40456">
              <w:rPr>
                <w:rFonts w:ascii="Arial" w:hAnsi="Arial" w:cs="Arial"/>
                <w:spacing w:val="-1"/>
                <w:sz w:val="20"/>
                <w:szCs w:val="20"/>
              </w:rPr>
              <w:t>hospital</w:t>
            </w:r>
            <w:r w:rsidRPr="00C40456">
              <w:rPr>
                <w:rFonts w:ascii="Arial" w:hAnsi="Arial" w:cs="Arial"/>
                <w:spacing w:val="-7"/>
                <w:sz w:val="20"/>
                <w:szCs w:val="20"/>
              </w:rPr>
              <w:t xml:space="preserve"> </w:t>
            </w:r>
            <w:r w:rsidRPr="00C40456">
              <w:rPr>
                <w:rFonts w:ascii="Arial" w:hAnsi="Arial" w:cs="Arial"/>
                <w:spacing w:val="-1"/>
                <w:sz w:val="20"/>
                <w:szCs w:val="20"/>
              </w:rPr>
              <w:t>stays</w:t>
            </w:r>
          </w:p>
        </w:tc>
        <w:tc>
          <w:tcPr>
            <w:tcW w:w="1980" w:type="dxa"/>
            <w:tcBorders>
              <w:top w:val="single" w:sz="4" w:space="0" w:color="000000"/>
              <w:left w:val="single" w:sz="4" w:space="0" w:color="000000"/>
              <w:bottom w:val="single" w:sz="4" w:space="0" w:color="000000"/>
              <w:right w:val="single" w:sz="4" w:space="0" w:color="000000"/>
            </w:tcBorders>
            <w:vAlign w:val="center"/>
          </w:tcPr>
          <w:p w14:paraId="1972CFFC"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1,396,562</w:t>
            </w:r>
          </w:p>
        </w:tc>
        <w:tc>
          <w:tcPr>
            <w:tcW w:w="1710" w:type="dxa"/>
            <w:tcBorders>
              <w:top w:val="single" w:sz="4" w:space="0" w:color="000000"/>
              <w:left w:val="single" w:sz="4" w:space="0" w:color="000000"/>
              <w:bottom w:val="single" w:sz="4" w:space="0" w:color="000000"/>
              <w:right w:val="single" w:sz="4" w:space="0" w:color="000000"/>
            </w:tcBorders>
            <w:vAlign w:val="center"/>
          </w:tcPr>
          <w:p w14:paraId="64A1B423"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1,396,855</w:t>
            </w:r>
          </w:p>
        </w:tc>
        <w:tc>
          <w:tcPr>
            <w:tcW w:w="1710" w:type="dxa"/>
            <w:tcBorders>
              <w:top w:val="single" w:sz="4" w:space="0" w:color="000000"/>
              <w:left w:val="single" w:sz="4" w:space="0" w:color="000000"/>
              <w:bottom w:val="single" w:sz="4" w:space="0" w:color="000000"/>
              <w:right w:val="single" w:sz="4" w:space="0" w:color="000000"/>
            </w:tcBorders>
            <w:vAlign w:val="center"/>
          </w:tcPr>
          <w:p w14:paraId="2A889F66"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1,331,539</w:t>
            </w:r>
          </w:p>
        </w:tc>
        <w:tc>
          <w:tcPr>
            <w:tcW w:w="1800" w:type="dxa"/>
            <w:tcBorders>
              <w:top w:val="single" w:sz="4" w:space="0" w:color="000000"/>
              <w:left w:val="single" w:sz="4" w:space="0" w:color="000000"/>
              <w:bottom w:val="single" w:sz="4" w:space="0" w:color="000000"/>
              <w:right w:val="single" w:sz="4" w:space="0" w:color="000000"/>
            </w:tcBorders>
            <w:vAlign w:val="center"/>
          </w:tcPr>
          <w:p w14:paraId="5657C91F"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1,144,451</w:t>
            </w:r>
          </w:p>
        </w:tc>
      </w:tr>
      <w:tr w:rsidR="008027BA" w:rsidRPr="00C40456" w14:paraId="76C007AD"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1ACE48AA"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z w:val="20"/>
                <w:szCs w:val="20"/>
              </w:rPr>
              <w:t>Number</w:t>
            </w:r>
            <w:r w:rsidRPr="00C40456">
              <w:rPr>
                <w:rFonts w:ascii="Arial" w:hAnsi="Arial" w:cs="Arial"/>
                <w:spacing w:val="-9"/>
                <w:sz w:val="20"/>
                <w:szCs w:val="20"/>
              </w:rPr>
              <w:t xml:space="preserve"> </w:t>
            </w:r>
            <w:r w:rsidRPr="00C40456">
              <w:rPr>
                <w:rFonts w:ascii="Arial" w:hAnsi="Arial" w:cs="Arial"/>
                <w:spacing w:val="-1"/>
                <w:sz w:val="20"/>
                <w:szCs w:val="20"/>
              </w:rPr>
              <w:t>of</w:t>
            </w:r>
            <w:r w:rsidRPr="00C40456">
              <w:rPr>
                <w:rFonts w:ascii="Arial" w:hAnsi="Arial" w:cs="Arial"/>
                <w:spacing w:val="-7"/>
                <w:sz w:val="20"/>
                <w:szCs w:val="20"/>
              </w:rPr>
              <w:t xml:space="preserve"> </w:t>
            </w:r>
            <w:r w:rsidRPr="00C40456">
              <w:rPr>
                <w:rFonts w:ascii="Arial" w:hAnsi="Arial" w:cs="Arial"/>
                <w:spacing w:val="-1"/>
                <w:sz w:val="20"/>
                <w:szCs w:val="20"/>
              </w:rPr>
              <w:t>hospitals</w:t>
            </w:r>
          </w:p>
        </w:tc>
        <w:tc>
          <w:tcPr>
            <w:tcW w:w="1980" w:type="dxa"/>
            <w:tcBorders>
              <w:top w:val="single" w:sz="4" w:space="0" w:color="000000"/>
              <w:left w:val="single" w:sz="4" w:space="0" w:color="000000"/>
              <w:bottom w:val="single" w:sz="4" w:space="0" w:color="000000"/>
              <w:right w:val="single" w:sz="4" w:space="0" w:color="000000"/>
            </w:tcBorders>
            <w:vAlign w:val="center"/>
          </w:tcPr>
          <w:p w14:paraId="76C65335"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4,810</w:t>
            </w:r>
          </w:p>
        </w:tc>
        <w:tc>
          <w:tcPr>
            <w:tcW w:w="1710" w:type="dxa"/>
            <w:tcBorders>
              <w:top w:val="single" w:sz="4" w:space="0" w:color="000000"/>
              <w:left w:val="single" w:sz="4" w:space="0" w:color="000000"/>
              <w:bottom w:val="single" w:sz="4" w:space="0" w:color="000000"/>
              <w:right w:val="single" w:sz="4" w:space="0" w:color="000000"/>
            </w:tcBorders>
            <w:vAlign w:val="center"/>
          </w:tcPr>
          <w:p w14:paraId="31731F77"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4,806</w:t>
            </w:r>
          </w:p>
        </w:tc>
        <w:tc>
          <w:tcPr>
            <w:tcW w:w="1710" w:type="dxa"/>
            <w:tcBorders>
              <w:top w:val="single" w:sz="4" w:space="0" w:color="000000"/>
              <w:left w:val="single" w:sz="4" w:space="0" w:color="000000"/>
              <w:bottom w:val="single" w:sz="4" w:space="0" w:color="000000"/>
              <w:right w:val="single" w:sz="4" w:space="0" w:color="000000"/>
            </w:tcBorders>
            <w:vAlign w:val="center"/>
          </w:tcPr>
          <w:p w14:paraId="288AD633"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4,718</w:t>
            </w:r>
          </w:p>
        </w:tc>
        <w:tc>
          <w:tcPr>
            <w:tcW w:w="1800" w:type="dxa"/>
            <w:tcBorders>
              <w:top w:val="single" w:sz="4" w:space="0" w:color="000000"/>
              <w:left w:val="single" w:sz="4" w:space="0" w:color="000000"/>
              <w:bottom w:val="single" w:sz="4" w:space="0" w:color="000000"/>
              <w:right w:val="single" w:sz="4" w:space="0" w:color="000000"/>
            </w:tcBorders>
            <w:vAlign w:val="center"/>
          </w:tcPr>
          <w:p w14:paraId="71481E51"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4,596</w:t>
            </w:r>
          </w:p>
        </w:tc>
      </w:tr>
      <w:tr w:rsidR="008027BA" w:rsidRPr="00C40456" w14:paraId="67F75F3A" w14:textId="77777777" w:rsidTr="00ED0A10">
        <w:trPr>
          <w:cantSplit/>
          <w:trHeight w:hRule="exact" w:val="523"/>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3FF37A99"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pacing w:val="-1"/>
                <w:sz w:val="20"/>
                <w:szCs w:val="20"/>
              </w:rPr>
              <w:t>Unadjusted</w:t>
            </w:r>
            <w:r w:rsidRPr="00C40456">
              <w:rPr>
                <w:rFonts w:ascii="Arial" w:hAnsi="Arial" w:cs="Arial"/>
                <w:spacing w:val="-14"/>
                <w:sz w:val="20"/>
                <w:szCs w:val="20"/>
              </w:rPr>
              <w:t xml:space="preserve"> </w:t>
            </w:r>
            <w:r w:rsidRPr="00C40456">
              <w:rPr>
                <w:rFonts w:ascii="Arial" w:hAnsi="Arial" w:cs="Arial"/>
                <w:sz w:val="20"/>
                <w:szCs w:val="20"/>
              </w:rPr>
              <w:t>readmission</w:t>
            </w:r>
            <w:r w:rsidRPr="00C40456">
              <w:rPr>
                <w:rFonts w:ascii="Arial" w:hAnsi="Arial" w:cs="Arial"/>
                <w:spacing w:val="-13"/>
                <w:sz w:val="20"/>
                <w:szCs w:val="20"/>
              </w:rPr>
              <w:t xml:space="preserve"> </w:t>
            </w:r>
            <w:r w:rsidRPr="00C40456">
              <w:rPr>
                <w:rFonts w:ascii="Arial" w:hAnsi="Arial" w:cs="Arial"/>
                <w:spacing w:val="-1"/>
                <w:sz w:val="20"/>
                <w:szCs w:val="20"/>
              </w:rPr>
              <w:t>rate</w:t>
            </w:r>
          </w:p>
        </w:tc>
        <w:tc>
          <w:tcPr>
            <w:tcW w:w="1980" w:type="dxa"/>
            <w:tcBorders>
              <w:top w:val="single" w:sz="4" w:space="0" w:color="000000"/>
              <w:left w:val="single" w:sz="4" w:space="0" w:color="000000"/>
              <w:bottom w:val="single" w:sz="4" w:space="0" w:color="000000"/>
              <w:right w:val="single" w:sz="4" w:space="0" w:color="000000"/>
            </w:tcBorders>
            <w:vAlign w:val="center"/>
          </w:tcPr>
          <w:p w14:paraId="7AB31812" w14:textId="77777777" w:rsidR="008027BA" w:rsidRPr="00C40456" w:rsidRDefault="008027BA" w:rsidP="00A56D8C">
            <w:pPr>
              <w:kinsoku w:val="0"/>
              <w:overflowPunct w:val="0"/>
              <w:autoSpaceDE w:val="0"/>
              <w:autoSpaceDN w:val="0"/>
              <w:adjustRightInd w:val="0"/>
              <w:spacing w:after="0" w:line="240" w:lineRule="auto"/>
              <w:ind w:right="8"/>
              <w:jc w:val="center"/>
              <w:rPr>
                <w:rFonts w:ascii="Times New Roman" w:hAnsi="Times New Roman" w:cs="Times New Roman"/>
                <w:sz w:val="24"/>
                <w:szCs w:val="24"/>
              </w:rPr>
            </w:pPr>
            <w:r w:rsidRPr="00C40456">
              <w:rPr>
                <w:rFonts w:ascii="Arial" w:hAnsi="Arial" w:cs="Arial"/>
                <w:spacing w:val="-1"/>
                <w:sz w:val="20"/>
                <w:szCs w:val="20"/>
              </w:rPr>
              <w:t>21.1%</w:t>
            </w:r>
          </w:p>
        </w:tc>
        <w:tc>
          <w:tcPr>
            <w:tcW w:w="1710" w:type="dxa"/>
            <w:tcBorders>
              <w:top w:val="single" w:sz="4" w:space="0" w:color="000000"/>
              <w:left w:val="single" w:sz="4" w:space="0" w:color="000000"/>
              <w:bottom w:val="single" w:sz="4" w:space="0" w:color="000000"/>
              <w:right w:val="single" w:sz="4" w:space="0" w:color="000000"/>
            </w:tcBorders>
            <w:vAlign w:val="center"/>
          </w:tcPr>
          <w:p w14:paraId="43AF583C"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21.2%</w:t>
            </w:r>
          </w:p>
        </w:tc>
        <w:tc>
          <w:tcPr>
            <w:tcW w:w="1710" w:type="dxa"/>
            <w:tcBorders>
              <w:top w:val="single" w:sz="4" w:space="0" w:color="000000"/>
              <w:left w:val="single" w:sz="4" w:space="0" w:color="000000"/>
              <w:bottom w:val="single" w:sz="4" w:space="0" w:color="000000"/>
              <w:right w:val="single" w:sz="4" w:space="0" w:color="000000"/>
            </w:tcBorders>
            <w:vAlign w:val="center"/>
          </w:tcPr>
          <w:p w14:paraId="38D8CCA4"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21.4%</w:t>
            </w:r>
          </w:p>
        </w:tc>
        <w:tc>
          <w:tcPr>
            <w:tcW w:w="1800" w:type="dxa"/>
            <w:tcBorders>
              <w:top w:val="single" w:sz="4" w:space="0" w:color="000000"/>
              <w:left w:val="single" w:sz="4" w:space="0" w:color="000000"/>
              <w:bottom w:val="single" w:sz="4" w:space="0" w:color="000000"/>
              <w:right w:val="single" w:sz="4" w:space="0" w:color="000000"/>
            </w:tcBorders>
            <w:vAlign w:val="center"/>
          </w:tcPr>
          <w:p w14:paraId="702F770F" w14:textId="77777777" w:rsidR="008027BA" w:rsidRPr="00C40456" w:rsidRDefault="008027BA" w:rsidP="00A56D8C">
            <w:pPr>
              <w:kinsoku w:val="0"/>
              <w:overflowPunct w:val="0"/>
              <w:autoSpaceDE w:val="0"/>
              <w:autoSpaceDN w:val="0"/>
              <w:adjustRightInd w:val="0"/>
              <w:spacing w:after="0" w:line="240" w:lineRule="auto"/>
              <w:ind w:right="4"/>
              <w:jc w:val="center"/>
              <w:rPr>
                <w:rFonts w:ascii="Arial" w:hAnsi="Arial" w:cs="Arial"/>
                <w:spacing w:val="-1"/>
                <w:sz w:val="20"/>
                <w:szCs w:val="20"/>
              </w:rPr>
            </w:pPr>
            <w:r w:rsidRPr="00784051">
              <w:rPr>
                <w:rFonts w:ascii="Arial" w:hAnsi="Arial" w:cs="Arial"/>
                <w:spacing w:val="-1"/>
                <w:sz w:val="20"/>
                <w:szCs w:val="20"/>
              </w:rPr>
              <w:t>19.5%</w:t>
            </w:r>
          </w:p>
        </w:tc>
      </w:tr>
      <w:tr w:rsidR="008027BA" w:rsidRPr="00C40456" w14:paraId="3DCF61CD" w14:textId="77777777" w:rsidTr="00ED0A10">
        <w:trPr>
          <w:cantSplit/>
          <w:trHeight w:hRule="exact" w:val="928"/>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180D19C0" w14:textId="77777777" w:rsidR="008027BA" w:rsidRPr="00C40456" w:rsidRDefault="008027BA" w:rsidP="00A56D8C">
            <w:pPr>
              <w:kinsoku w:val="0"/>
              <w:overflowPunct w:val="0"/>
              <w:autoSpaceDE w:val="0"/>
              <w:autoSpaceDN w:val="0"/>
              <w:adjustRightInd w:val="0"/>
              <w:spacing w:after="0" w:line="240" w:lineRule="auto"/>
              <w:ind w:right="436"/>
              <w:rPr>
                <w:rFonts w:ascii="Times New Roman" w:hAnsi="Times New Roman" w:cs="Times New Roman"/>
                <w:sz w:val="24"/>
                <w:szCs w:val="24"/>
              </w:rPr>
            </w:pPr>
            <w:r w:rsidRPr="00C40456">
              <w:rPr>
                <w:rFonts w:ascii="Arial" w:hAnsi="Arial" w:cs="Arial"/>
                <w:spacing w:val="-1"/>
                <w:sz w:val="20"/>
                <w:szCs w:val="20"/>
              </w:rPr>
              <w:t>Discrimination</w:t>
            </w:r>
            <w:r w:rsidRPr="00C40456">
              <w:rPr>
                <w:rFonts w:ascii="Arial" w:hAnsi="Arial" w:cs="Arial"/>
                <w:spacing w:val="-23"/>
                <w:sz w:val="20"/>
                <w:szCs w:val="20"/>
              </w:rPr>
              <w:t xml:space="preserve"> </w:t>
            </w:r>
            <w:r w:rsidRPr="00C40456">
              <w:rPr>
                <w:rFonts w:ascii="Arial" w:hAnsi="Arial" w:cs="Arial"/>
                <w:sz w:val="20"/>
                <w:szCs w:val="20"/>
              </w:rPr>
              <w:t>-Predictive</w:t>
            </w:r>
            <w:r w:rsidRPr="00C40456">
              <w:rPr>
                <w:rFonts w:ascii="Arial" w:hAnsi="Arial" w:cs="Arial"/>
                <w:spacing w:val="26"/>
                <w:w w:val="99"/>
                <w:sz w:val="20"/>
                <w:szCs w:val="20"/>
              </w:rPr>
              <w:t xml:space="preserve"> </w:t>
            </w:r>
            <w:r w:rsidRPr="00C40456">
              <w:rPr>
                <w:rFonts w:ascii="Arial" w:hAnsi="Arial" w:cs="Arial"/>
                <w:sz w:val="20"/>
                <w:szCs w:val="20"/>
              </w:rPr>
              <w:t>Ability</w:t>
            </w:r>
            <w:r w:rsidRPr="00C40456">
              <w:rPr>
                <w:rFonts w:ascii="Arial" w:hAnsi="Arial" w:cs="Arial"/>
                <w:spacing w:val="-11"/>
                <w:sz w:val="20"/>
                <w:szCs w:val="20"/>
              </w:rPr>
              <w:t xml:space="preserve"> </w:t>
            </w:r>
            <w:r w:rsidRPr="00C40456">
              <w:rPr>
                <w:rFonts w:ascii="Arial" w:hAnsi="Arial" w:cs="Arial"/>
                <w:sz w:val="20"/>
                <w:szCs w:val="20"/>
              </w:rPr>
              <w:t>(lowest</w:t>
            </w:r>
            <w:r w:rsidRPr="00C40456">
              <w:rPr>
                <w:rFonts w:ascii="Arial" w:hAnsi="Arial" w:cs="Arial"/>
                <w:spacing w:val="-7"/>
                <w:sz w:val="20"/>
                <w:szCs w:val="20"/>
              </w:rPr>
              <w:t xml:space="preserve"> </w:t>
            </w:r>
            <w:r w:rsidRPr="00C40456">
              <w:rPr>
                <w:rFonts w:ascii="Arial" w:hAnsi="Arial" w:cs="Arial"/>
                <w:spacing w:val="-1"/>
                <w:sz w:val="20"/>
                <w:szCs w:val="20"/>
              </w:rPr>
              <w:t>decile</w:t>
            </w:r>
            <w:r w:rsidRPr="00C40456">
              <w:rPr>
                <w:rFonts w:ascii="Arial" w:hAnsi="Arial" w:cs="Arial"/>
                <w:spacing w:val="-6"/>
                <w:sz w:val="20"/>
                <w:szCs w:val="20"/>
              </w:rPr>
              <w:t xml:space="preserve"> </w:t>
            </w:r>
            <w:r w:rsidRPr="00C40456">
              <w:rPr>
                <w:rFonts w:ascii="Arial" w:hAnsi="Arial" w:cs="Arial"/>
                <w:sz w:val="20"/>
                <w:szCs w:val="20"/>
              </w:rPr>
              <w:t>%,</w:t>
            </w:r>
            <w:r w:rsidRPr="00C40456">
              <w:rPr>
                <w:rFonts w:ascii="Arial" w:hAnsi="Arial" w:cs="Arial"/>
                <w:spacing w:val="30"/>
                <w:w w:val="99"/>
                <w:sz w:val="20"/>
                <w:szCs w:val="20"/>
              </w:rPr>
              <w:t xml:space="preserve"> </w:t>
            </w:r>
            <w:r w:rsidRPr="00C40456">
              <w:rPr>
                <w:rFonts w:ascii="Arial" w:hAnsi="Arial" w:cs="Arial"/>
                <w:spacing w:val="-1"/>
                <w:sz w:val="20"/>
                <w:szCs w:val="20"/>
              </w:rPr>
              <w:t>highest</w:t>
            </w:r>
            <w:r w:rsidRPr="00C40456">
              <w:rPr>
                <w:rFonts w:ascii="Arial" w:hAnsi="Arial" w:cs="Arial"/>
                <w:spacing w:val="-9"/>
                <w:sz w:val="20"/>
                <w:szCs w:val="20"/>
              </w:rPr>
              <w:t xml:space="preserve"> </w:t>
            </w:r>
            <w:r w:rsidRPr="00C40456">
              <w:rPr>
                <w:rFonts w:ascii="Arial" w:hAnsi="Arial" w:cs="Arial"/>
                <w:sz w:val="20"/>
                <w:szCs w:val="20"/>
              </w:rPr>
              <w:t>decile</w:t>
            </w:r>
            <w:r w:rsidRPr="00C40456">
              <w:rPr>
                <w:rFonts w:ascii="Arial" w:hAnsi="Arial" w:cs="Arial"/>
                <w:spacing w:val="-8"/>
                <w:sz w:val="20"/>
                <w:szCs w:val="20"/>
              </w:rPr>
              <w:t xml:space="preserve"> </w:t>
            </w:r>
            <w:r w:rsidRPr="00C40456">
              <w:rPr>
                <w:rFonts w:ascii="Arial" w:hAnsi="Arial"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vAlign w:val="center"/>
          </w:tcPr>
          <w:p w14:paraId="58A5D88A" w14:textId="77777777" w:rsidR="008027BA" w:rsidRPr="00C40456" w:rsidRDefault="008027BA" w:rsidP="00575EE3">
            <w:pPr>
              <w:kinsoku w:val="0"/>
              <w:overflowPunct w:val="0"/>
              <w:autoSpaceDE w:val="0"/>
              <w:autoSpaceDN w:val="0"/>
              <w:adjustRightInd w:val="0"/>
              <w:spacing w:after="0" w:line="240" w:lineRule="auto"/>
              <w:ind w:right="8"/>
              <w:jc w:val="center"/>
              <w:rPr>
                <w:rFonts w:ascii="Times New Roman" w:hAnsi="Times New Roman" w:cs="Times New Roman"/>
                <w:sz w:val="24"/>
                <w:szCs w:val="24"/>
              </w:rPr>
            </w:pPr>
            <w:r w:rsidRPr="00C40456">
              <w:rPr>
                <w:rFonts w:ascii="Arial" w:hAnsi="Arial" w:cs="Arial"/>
                <w:spacing w:val="-1"/>
                <w:sz w:val="20"/>
                <w:szCs w:val="20"/>
              </w:rPr>
              <w:t>11</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2"/>
                <w:sz w:val="20"/>
                <w:szCs w:val="20"/>
              </w:rPr>
              <w:t xml:space="preserve"> </w:t>
            </w:r>
            <w:r w:rsidRPr="00C40456">
              <w:rPr>
                <w:rFonts w:ascii="Arial" w:hAnsi="Arial" w:cs="Arial"/>
                <w:spacing w:val="-1"/>
                <w:sz w:val="20"/>
                <w:szCs w:val="20"/>
              </w:rPr>
              <w:t>37</w:t>
            </w:r>
          </w:p>
        </w:tc>
        <w:tc>
          <w:tcPr>
            <w:tcW w:w="1710" w:type="dxa"/>
            <w:tcBorders>
              <w:top w:val="single" w:sz="4" w:space="0" w:color="000000"/>
              <w:left w:val="single" w:sz="4" w:space="0" w:color="000000"/>
              <w:bottom w:val="single" w:sz="4" w:space="0" w:color="000000"/>
              <w:right w:val="single" w:sz="4" w:space="0" w:color="000000"/>
            </w:tcBorders>
            <w:vAlign w:val="center"/>
          </w:tcPr>
          <w:p w14:paraId="247A5539" w14:textId="77777777" w:rsidR="008027BA" w:rsidRPr="00C40456" w:rsidRDefault="008027BA" w:rsidP="00575EE3">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11</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2"/>
                <w:sz w:val="20"/>
                <w:szCs w:val="20"/>
              </w:rPr>
              <w:t xml:space="preserve"> </w:t>
            </w:r>
            <w:r w:rsidRPr="00C40456">
              <w:rPr>
                <w:rFonts w:ascii="Arial" w:hAnsi="Arial" w:cs="Arial"/>
                <w:spacing w:val="-1"/>
                <w:sz w:val="20"/>
                <w:szCs w:val="20"/>
              </w:rPr>
              <w:t>37</w:t>
            </w:r>
          </w:p>
        </w:tc>
        <w:tc>
          <w:tcPr>
            <w:tcW w:w="1710" w:type="dxa"/>
            <w:tcBorders>
              <w:top w:val="single" w:sz="4" w:space="0" w:color="000000"/>
              <w:left w:val="single" w:sz="4" w:space="0" w:color="000000"/>
              <w:bottom w:val="single" w:sz="4" w:space="0" w:color="000000"/>
              <w:right w:val="single" w:sz="4" w:space="0" w:color="000000"/>
            </w:tcBorders>
            <w:vAlign w:val="center"/>
          </w:tcPr>
          <w:p w14:paraId="7D452C45" w14:textId="77777777" w:rsidR="008027BA" w:rsidRPr="00C40456" w:rsidRDefault="008027BA" w:rsidP="00575EE3">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C40456">
              <w:rPr>
                <w:rFonts w:ascii="Arial" w:hAnsi="Arial" w:cs="Arial"/>
                <w:sz w:val="20"/>
                <w:szCs w:val="20"/>
              </w:rPr>
              <w:t>9</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40</w:t>
            </w:r>
          </w:p>
        </w:tc>
        <w:tc>
          <w:tcPr>
            <w:tcW w:w="1800" w:type="dxa"/>
            <w:tcBorders>
              <w:top w:val="single" w:sz="4" w:space="0" w:color="000000"/>
              <w:left w:val="single" w:sz="4" w:space="0" w:color="000000"/>
              <w:bottom w:val="single" w:sz="4" w:space="0" w:color="000000"/>
              <w:right w:val="single" w:sz="4" w:space="0" w:color="000000"/>
            </w:tcBorders>
            <w:vAlign w:val="center"/>
          </w:tcPr>
          <w:p w14:paraId="2BA0404C" w14:textId="77777777" w:rsidR="008027BA" w:rsidRPr="00C40456" w:rsidRDefault="008027BA" w:rsidP="00575EE3">
            <w:pPr>
              <w:kinsoku w:val="0"/>
              <w:overflowPunct w:val="0"/>
              <w:autoSpaceDE w:val="0"/>
              <w:autoSpaceDN w:val="0"/>
              <w:adjustRightInd w:val="0"/>
              <w:spacing w:after="0" w:line="240" w:lineRule="auto"/>
              <w:jc w:val="center"/>
              <w:rPr>
                <w:rFonts w:ascii="Arial" w:hAnsi="Arial" w:cs="Arial"/>
                <w:sz w:val="19"/>
                <w:szCs w:val="19"/>
              </w:rPr>
            </w:pPr>
            <w:r>
              <w:rPr>
                <w:rFonts w:ascii="Arial" w:hAnsi="Arial" w:cs="Arial"/>
                <w:sz w:val="19"/>
                <w:szCs w:val="19"/>
              </w:rPr>
              <w:t>10-35</w:t>
            </w:r>
          </w:p>
        </w:tc>
      </w:tr>
      <w:tr w:rsidR="008027BA" w:rsidRPr="00C40456" w14:paraId="69E0046A" w14:textId="77777777" w:rsidTr="00ED0A10">
        <w:trPr>
          <w:cantSplit/>
          <w:trHeight w:hRule="exact" w:val="271"/>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57E7C62B"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pacing w:val="-1"/>
                <w:sz w:val="20"/>
                <w:szCs w:val="20"/>
              </w:rPr>
              <w:t>Discrimination</w:t>
            </w:r>
            <w:r w:rsidRPr="00C40456">
              <w:rPr>
                <w:rFonts w:ascii="Arial" w:hAnsi="Arial" w:cs="Arial"/>
                <w:spacing w:val="-7"/>
                <w:sz w:val="20"/>
                <w:szCs w:val="20"/>
              </w:rPr>
              <w:t xml:space="preserve"> </w:t>
            </w:r>
            <w:r w:rsidRPr="00C40456">
              <w:rPr>
                <w:rFonts w:ascii="Arial" w:hAnsi="Arial" w:cs="Arial"/>
                <w:sz w:val="20"/>
                <w:szCs w:val="20"/>
              </w:rPr>
              <w:t>–</w:t>
            </w:r>
            <w:r w:rsidRPr="00C40456">
              <w:rPr>
                <w:rFonts w:ascii="Arial" w:hAnsi="Arial" w:cs="Arial"/>
                <w:spacing w:val="-8"/>
                <w:sz w:val="20"/>
                <w:szCs w:val="20"/>
              </w:rPr>
              <w:t xml:space="preserve"> </w:t>
            </w:r>
            <w:r w:rsidRPr="00C40456">
              <w:rPr>
                <w:rFonts w:ascii="Arial" w:hAnsi="Arial" w:cs="Arial"/>
                <w:sz w:val="20"/>
                <w:szCs w:val="20"/>
              </w:rPr>
              <w:t>c</w:t>
            </w:r>
            <w:r w:rsidRPr="00C40456">
              <w:rPr>
                <w:rFonts w:ascii="Arial" w:hAnsi="Arial" w:cs="Arial"/>
                <w:spacing w:val="-7"/>
                <w:sz w:val="20"/>
                <w:szCs w:val="20"/>
              </w:rPr>
              <w:t xml:space="preserve"> </w:t>
            </w:r>
            <w:r w:rsidRPr="00C40456">
              <w:rPr>
                <w:rFonts w:ascii="Arial" w:hAnsi="Arial" w:cs="Arial"/>
                <w:spacing w:val="-1"/>
                <w:sz w:val="20"/>
                <w:szCs w:val="20"/>
              </w:rPr>
              <w:t>statistic</w:t>
            </w:r>
          </w:p>
        </w:tc>
        <w:tc>
          <w:tcPr>
            <w:tcW w:w="1980" w:type="dxa"/>
            <w:tcBorders>
              <w:top w:val="single" w:sz="4" w:space="0" w:color="000000"/>
              <w:left w:val="single" w:sz="4" w:space="0" w:color="000000"/>
              <w:bottom w:val="single" w:sz="4" w:space="0" w:color="000000"/>
              <w:right w:val="single" w:sz="4" w:space="0" w:color="000000"/>
            </w:tcBorders>
            <w:vAlign w:val="center"/>
          </w:tcPr>
          <w:p w14:paraId="71AA5182"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spacing w:val="-1"/>
                <w:sz w:val="20"/>
                <w:szCs w:val="20"/>
              </w:rPr>
              <w:t>0.630</w:t>
            </w:r>
          </w:p>
        </w:tc>
        <w:tc>
          <w:tcPr>
            <w:tcW w:w="1710" w:type="dxa"/>
            <w:tcBorders>
              <w:top w:val="single" w:sz="4" w:space="0" w:color="000000"/>
              <w:left w:val="single" w:sz="4" w:space="0" w:color="000000"/>
              <w:bottom w:val="single" w:sz="4" w:space="0" w:color="000000"/>
              <w:right w:val="single" w:sz="4" w:space="0" w:color="000000"/>
            </w:tcBorders>
            <w:vAlign w:val="center"/>
          </w:tcPr>
          <w:p w14:paraId="2E05EC07"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0.631</w:t>
            </w:r>
          </w:p>
        </w:tc>
        <w:tc>
          <w:tcPr>
            <w:tcW w:w="1710" w:type="dxa"/>
            <w:tcBorders>
              <w:top w:val="single" w:sz="4" w:space="0" w:color="000000"/>
              <w:left w:val="single" w:sz="4" w:space="0" w:color="000000"/>
              <w:bottom w:val="single" w:sz="4" w:space="0" w:color="000000"/>
              <w:right w:val="single" w:sz="4" w:space="0" w:color="000000"/>
            </w:tcBorders>
            <w:vAlign w:val="center"/>
          </w:tcPr>
          <w:p w14:paraId="343C8F80"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z w:val="19"/>
                <w:szCs w:val="19"/>
              </w:rPr>
            </w:pPr>
            <w:r w:rsidRPr="00C40456">
              <w:rPr>
                <w:rFonts w:ascii="Arial" w:hAnsi="Arial" w:cs="Arial"/>
                <w:spacing w:val="-1"/>
                <w:sz w:val="20"/>
                <w:szCs w:val="20"/>
              </w:rPr>
              <w:t>0.657</w:t>
            </w:r>
          </w:p>
          <w:p w14:paraId="1259FBDE"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0.657</w:t>
            </w:r>
          </w:p>
        </w:tc>
        <w:tc>
          <w:tcPr>
            <w:tcW w:w="1800" w:type="dxa"/>
            <w:tcBorders>
              <w:top w:val="single" w:sz="4" w:space="0" w:color="000000"/>
              <w:left w:val="single" w:sz="4" w:space="0" w:color="000000"/>
              <w:bottom w:val="single" w:sz="4" w:space="0" w:color="000000"/>
              <w:right w:val="single" w:sz="4" w:space="0" w:color="000000"/>
            </w:tcBorders>
            <w:vAlign w:val="center"/>
          </w:tcPr>
          <w:p w14:paraId="21202960"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z w:val="19"/>
                <w:szCs w:val="19"/>
              </w:rPr>
            </w:pPr>
            <w:r w:rsidRPr="00EB4ECF">
              <w:rPr>
                <w:rFonts w:ascii="Arial" w:hAnsi="Arial" w:cs="Arial"/>
                <w:spacing w:val="-1"/>
                <w:sz w:val="20"/>
                <w:szCs w:val="20"/>
              </w:rPr>
              <w:t>0.636</w:t>
            </w:r>
          </w:p>
        </w:tc>
      </w:tr>
    </w:tbl>
    <w:p w14:paraId="52164DB8" w14:textId="77777777" w:rsidR="008027BA" w:rsidRDefault="008027BA" w:rsidP="008027BA">
      <w:pPr>
        <w:autoSpaceDE w:val="0"/>
        <w:autoSpaceDN w:val="0"/>
        <w:adjustRightInd w:val="0"/>
        <w:spacing w:after="0" w:line="240" w:lineRule="auto"/>
        <w:rPr>
          <w:rFonts w:cstheme="minorHAnsi"/>
          <w:b/>
          <w:bCs/>
        </w:rPr>
      </w:pPr>
    </w:p>
    <w:p w14:paraId="3CB0654F" w14:textId="77777777" w:rsidR="008027BA" w:rsidRDefault="008027BA" w:rsidP="008027BA">
      <w:pPr>
        <w:autoSpaceDE w:val="0"/>
        <w:autoSpaceDN w:val="0"/>
        <w:adjustRightInd w:val="0"/>
        <w:spacing w:after="0" w:line="240" w:lineRule="auto"/>
        <w:ind w:firstLine="720"/>
        <w:rPr>
          <w:rFonts w:cstheme="minorHAnsi"/>
          <w:b/>
          <w:bCs/>
        </w:rPr>
      </w:pPr>
      <w:r>
        <w:rPr>
          <w:rFonts w:cstheme="minorHAnsi"/>
          <w:b/>
          <w:bCs/>
        </w:rPr>
        <w:t>Cardiovascular Cohort Model Discrimination</w:t>
      </w:r>
    </w:p>
    <w:tbl>
      <w:tblPr>
        <w:tblW w:w="9540" w:type="dxa"/>
        <w:tblInd w:w="-5" w:type="dxa"/>
        <w:tblLayout w:type="fixed"/>
        <w:tblCellMar>
          <w:left w:w="0" w:type="dxa"/>
          <w:right w:w="0" w:type="dxa"/>
        </w:tblCellMar>
        <w:tblLook w:val="0000" w:firstRow="0" w:lastRow="0" w:firstColumn="0" w:lastColumn="0" w:noHBand="0" w:noVBand="0"/>
      </w:tblPr>
      <w:tblGrid>
        <w:gridCol w:w="2340"/>
        <w:gridCol w:w="1980"/>
        <w:gridCol w:w="1710"/>
        <w:gridCol w:w="1710"/>
        <w:gridCol w:w="1800"/>
      </w:tblGrid>
      <w:tr w:rsidR="008027BA" w:rsidRPr="00C40456" w14:paraId="3BF0BEC8" w14:textId="77777777" w:rsidTr="00ED0A10">
        <w:trPr>
          <w:cantSplit/>
          <w:trHeight w:hRule="exact" w:val="820"/>
          <w:tblHeader/>
        </w:trPr>
        <w:tc>
          <w:tcPr>
            <w:tcW w:w="23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62B5CE4" w14:textId="77777777" w:rsidR="008027BA" w:rsidRPr="00C40456" w:rsidRDefault="008027BA" w:rsidP="00ED0A10">
            <w:pPr>
              <w:kinsoku w:val="0"/>
              <w:overflowPunct w:val="0"/>
              <w:autoSpaceDE w:val="0"/>
              <w:autoSpaceDN w:val="0"/>
              <w:adjustRightInd w:val="0"/>
              <w:spacing w:before="7" w:after="0" w:line="240" w:lineRule="auto"/>
              <w:jc w:val="center"/>
              <w:rPr>
                <w:rFonts w:ascii="Arial" w:hAnsi="Arial" w:cs="Arial"/>
                <w:sz w:val="16"/>
                <w:szCs w:val="16"/>
              </w:rPr>
            </w:pPr>
          </w:p>
          <w:p w14:paraId="589784D2"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b/>
                <w:bCs/>
                <w:spacing w:val="-1"/>
                <w:sz w:val="20"/>
                <w:szCs w:val="20"/>
              </w:rPr>
              <w:t>Indices</w:t>
            </w:r>
          </w:p>
        </w:tc>
        <w:tc>
          <w:tcPr>
            <w:tcW w:w="19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7CF5F01" w14:textId="77777777" w:rsidR="008027BA" w:rsidRPr="00C40456" w:rsidRDefault="008027BA" w:rsidP="00A56D8C">
            <w:pPr>
              <w:kinsoku w:val="0"/>
              <w:overflowPunct w:val="0"/>
              <w:autoSpaceDE w:val="0"/>
              <w:autoSpaceDN w:val="0"/>
              <w:adjustRightInd w:val="0"/>
              <w:spacing w:before="75" w:after="0" w:line="240" w:lineRule="auto"/>
              <w:ind w:right="5"/>
              <w:jc w:val="center"/>
              <w:rPr>
                <w:rFonts w:ascii="Arial" w:hAnsi="Arial" w:cs="Arial"/>
                <w:sz w:val="20"/>
                <w:szCs w:val="20"/>
              </w:rPr>
            </w:pPr>
            <w:r w:rsidRPr="00C40456">
              <w:rPr>
                <w:rFonts w:ascii="Arial" w:hAnsi="Arial" w:cs="Arial"/>
                <w:b/>
                <w:bCs/>
                <w:spacing w:val="-1"/>
                <w:sz w:val="20"/>
                <w:szCs w:val="20"/>
              </w:rPr>
              <w:t>2007-2008</w:t>
            </w:r>
          </w:p>
          <w:p w14:paraId="797C86B9"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b/>
                <w:bCs/>
                <w:spacing w:val="-1"/>
                <w:sz w:val="20"/>
                <w:szCs w:val="20"/>
              </w:rPr>
              <w:t>Development</w:t>
            </w:r>
            <w:r w:rsidRPr="00C40456">
              <w:rPr>
                <w:rFonts w:ascii="Arial" w:hAnsi="Arial" w:cs="Arial"/>
                <w:b/>
                <w:bCs/>
                <w:spacing w:val="-20"/>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9494D7C" w14:textId="77777777" w:rsidR="008027BA" w:rsidRPr="00C40456" w:rsidRDefault="008027BA" w:rsidP="00A56D8C">
            <w:pPr>
              <w:kinsoku w:val="0"/>
              <w:overflowPunct w:val="0"/>
              <w:autoSpaceDE w:val="0"/>
              <w:autoSpaceDN w:val="0"/>
              <w:adjustRightInd w:val="0"/>
              <w:spacing w:before="75" w:after="0" w:line="240" w:lineRule="auto"/>
              <w:jc w:val="center"/>
              <w:rPr>
                <w:rFonts w:ascii="Arial" w:hAnsi="Arial" w:cs="Arial"/>
                <w:sz w:val="20"/>
                <w:szCs w:val="20"/>
              </w:rPr>
            </w:pPr>
            <w:r w:rsidRPr="00C40456">
              <w:rPr>
                <w:rFonts w:ascii="Arial" w:hAnsi="Arial" w:cs="Arial"/>
                <w:b/>
                <w:bCs/>
                <w:spacing w:val="-1"/>
                <w:sz w:val="20"/>
                <w:szCs w:val="20"/>
              </w:rPr>
              <w:t>2007-2008</w:t>
            </w:r>
          </w:p>
          <w:p w14:paraId="4C2E65A3" w14:textId="77777777" w:rsidR="008027BA" w:rsidRPr="00C40456" w:rsidRDefault="008027BA" w:rsidP="00A56D8C">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AFE0505" w14:textId="77777777" w:rsidR="008027BA" w:rsidRPr="00C40456" w:rsidRDefault="008027BA" w:rsidP="00A56D8C">
            <w:pPr>
              <w:kinsoku w:val="0"/>
              <w:overflowPunct w:val="0"/>
              <w:autoSpaceDE w:val="0"/>
              <w:autoSpaceDN w:val="0"/>
              <w:adjustRightInd w:val="0"/>
              <w:spacing w:before="75" w:after="0" w:line="240" w:lineRule="auto"/>
              <w:jc w:val="center"/>
              <w:rPr>
                <w:rFonts w:ascii="Arial" w:hAnsi="Arial" w:cs="Arial"/>
                <w:sz w:val="20"/>
                <w:szCs w:val="20"/>
              </w:rPr>
            </w:pPr>
            <w:r w:rsidRPr="00C40456">
              <w:rPr>
                <w:rFonts w:ascii="Arial" w:hAnsi="Arial" w:cs="Arial"/>
                <w:b/>
                <w:bCs/>
                <w:spacing w:val="-1"/>
                <w:sz w:val="20"/>
                <w:szCs w:val="20"/>
              </w:rPr>
              <w:t>2009</w:t>
            </w:r>
          </w:p>
          <w:p w14:paraId="6E134C62" w14:textId="77777777" w:rsidR="008027BA" w:rsidRPr="00C40456" w:rsidRDefault="008027BA" w:rsidP="00A56D8C">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C40456">
              <w:rPr>
                <w:rFonts w:ascii="Arial" w:hAnsi="Arial" w:cs="Arial"/>
                <w:b/>
                <w:bCs/>
                <w:spacing w:val="-1"/>
                <w:sz w:val="20"/>
                <w:szCs w:val="20"/>
              </w:rPr>
              <w:t>Validation</w:t>
            </w:r>
            <w:r w:rsidRPr="00C40456">
              <w:rPr>
                <w:rFonts w:ascii="Arial" w:hAnsi="Arial" w:cs="Arial"/>
                <w:b/>
                <w:bCs/>
                <w:spacing w:val="-17"/>
                <w:sz w:val="20"/>
                <w:szCs w:val="20"/>
              </w:rPr>
              <w:t xml:space="preserve"> </w:t>
            </w:r>
            <w:r w:rsidRPr="00C40456">
              <w:rPr>
                <w:rFonts w:ascii="Arial" w:hAnsi="Arial" w:cs="Arial"/>
                <w:b/>
                <w:bCs/>
                <w:sz w:val="20"/>
                <w:szCs w:val="20"/>
              </w:rPr>
              <w:t>Sample</w:t>
            </w:r>
          </w:p>
        </w:tc>
        <w:tc>
          <w:tcPr>
            <w:tcW w:w="180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56634F3" w14:textId="5FD90B80" w:rsidR="008027BA" w:rsidRPr="00685B1A" w:rsidRDefault="008027BA" w:rsidP="00A56D8C">
            <w:pPr>
              <w:kinsoku w:val="0"/>
              <w:overflowPunct w:val="0"/>
              <w:autoSpaceDE w:val="0"/>
              <w:autoSpaceDN w:val="0"/>
              <w:adjustRightInd w:val="0"/>
              <w:spacing w:before="75" w:after="0" w:line="240" w:lineRule="auto"/>
              <w:jc w:val="center"/>
              <w:rPr>
                <w:rFonts w:ascii="Arial" w:hAnsi="Arial" w:cs="Arial"/>
                <w:b/>
                <w:bCs/>
                <w:spacing w:val="-1"/>
                <w:sz w:val="20"/>
                <w:szCs w:val="20"/>
              </w:rPr>
            </w:pPr>
            <w:r w:rsidRPr="00685B1A">
              <w:rPr>
                <w:rFonts w:ascii="Arial" w:hAnsi="Arial" w:cs="Arial"/>
                <w:b/>
                <w:bCs/>
                <w:spacing w:val="-1"/>
                <w:sz w:val="20"/>
                <w:szCs w:val="20"/>
              </w:rPr>
              <w:t>2015</w:t>
            </w:r>
          </w:p>
          <w:p w14:paraId="6D0A3719" w14:textId="77777777" w:rsidR="008027BA" w:rsidRPr="00C40456" w:rsidRDefault="008027BA" w:rsidP="00A56D8C">
            <w:pPr>
              <w:kinsoku w:val="0"/>
              <w:overflowPunct w:val="0"/>
              <w:autoSpaceDE w:val="0"/>
              <w:autoSpaceDN w:val="0"/>
              <w:adjustRightInd w:val="0"/>
              <w:spacing w:before="75" w:after="0" w:line="240" w:lineRule="auto"/>
              <w:jc w:val="center"/>
              <w:rPr>
                <w:rFonts w:ascii="Arial" w:hAnsi="Arial" w:cs="Arial"/>
                <w:b/>
                <w:bCs/>
                <w:spacing w:val="-1"/>
                <w:sz w:val="20"/>
                <w:szCs w:val="20"/>
              </w:rPr>
            </w:pPr>
            <w:r w:rsidRPr="00685B1A">
              <w:rPr>
                <w:rFonts w:ascii="Arial" w:hAnsi="Arial" w:cs="Arial"/>
                <w:b/>
                <w:bCs/>
                <w:spacing w:val="-1"/>
                <w:sz w:val="20"/>
                <w:szCs w:val="20"/>
              </w:rPr>
              <w:t>HWR Data for Public Reporting</w:t>
            </w:r>
          </w:p>
        </w:tc>
      </w:tr>
      <w:tr w:rsidR="008027BA" w:rsidRPr="00C40456" w14:paraId="32E0D58D"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1DD3CC82"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z w:val="20"/>
                <w:szCs w:val="20"/>
              </w:rPr>
              <w:t>Number</w:t>
            </w:r>
            <w:r w:rsidRPr="00C40456">
              <w:rPr>
                <w:rFonts w:ascii="Arial" w:hAnsi="Arial" w:cs="Arial"/>
                <w:spacing w:val="-7"/>
                <w:sz w:val="20"/>
                <w:szCs w:val="20"/>
              </w:rPr>
              <w:t xml:space="preserve"> </w:t>
            </w:r>
            <w:r w:rsidRPr="00C40456">
              <w:rPr>
                <w:rFonts w:ascii="Arial" w:hAnsi="Arial" w:cs="Arial"/>
                <w:spacing w:val="-1"/>
                <w:sz w:val="20"/>
                <w:szCs w:val="20"/>
              </w:rPr>
              <w:t>of</w:t>
            </w:r>
            <w:r w:rsidRPr="00C40456">
              <w:rPr>
                <w:rFonts w:ascii="Arial" w:hAnsi="Arial" w:cs="Arial"/>
                <w:spacing w:val="-6"/>
                <w:sz w:val="20"/>
                <w:szCs w:val="20"/>
              </w:rPr>
              <w:t xml:space="preserve"> </w:t>
            </w:r>
            <w:r w:rsidRPr="00C40456">
              <w:rPr>
                <w:rFonts w:ascii="Arial" w:hAnsi="Arial" w:cs="Arial"/>
                <w:spacing w:val="-1"/>
                <w:sz w:val="20"/>
                <w:szCs w:val="20"/>
              </w:rPr>
              <w:t>hospital</w:t>
            </w:r>
            <w:r w:rsidRPr="00C40456">
              <w:rPr>
                <w:rFonts w:ascii="Arial" w:hAnsi="Arial" w:cs="Arial"/>
                <w:spacing w:val="-7"/>
                <w:sz w:val="20"/>
                <w:szCs w:val="20"/>
              </w:rPr>
              <w:t xml:space="preserve"> </w:t>
            </w:r>
            <w:r w:rsidRPr="00C40456">
              <w:rPr>
                <w:rFonts w:ascii="Arial" w:hAnsi="Arial" w:cs="Arial"/>
                <w:spacing w:val="-1"/>
                <w:sz w:val="20"/>
                <w:szCs w:val="20"/>
              </w:rPr>
              <w:t>stays</w:t>
            </w:r>
          </w:p>
        </w:tc>
        <w:tc>
          <w:tcPr>
            <w:tcW w:w="1980" w:type="dxa"/>
            <w:tcBorders>
              <w:top w:val="single" w:sz="4" w:space="0" w:color="000000"/>
              <w:left w:val="single" w:sz="4" w:space="0" w:color="000000"/>
              <w:bottom w:val="single" w:sz="4" w:space="0" w:color="000000"/>
              <w:right w:val="single" w:sz="4" w:space="0" w:color="000000"/>
            </w:tcBorders>
            <w:vAlign w:val="center"/>
          </w:tcPr>
          <w:p w14:paraId="61596680" w14:textId="77777777" w:rsidR="008027BA" w:rsidRPr="00C40456" w:rsidRDefault="008027BA" w:rsidP="00A56D8C">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spacing w:val="-1"/>
                <w:sz w:val="20"/>
                <w:szCs w:val="20"/>
              </w:rPr>
              <w:t>860,485</w:t>
            </w:r>
          </w:p>
        </w:tc>
        <w:tc>
          <w:tcPr>
            <w:tcW w:w="1710" w:type="dxa"/>
            <w:tcBorders>
              <w:top w:val="single" w:sz="4" w:space="0" w:color="000000"/>
              <w:left w:val="single" w:sz="4" w:space="0" w:color="000000"/>
              <w:bottom w:val="single" w:sz="4" w:space="0" w:color="000000"/>
              <w:right w:val="single" w:sz="4" w:space="0" w:color="000000"/>
            </w:tcBorders>
            <w:vAlign w:val="center"/>
          </w:tcPr>
          <w:p w14:paraId="3DBE1D15"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861,925</w:t>
            </w:r>
          </w:p>
        </w:tc>
        <w:tc>
          <w:tcPr>
            <w:tcW w:w="1710" w:type="dxa"/>
            <w:tcBorders>
              <w:top w:val="single" w:sz="4" w:space="0" w:color="000000"/>
              <w:left w:val="single" w:sz="4" w:space="0" w:color="000000"/>
              <w:bottom w:val="single" w:sz="4" w:space="0" w:color="000000"/>
              <w:right w:val="single" w:sz="4" w:space="0" w:color="000000"/>
            </w:tcBorders>
            <w:vAlign w:val="center"/>
          </w:tcPr>
          <w:p w14:paraId="416E8DA3"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809,520</w:t>
            </w:r>
          </w:p>
        </w:tc>
        <w:tc>
          <w:tcPr>
            <w:tcW w:w="1800" w:type="dxa"/>
            <w:tcBorders>
              <w:top w:val="single" w:sz="4" w:space="0" w:color="000000"/>
              <w:left w:val="single" w:sz="4" w:space="0" w:color="000000"/>
              <w:bottom w:val="single" w:sz="4" w:space="0" w:color="000000"/>
              <w:right w:val="single" w:sz="4" w:space="0" w:color="000000"/>
            </w:tcBorders>
            <w:vAlign w:val="center"/>
          </w:tcPr>
          <w:p w14:paraId="493C8C58"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707,529</w:t>
            </w:r>
          </w:p>
        </w:tc>
      </w:tr>
      <w:tr w:rsidR="008027BA" w:rsidRPr="00C40456" w14:paraId="6275C7F1" w14:textId="77777777" w:rsidTr="00ED0A10">
        <w:trPr>
          <w:cantSplit/>
          <w:trHeight w:hRule="exact" w:val="326"/>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766D43EF"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z w:val="20"/>
                <w:szCs w:val="20"/>
              </w:rPr>
              <w:t>Number</w:t>
            </w:r>
            <w:r w:rsidRPr="00C40456">
              <w:rPr>
                <w:rFonts w:ascii="Arial" w:hAnsi="Arial" w:cs="Arial"/>
                <w:spacing w:val="-9"/>
                <w:sz w:val="20"/>
                <w:szCs w:val="20"/>
              </w:rPr>
              <w:t xml:space="preserve"> </w:t>
            </w:r>
            <w:r w:rsidRPr="00C40456">
              <w:rPr>
                <w:rFonts w:ascii="Arial" w:hAnsi="Arial" w:cs="Arial"/>
                <w:spacing w:val="-1"/>
                <w:sz w:val="20"/>
                <w:szCs w:val="20"/>
              </w:rPr>
              <w:t>of</w:t>
            </w:r>
            <w:r w:rsidRPr="00C40456">
              <w:rPr>
                <w:rFonts w:ascii="Arial" w:hAnsi="Arial" w:cs="Arial"/>
                <w:spacing w:val="-7"/>
                <w:sz w:val="20"/>
                <w:szCs w:val="20"/>
              </w:rPr>
              <w:t xml:space="preserve"> </w:t>
            </w:r>
            <w:r w:rsidRPr="00C40456">
              <w:rPr>
                <w:rFonts w:ascii="Arial" w:hAnsi="Arial" w:cs="Arial"/>
                <w:spacing w:val="-1"/>
                <w:sz w:val="20"/>
                <w:szCs w:val="20"/>
              </w:rPr>
              <w:t>hospitals</w:t>
            </w:r>
          </w:p>
        </w:tc>
        <w:tc>
          <w:tcPr>
            <w:tcW w:w="1980" w:type="dxa"/>
            <w:tcBorders>
              <w:top w:val="single" w:sz="4" w:space="0" w:color="000000"/>
              <w:left w:val="single" w:sz="4" w:space="0" w:color="000000"/>
              <w:bottom w:val="single" w:sz="4" w:space="0" w:color="000000"/>
              <w:right w:val="single" w:sz="4" w:space="0" w:color="000000"/>
            </w:tcBorders>
            <w:vAlign w:val="center"/>
          </w:tcPr>
          <w:p w14:paraId="58D40D20"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4,702</w:t>
            </w:r>
          </w:p>
        </w:tc>
        <w:tc>
          <w:tcPr>
            <w:tcW w:w="1710" w:type="dxa"/>
            <w:tcBorders>
              <w:top w:val="single" w:sz="4" w:space="0" w:color="000000"/>
              <w:left w:val="single" w:sz="4" w:space="0" w:color="000000"/>
              <w:bottom w:val="single" w:sz="4" w:space="0" w:color="000000"/>
              <w:right w:val="single" w:sz="4" w:space="0" w:color="000000"/>
            </w:tcBorders>
            <w:vAlign w:val="center"/>
          </w:tcPr>
          <w:p w14:paraId="5A0874A4"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4,703</w:t>
            </w:r>
          </w:p>
        </w:tc>
        <w:tc>
          <w:tcPr>
            <w:tcW w:w="1710" w:type="dxa"/>
            <w:tcBorders>
              <w:top w:val="single" w:sz="4" w:space="0" w:color="000000"/>
              <w:left w:val="single" w:sz="4" w:space="0" w:color="000000"/>
              <w:bottom w:val="single" w:sz="4" w:space="0" w:color="000000"/>
              <w:right w:val="single" w:sz="4" w:space="0" w:color="000000"/>
            </w:tcBorders>
            <w:vAlign w:val="center"/>
          </w:tcPr>
          <w:p w14:paraId="116FA6A0"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4,641</w:t>
            </w:r>
          </w:p>
        </w:tc>
        <w:tc>
          <w:tcPr>
            <w:tcW w:w="1800" w:type="dxa"/>
            <w:tcBorders>
              <w:top w:val="single" w:sz="4" w:space="0" w:color="000000"/>
              <w:left w:val="single" w:sz="4" w:space="0" w:color="000000"/>
              <w:bottom w:val="single" w:sz="4" w:space="0" w:color="000000"/>
              <w:right w:val="single" w:sz="4" w:space="0" w:color="000000"/>
            </w:tcBorders>
            <w:vAlign w:val="center"/>
          </w:tcPr>
          <w:p w14:paraId="035802F3"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sidRPr="00784051">
              <w:rPr>
                <w:rFonts w:ascii="Arial" w:hAnsi="Arial" w:cs="Arial"/>
                <w:spacing w:val="-1"/>
                <w:sz w:val="20"/>
                <w:szCs w:val="20"/>
              </w:rPr>
              <w:t>4,438</w:t>
            </w:r>
          </w:p>
        </w:tc>
      </w:tr>
      <w:tr w:rsidR="008027BA" w:rsidRPr="00C40456" w14:paraId="6815D343" w14:textId="77777777" w:rsidTr="00ED0A10">
        <w:trPr>
          <w:cantSplit/>
          <w:trHeight w:hRule="exact" w:val="532"/>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5B845412"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pacing w:val="-1"/>
                <w:sz w:val="20"/>
                <w:szCs w:val="20"/>
              </w:rPr>
              <w:t>Unadjusted</w:t>
            </w:r>
            <w:r w:rsidRPr="00C40456">
              <w:rPr>
                <w:rFonts w:ascii="Arial" w:hAnsi="Arial" w:cs="Arial"/>
                <w:spacing w:val="-14"/>
                <w:sz w:val="20"/>
                <w:szCs w:val="20"/>
              </w:rPr>
              <w:t xml:space="preserve"> </w:t>
            </w:r>
            <w:r w:rsidRPr="00C40456">
              <w:rPr>
                <w:rFonts w:ascii="Arial" w:hAnsi="Arial" w:cs="Arial"/>
                <w:sz w:val="20"/>
                <w:szCs w:val="20"/>
              </w:rPr>
              <w:t>readmission</w:t>
            </w:r>
            <w:r w:rsidRPr="00C40456">
              <w:rPr>
                <w:rFonts w:ascii="Arial" w:hAnsi="Arial" w:cs="Arial"/>
                <w:spacing w:val="-13"/>
                <w:sz w:val="20"/>
                <w:szCs w:val="20"/>
              </w:rPr>
              <w:t xml:space="preserve"> </w:t>
            </w:r>
            <w:r w:rsidRPr="00C40456">
              <w:rPr>
                <w:rFonts w:ascii="Arial" w:hAnsi="Arial" w:cs="Arial"/>
                <w:spacing w:val="-1"/>
                <w:sz w:val="20"/>
                <w:szCs w:val="20"/>
              </w:rPr>
              <w:t>rate</w:t>
            </w:r>
          </w:p>
        </w:tc>
        <w:tc>
          <w:tcPr>
            <w:tcW w:w="1980" w:type="dxa"/>
            <w:tcBorders>
              <w:top w:val="single" w:sz="4" w:space="0" w:color="000000"/>
              <w:left w:val="single" w:sz="4" w:space="0" w:color="000000"/>
              <w:bottom w:val="single" w:sz="4" w:space="0" w:color="000000"/>
              <w:right w:val="single" w:sz="4" w:space="0" w:color="000000"/>
            </w:tcBorders>
            <w:vAlign w:val="center"/>
          </w:tcPr>
          <w:p w14:paraId="7E9A297A" w14:textId="77777777" w:rsidR="008027BA" w:rsidRPr="00C40456" w:rsidRDefault="008027BA" w:rsidP="00A56D8C">
            <w:pPr>
              <w:kinsoku w:val="0"/>
              <w:overflowPunct w:val="0"/>
              <w:autoSpaceDE w:val="0"/>
              <w:autoSpaceDN w:val="0"/>
              <w:adjustRightInd w:val="0"/>
              <w:spacing w:after="0" w:line="240" w:lineRule="auto"/>
              <w:ind w:right="8"/>
              <w:jc w:val="center"/>
              <w:rPr>
                <w:rFonts w:ascii="Times New Roman" w:hAnsi="Times New Roman" w:cs="Times New Roman"/>
                <w:sz w:val="24"/>
                <w:szCs w:val="24"/>
              </w:rPr>
            </w:pPr>
            <w:r w:rsidRPr="00C40456">
              <w:rPr>
                <w:rFonts w:ascii="Arial" w:hAnsi="Arial" w:cs="Arial"/>
                <w:spacing w:val="-1"/>
                <w:sz w:val="20"/>
                <w:szCs w:val="20"/>
              </w:rPr>
              <w:t>15.2%</w:t>
            </w:r>
          </w:p>
        </w:tc>
        <w:tc>
          <w:tcPr>
            <w:tcW w:w="1710" w:type="dxa"/>
            <w:tcBorders>
              <w:top w:val="single" w:sz="4" w:space="0" w:color="000000"/>
              <w:left w:val="single" w:sz="4" w:space="0" w:color="000000"/>
              <w:bottom w:val="single" w:sz="4" w:space="0" w:color="000000"/>
              <w:right w:val="single" w:sz="4" w:space="0" w:color="000000"/>
            </w:tcBorders>
            <w:vAlign w:val="center"/>
          </w:tcPr>
          <w:p w14:paraId="7B361F95"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15.2%</w:t>
            </w:r>
          </w:p>
        </w:tc>
        <w:tc>
          <w:tcPr>
            <w:tcW w:w="1710" w:type="dxa"/>
            <w:tcBorders>
              <w:top w:val="single" w:sz="4" w:space="0" w:color="000000"/>
              <w:left w:val="single" w:sz="4" w:space="0" w:color="000000"/>
              <w:bottom w:val="single" w:sz="4" w:space="0" w:color="000000"/>
              <w:right w:val="single" w:sz="4" w:space="0" w:color="000000"/>
            </w:tcBorders>
            <w:vAlign w:val="center"/>
          </w:tcPr>
          <w:p w14:paraId="6666977B"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15.4%</w:t>
            </w:r>
          </w:p>
        </w:tc>
        <w:tc>
          <w:tcPr>
            <w:tcW w:w="1800" w:type="dxa"/>
            <w:tcBorders>
              <w:top w:val="single" w:sz="4" w:space="0" w:color="000000"/>
              <w:left w:val="single" w:sz="4" w:space="0" w:color="000000"/>
              <w:bottom w:val="single" w:sz="4" w:space="0" w:color="000000"/>
              <w:right w:val="single" w:sz="4" w:space="0" w:color="000000"/>
            </w:tcBorders>
            <w:vAlign w:val="center"/>
          </w:tcPr>
          <w:p w14:paraId="08CE295F" w14:textId="77777777" w:rsidR="008027BA" w:rsidRPr="00C40456" w:rsidRDefault="008027BA" w:rsidP="00A56D8C">
            <w:pPr>
              <w:kinsoku w:val="0"/>
              <w:overflowPunct w:val="0"/>
              <w:autoSpaceDE w:val="0"/>
              <w:autoSpaceDN w:val="0"/>
              <w:adjustRightInd w:val="0"/>
              <w:spacing w:after="0" w:line="240" w:lineRule="auto"/>
              <w:ind w:right="4"/>
              <w:jc w:val="center"/>
              <w:rPr>
                <w:rFonts w:ascii="Arial" w:hAnsi="Arial" w:cs="Arial"/>
                <w:spacing w:val="-1"/>
                <w:sz w:val="20"/>
                <w:szCs w:val="20"/>
              </w:rPr>
            </w:pPr>
            <w:r w:rsidRPr="00784051">
              <w:rPr>
                <w:rFonts w:ascii="Arial" w:hAnsi="Arial" w:cs="Arial"/>
                <w:spacing w:val="-1"/>
                <w:sz w:val="20"/>
                <w:szCs w:val="20"/>
              </w:rPr>
              <w:t>14.4%</w:t>
            </w:r>
          </w:p>
        </w:tc>
      </w:tr>
      <w:tr w:rsidR="008027BA" w:rsidRPr="00C40456" w14:paraId="781D2D46" w14:textId="77777777" w:rsidTr="00ED0A10">
        <w:trPr>
          <w:cantSplit/>
          <w:trHeight w:hRule="exact" w:val="1018"/>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2856A28F" w14:textId="77777777" w:rsidR="008027BA" w:rsidRPr="00C40456" w:rsidRDefault="008027BA" w:rsidP="00A56D8C">
            <w:pPr>
              <w:kinsoku w:val="0"/>
              <w:overflowPunct w:val="0"/>
              <w:autoSpaceDE w:val="0"/>
              <w:autoSpaceDN w:val="0"/>
              <w:adjustRightInd w:val="0"/>
              <w:spacing w:after="0" w:line="240" w:lineRule="auto"/>
              <w:ind w:right="392"/>
              <w:rPr>
                <w:rFonts w:ascii="Times New Roman" w:hAnsi="Times New Roman" w:cs="Times New Roman"/>
                <w:sz w:val="24"/>
                <w:szCs w:val="24"/>
              </w:rPr>
            </w:pPr>
            <w:r w:rsidRPr="00C40456">
              <w:rPr>
                <w:rFonts w:ascii="Arial" w:hAnsi="Arial" w:cs="Arial"/>
                <w:spacing w:val="-1"/>
                <w:sz w:val="20"/>
                <w:szCs w:val="20"/>
              </w:rPr>
              <w:t>Discrimination</w:t>
            </w:r>
            <w:r w:rsidRPr="00C40456">
              <w:rPr>
                <w:rFonts w:ascii="Arial" w:hAnsi="Arial" w:cs="Arial"/>
                <w:spacing w:val="-23"/>
                <w:sz w:val="20"/>
                <w:szCs w:val="20"/>
              </w:rPr>
              <w:t xml:space="preserve"> </w:t>
            </w:r>
            <w:r w:rsidRPr="00C40456">
              <w:rPr>
                <w:rFonts w:ascii="Arial" w:hAnsi="Arial" w:cs="Arial"/>
                <w:sz w:val="20"/>
                <w:szCs w:val="20"/>
              </w:rPr>
              <w:t>-Predictive</w:t>
            </w:r>
            <w:r w:rsidRPr="00C40456">
              <w:rPr>
                <w:rFonts w:ascii="Arial" w:hAnsi="Arial" w:cs="Arial"/>
                <w:spacing w:val="26"/>
                <w:w w:val="99"/>
                <w:sz w:val="20"/>
                <w:szCs w:val="20"/>
              </w:rPr>
              <w:t xml:space="preserve"> </w:t>
            </w:r>
            <w:r w:rsidRPr="00C40456">
              <w:rPr>
                <w:rFonts w:ascii="Arial" w:hAnsi="Arial" w:cs="Arial"/>
                <w:sz w:val="20"/>
                <w:szCs w:val="20"/>
              </w:rPr>
              <w:t>Ability</w:t>
            </w:r>
            <w:r w:rsidRPr="00C40456">
              <w:rPr>
                <w:rFonts w:ascii="Arial" w:hAnsi="Arial" w:cs="Arial"/>
                <w:spacing w:val="-11"/>
                <w:sz w:val="20"/>
                <w:szCs w:val="20"/>
              </w:rPr>
              <w:t xml:space="preserve"> </w:t>
            </w:r>
            <w:r w:rsidRPr="00C40456">
              <w:rPr>
                <w:rFonts w:ascii="Arial" w:hAnsi="Arial" w:cs="Arial"/>
                <w:sz w:val="20"/>
                <w:szCs w:val="20"/>
              </w:rPr>
              <w:t>(lowest</w:t>
            </w:r>
            <w:r w:rsidRPr="00C40456">
              <w:rPr>
                <w:rFonts w:ascii="Arial" w:hAnsi="Arial" w:cs="Arial"/>
                <w:spacing w:val="-7"/>
                <w:sz w:val="20"/>
                <w:szCs w:val="20"/>
              </w:rPr>
              <w:t xml:space="preserve"> </w:t>
            </w:r>
            <w:r w:rsidRPr="00C40456">
              <w:rPr>
                <w:rFonts w:ascii="Arial" w:hAnsi="Arial" w:cs="Arial"/>
                <w:spacing w:val="-1"/>
                <w:sz w:val="20"/>
                <w:szCs w:val="20"/>
              </w:rPr>
              <w:t>decile</w:t>
            </w:r>
            <w:r w:rsidRPr="00C40456">
              <w:rPr>
                <w:rFonts w:ascii="Arial" w:hAnsi="Arial" w:cs="Arial"/>
                <w:spacing w:val="-6"/>
                <w:sz w:val="20"/>
                <w:szCs w:val="20"/>
              </w:rPr>
              <w:t xml:space="preserve"> </w:t>
            </w:r>
            <w:r w:rsidRPr="00C40456">
              <w:rPr>
                <w:rFonts w:ascii="Arial" w:hAnsi="Arial" w:cs="Arial"/>
                <w:sz w:val="20"/>
                <w:szCs w:val="20"/>
              </w:rPr>
              <w:t>%,</w:t>
            </w:r>
            <w:r w:rsidRPr="00C40456">
              <w:rPr>
                <w:rFonts w:ascii="Arial" w:hAnsi="Arial" w:cs="Arial"/>
                <w:spacing w:val="30"/>
                <w:w w:val="99"/>
                <w:sz w:val="20"/>
                <w:szCs w:val="20"/>
              </w:rPr>
              <w:t xml:space="preserve"> </w:t>
            </w:r>
            <w:r w:rsidRPr="00C40456">
              <w:rPr>
                <w:rFonts w:ascii="Arial" w:hAnsi="Arial" w:cs="Arial"/>
                <w:spacing w:val="-1"/>
                <w:sz w:val="20"/>
                <w:szCs w:val="20"/>
              </w:rPr>
              <w:t>highest</w:t>
            </w:r>
            <w:r w:rsidRPr="00C40456">
              <w:rPr>
                <w:rFonts w:ascii="Arial" w:hAnsi="Arial" w:cs="Arial"/>
                <w:spacing w:val="-9"/>
                <w:sz w:val="20"/>
                <w:szCs w:val="20"/>
              </w:rPr>
              <w:t xml:space="preserve"> </w:t>
            </w:r>
            <w:r w:rsidRPr="00C40456">
              <w:rPr>
                <w:rFonts w:ascii="Arial" w:hAnsi="Arial" w:cs="Arial"/>
                <w:sz w:val="20"/>
                <w:szCs w:val="20"/>
              </w:rPr>
              <w:t>decile</w:t>
            </w:r>
            <w:r w:rsidRPr="00C40456">
              <w:rPr>
                <w:rFonts w:ascii="Arial" w:hAnsi="Arial" w:cs="Arial"/>
                <w:spacing w:val="-8"/>
                <w:sz w:val="20"/>
                <w:szCs w:val="20"/>
              </w:rPr>
              <w:t xml:space="preserve"> </w:t>
            </w:r>
            <w:r w:rsidRPr="00C40456">
              <w:rPr>
                <w:rFonts w:ascii="Arial" w:hAnsi="Arial"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vAlign w:val="center"/>
          </w:tcPr>
          <w:p w14:paraId="09ABD7E2" w14:textId="77777777" w:rsidR="008027BA" w:rsidRPr="00C40456" w:rsidRDefault="008027BA" w:rsidP="00575EE3">
            <w:pPr>
              <w:kinsoku w:val="0"/>
              <w:overflowPunct w:val="0"/>
              <w:autoSpaceDE w:val="0"/>
              <w:autoSpaceDN w:val="0"/>
              <w:adjustRightInd w:val="0"/>
              <w:spacing w:after="0" w:line="240" w:lineRule="auto"/>
              <w:ind w:right="5"/>
              <w:jc w:val="center"/>
              <w:rPr>
                <w:rFonts w:ascii="Times New Roman" w:hAnsi="Times New Roman" w:cs="Times New Roman"/>
                <w:sz w:val="24"/>
                <w:szCs w:val="24"/>
              </w:rPr>
            </w:pPr>
            <w:r w:rsidRPr="00C40456">
              <w:rPr>
                <w:rFonts w:ascii="Arial" w:hAnsi="Arial" w:cs="Arial"/>
                <w:sz w:val="20"/>
                <w:szCs w:val="20"/>
              </w:rPr>
              <w:t>5</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31</w:t>
            </w:r>
          </w:p>
        </w:tc>
        <w:tc>
          <w:tcPr>
            <w:tcW w:w="1710" w:type="dxa"/>
            <w:tcBorders>
              <w:top w:val="single" w:sz="4" w:space="0" w:color="000000"/>
              <w:left w:val="single" w:sz="4" w:space="0" w:color="000000"/>
              <w:bottom w:val="single" w:sz="4" w:space="0" w:color="000000"/>
              <w:right w:val="single" w:sz="4" w:space="0" w:color="000000"/>
            </w:tcBorders>
            <w:vAlign w:val="center"/>
          </w:tcPr>
          <w:p w14:paraId="41C1EC61" w14:textId="77777777" w:rsidR="008027BA" w:rsidRPr="00C40456" w:rsidRDefault="008027BA" w:rsidP="00575EE3">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z w:val="20"/>
                <w:szCs w:val="20"/>
              </w:rPr>
              <w:t>6</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30</w:t>
            </w:r>
          </w:p>
        </w:tc>
        <w:tc>
          <w:tcPr>
            <w:tcW w:w="1710" w:type="dxa"/>
            <w:tcBorders>
              <w:top w:val="single" w:sz="4" w:space="0" w:color="000000"/>
              <w:left w:val="single" w:sz="4" w:space="0" w:color="000000"/>
              <w:bottom w:val="single" w:sz="4" w:space="0" w:color="000000"/>
              <w:right w:val="single" w:sz="4" w:space="0" w:color="000000"/>
            </w:tcBorders>
            <w:vAlign w:val="center"/>
          </w:tcPr>
          <w:p w14:paraId="658C2FED" w14:textId="77777777" w:rsidR="008027BA" w:rsidRPr="00C40456" w:rsidRDefault="008027BA" w:rsidP="00575EE3">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C40456">
              <w:rPr>
                <w:rFonts w:ascii="Arial" w:hAnsi="Arial" w:cs="Arial"/>
                <w:sz w:val="20"/>
                <w:szCs w:val="20"/>
              </w:rPr>
              <w:t>5</w:t>
            </w:r>
            <w:r w:rsidRPr="00C40456">
              <w:rPr>
                <w:rFonts w:ascii="Arial" w:hAnsi="Arial" w:cs="Arial"/>
                <w:spacing w:val="-4"/>
                <w:sz w:val="20"/>
                <w:szCs w:val="20"/>
              </w:rPr>
              <w:t xml:space="preserve"> </w:t>
            </w:r>
            <w:r w:rsidRPr="00C40456">
              <w:rPr>
                <w:rFonts w:ascii="Arial" w:hAnsi="Arial" w:cs="Arial"/>
                <w:sz w:val="20"/>
                <w:szCs w:val="20"/>
              </w:rPr>
              <w:t>–</w:t>
            </w:r>
            <w:r w:rsidRPr="00C40456">
              <w:rPr>
                <w:rFonts w:ascii="Arial" w:hAnsi="Arial" w:cs="Arial"/>
                <w:spacing w:val="-3"/>
                <w:sz w:val="20"/>
                <w:szCs w:val="20"/>
              </w:rPr>
              <w:t xml:space="preserve"> </w:t>
            </w:r>
            <w:r w:rsidRPr="00C40456">
              <w:rPr>
                <w:rFonts w:ascii="Arial" w:hAnsi="Arial" w:cs="Arial"/>
                <w:spacing w:val="2"/>
                <w:sz w:val="20"/>
                <w:szCs w:val="20"/>
              </w:rPr>
              <w:t>33</w:t>
            </w:r>
          </w:p>
        </w:tc>
        <w:tc>
          <w:tcPr>
            <w:tcW w:w="1800" w:type="dxa"/>
            <w:tcBorders>
              <w:top w:val="single" w:sz="4" w:space="0" w:color="000000"/>
              <w:left w:val="single" w:sz="4" w:space="0" w:color="000000"/>
              <w:bottom w:val="single" w:sz="4" w:space="0" w:color="000000"/>
              <w:right w:val="single" w:sz="4" w:space="0" w:color="000000"/>
            </w:tcBorders>
            <w:vAlign w:val="center"/>
          </w:tcPr>
          <w:p w14:paraId="4E178A30" w14:textId="77777777" w:rsidR="008027BA" w:rsidRPr="00C40456" w:rsidRDefault="008027BA" w:rsidP="00575EE3">
            <w:pPr>
              <w:kinsoku w:val="0"/>
              <w:overflowPunct w:val="0"/>
              <w:autoSpaceDE w:val="0"/>
              <w:autoSpaceDN w:val="0"/>
              <w:adjustRightInd w:val="0"/>
              <w:spacing w:after="0" w:line="240" w:lineRule="auto"/>
              <w:jc w:val="center"/>
              <w:rPr>
                <w:rFonts w:ascii="Arial" w:hAnsi="Arial" w:cs="Arial"/>
              </w:rPr>
            </w:pPr>
            <w:r>
              <w:rPr>
                <w:rFonts w:ascii="Arial" w:hAnsi="Arial" w:cs="Arial"/>
                <w:sz w:val="20"/>
              </w:rPr>
              <w:t>7-31</w:t>
            </w:r>
          </w:p>
        </w:tc>
      </w:tr>
      <w:tr w:rsidR="008027BA" w:rsidRPr="00C40456" w14:paraId="429AD2EB" w14:textId="77777777" w:rsidTr="00ED0A10">
        <w:trPr>
          <w:cantSplit/>
          <w:trHeight w:hRule="exact" w:val="271"/>
          <w:tblHeader/>
        </w:trPr>
        <w:tc>
          <w:tcPr>
            <w:tcW w:w="2340" w:type="dxa"/>
            <w:tcBorders>
              <w:top w:val="single" w:sz="4" w:space="0" w:color="000000"/>
              <w:left w:val="single" w:sz="4" w:space="0" w:color="000000"/>
              <w:bottom w:val="single" w:sz="4" w:space="0" w:color="000000"/>
              <w:right w:val="single" w:sz="4" w:space="0" w:color="000000"/>
            </w:tcBorders>
            <w:vAlign w:val="center"/>
          </w:tcPr>
          <w:p w14:paraId="125ECE78" w14:textId="77777777" w:rsidR="008027BA" w:rsidRPr="00C40456" w:rsidRDefault="008027BA" w:rsidP="00A56D8C">
            <w:pPr>
              <w:kinsoku w:val="0"/>
              <w:overflowPunct w:val="0"/>
              <w:autoSpaceDE w:val="0"/>
              <w:autoSpaceDN w:val="0"/>
              <w:adjustRightInd w:val="0"/>
              <w:spacing w:after="0" w:line="240" w:lineRule="auto"/>
              <w:rPr>
                <w:rFonts w:ascii="Times New Roman" w:hAnsi="Times New Roman" w:cs="Times New Roman"/>
                <w:sz w:val="24"/>
                <w:szCs w:val="24"/>
              </w:rPr>
            </w:pPr>
            <w:r w:rsidRPr="00C40456">
              <w:rPr>
                <w:rFonts w:ascii="Arial" w:hAnsi="Arial" w:cs="Arial"/>
                <w:spacing w:val="-1"/>
                <w:sz w:val="20"/>
                <w:szCs w:val="20"/>
              </w:rPr>
              <w:t>Discrimination</w:t>
            </w:r>
            <w:r w:rsidRPr="00C40456">
              <w:rPr>
                <w:rFonts w:ascii="Arial" w:hAnsi="Arial" w:cs="Arial"/>
                <w:spacing w:val="-7"/>
                <w:sz w:val="20"/>
                <w:szCs w:val="20"/>
              </w:rPr>
              <w:t xml:space="preserve"> </w:t>
            </w:r>
            <w:r w:rsidRPr="00C40456">
              <w:rPr>
                <w:rFonts w:ascii="Arial" w:hAnsi="Arial" w:cs="Arial"/>
                <w:sz w:val="20"/>
                <w:szCs w:val="20"/>
              </w:rPr>
              <w:t>–</w:t>
            </w:r>
            <w:r w:rsidRPr="00C40456">
              <w:rPr>
                <w:rFonts w:ascii="Arial" w:hAnsi="Arial" w:cs="Arial"/>
                <w:spacing w:val="-8"/>
                <w:sz w:val="20"/>
                <w:szCs w:val="20"/>
              </w:rPr>
              <w:t xml:space="preserve"> </w:t>
            </w:r>
            <w:r w:rsidRPr="00C40456">
              <w:rPr>
                <w:rFonts w:ascii="Arial" w:hAnsi="Arial" w:cs="Arial"/>
                <w:sz w:val="20"/>
                <w:szCs w:val="20"/>
              </w:rPr>
              <w:t>c</w:t>
            </w:r>
            <w:r w:rsidRPr="00C40456">
              <w:rPr>
                <w:rFonts w:ascii="Arial" w:hAnsi="Arial" w:cs="Arial"/>
                <w:spacing w:val="-7"/>
                <w:sz w:val="20"/>
                <w:szCs w:val="20"/>
              </w:rPr>
              <w:t xml:space="preserve"> </w:t>
            </w:r>
            <w:r w:rsidRPr="00C40456">
              <w:rPr>
                <w:rFonts w:ascii="Arial" w:hAnsi="Arial" w:cs="Arial"/>
                <w:spacing w:val="-1"/>
                <w:sz w:val="20"/>
                <w:szCs w:val="20"/>
              </w:rPr>
              <w:t>statistic</w:t>
            </w:r>
          </w:p>
        </w:tc>
        <w:tc>
          <w:tcPr>
            <w:tcW w:w="1980" w:type="dxa"/>
            <w:tcBorders>
              <w:top w:val="single" w:sz="4" w:space="0" w:color="000000"/>
              <w:left w:val="single" w:sz="4" w:space="0" w:color="000000"/>
              <w:bottom w:val="single" w:sz="4" w:space="0" w:color="000000"/>
              <w:right w:val="single" w:sz="4" w:space="0" w:color="000000"/>
            </w:tcBorders>
            <w:vAlign w:val="center"/>
          </w:tcPr>
          <w:p w14:paraId="5A2384C5" w14:textId="77777777" w:rsidR="008027BA" w:rsidRPr="00C40456" w:rsidRDefault="008027BA" w:rsidP="00A56D8C">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C40456">
              <w:rPr>
                <w:rFonts w:ascii="Arial" w:hAnsi="Arial" w:cs="Arial"/>
                <w:spacing w:val="-1"/>
                <w:sz w:val="20"/>
                <w:szCs w:val="20"/>
              </w:rPr>
              <w:t>0.657</w:t>
            </w:r>
          </w:p>
        </w:tc>
        <w:tc>
          <w:tcPr>
            <w:tcW w:w="1710" w:type="dxa"/>
            <w:tcBorders>
              <w:top w:val="single" w:sz="4" w:space="0" w:color="000000"/>
              <w:left w:val="single" w:sz="4" w:space="0" w:color="000000"/>
              <w:bottom w:val="single" w:sz="4" w:space="0" w:color="000000"/>
              <w:right w:val="single" w:sz="4" w:space="0" w:color="000000"/>
            </w:tcBorders>
            <w:vAlign w:val="center"/>
          </w:tcPr>
          <w:p w14:paraId="1FA955BB"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0.656</w:t>
            </w:r>
          </w:p>
        </w:tc>
        <w:tc>
          <w:tcPr>
            <w:tcW w:w="1710" w:type="dxa"/>
            <w:tcBorders>
              <w:top w:val="single" w:sz="4" w:space="0" w:color="000000"/>
              <w:left w:val="single" w:sz="4" w:space="0" w:color="000000"/>
              <w:bottom w:val="single" w:sz="4" w:space="0" w:color="000000"/>
              <w:right w:val="single" w:sz="4" w:space="0" w:color="000000"/>
            </w:tcBorders>
            <w:vAlign w:val="center"/>
          </w:tcPr>
          <w:p w14:paraId="3E4AAA72" w14:textId="77777777" w:rsidR="008027BA" w:rsidRPr="00C40456" w:rsidRDefault="008027BA" w:rsidP="00A56D8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C40456">
              <w:rPr>
                <w:rFonts w:ascii="Arial" w:hAnsi="Arial" w:cs="Arial"/>
                <w:spacing w:val="-1"/>
                <w:sz w:val="20"/>
                <w:szCs w:val="20"/>
              </w:rPr>
              <w:t>0.680</w:t>
            </w:r>
          </w:p>
        </w:tc>
        <w:tc>
          <w:tcPr>
            <w:tcW w:w="1800" w:type="dxa"/>
            <w:tcBorders>
              <w:top w:val="single" w:sz="4" w:space="0" w:color="000000"/>
              <w:left w:val="single" w:sz="4" w:space="0" w:color="000000"/>
              <w:bottom w:val="single" w:sz="4" w:space="0" w:color="000000"/>
              <w:right w:val="single" w:sz="4" w:space="0" w:color="000000"/>
            </w:tcBorders>
            <w:vAlign w:val="center"/>
          </w:tcPr>
          <w:p w14:paraId="5179A424" w14:textId="77777777" w:rsidR="008027BA" w:rsidRPr="00C40456" w:rsidRDefault="008027BA" w:rsidP="00A56D8C">
            <w:pPr>
              <w:kinsoku w:val="0"/>
              <w:overflowPunct w:val="0"/>
              <w:autoSpaceDE w:val="0"/>
              <w:autoSpaceDN w:val="0"/>
              <w:adjustRightInd w:val="0"/>
              <w:spacing w:after="0" w:line="240" w:lineRule="auto"/>
              <w:jc w:val="center"/>
              <w:rPr>
                <w:rFonts w:ascii="Arial" w:hAnsi="Arial" w:cs="Arial"/>
                <w:spacing w:val="-1"/>
                <w:sz w:val="20"/>
                <w:szCs w:val="20"/>
              </w:rPr>
            </w:pPr>
            <w:r>
              <w:rPr>
                <w:rFonts w:ascii="Arial" w:hAnsi="Arial" w:cs="Arial"/>
                <w:spacing w:val="-1"/>
                <w:sz w:val="20"/>
                <w:szCs w:val="20"/>
              </w:rPr>
              <w:t>0.658</w:t>
            </w:r>
          </w:p>
        </w:tc>
      </w:tr>
    </w:tbl>
    <w:p w14:paraId="489A530B" w14:textId="77777777" w:rsidR="008027BA" w:rsidRDefault="008027BA" w:rsidP="008027BA">
      <w:pPr>
        <w:autoSpaceDE w:val="0"/>
        <w:autoSpaceDN w:val="0"/>
        <w:adjustRightInd w:val="0"/>
        <w:spacing w:after="0" w:line="240" w:lineRule="auto"/>
        <w:rPr>
          <w:rFonts w:cstheme="minorHAnsi"/>
          <w:b/>
          <w:bCs/>
        </w:rPr>
      </w:pPr>
    </w:p>
    <w:p w14:paraId="6370A662" w14:textId="77777777" w:rsidR="008027BA" w:rsidRDefault="008027BA" w:rsidP="008027BA">
      <w:pPr>
        <w:autoSpaceDE w:val="0"/>
        <w:autoSpaceDN w:val="0"/>
        <w:adjustRightInd w:val="0"/>
        <w:spacing w:after="0" w:line="240" w:lineRule="auto"/>
        <w:ind w:left="720"/>
        <w:rPr>
          <w:rFonts w:cstheme="minorHAnsi"/>
          <w:b/>
          <w:bCs/>
        </w:rPr>
      </w:pPr>
      <w:r>
        <w:rPr>
          <w:rFonts w:cstheme="minorHAnsi"/>
          <w:b/>
          <w:bCs/>
        </w:rPr>
        <w:t>Neurology Cohort Model Discrimination</w:t>
      </w:r>
    </w:p>
    <w:tbl>
      <w:tblPr>
        <w:tblpPr w:leftFromText="180" w:rightFromText="180" w:vertAnchor="text" w:horzAnchor="margin" w:tblpY="300"/>
        <w:tblW w:w="9535" w:type="dxa"/>
        <w:tblLayout w:type="fixed"/>
        <w:tblCellMar>
          <w:left w:w="0" w:type="dxa"/>
          <w:right w:w="0" w:type="dxa"/>
        </w:tblCellMar>
        <w:tblLook w:val="0000" w:firstRow="0" w:lastRow="0" w:firstColumn="0" w:lastColumn="0" w:noHBand="0" w:noVBand="0"/>
      </w:tblPr>
      <w:tblGrid>
        <w:gridCol w:w="2335"/>
        <w:gridCol w:w="1980"/>
        <w:gridCol w:w="1710"/>
        <w:gridCol w:w="1710"/>
        <w:gridCol w:w="1800"/>
      </w:tblGrid>
      <w:tr w:rsidR="008027BA" w:rsidRPr="00CA43C6" w14:paraId="60AEF02C" w14:textId="77777777" w:rsidTr="00053BD7">
        <w:trPr>
          <w:cantSplit/>
          <w:trHeight w:hRule="exact" w:val="997"/>
          <w:tblHeader/>
        </w:trPr>
        <w:tc>
          <w:tcPr>
            <w:tcW w:w="233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3ABF230" w14:textId="77777777" w:rsidR="008027BA" w:rsidRPr="00B34F4F" w:rsidRDefault="008027BA" w:rsidP="00053BD7">
            <w:pPr>
              <w:kinsoku w:val="0"/>
              <w:overflowPunct w:val="0"/>
              <w:spacing w:before="4" w:after="0" w:line="240" w:lineRule="auto"/>
              <w:jc w:val="center"/>
              <w:rPr>
                <w:rFonts w:eastAsiaTheme="minorHAnsi"/>
              </w:rPr>
            </w:pPr>
          </w:p>
          <w:p w14:paraId="26770D8E" w14:textId="77777777" w:rsidR="008027BA" w:rsidRPr="00B34F4F" w:rsidRDefault="008027BA" w:rsidP="00A56D8C">
            <w:pPr>
              <w:kinsoku w:val="0"/>
              <w:overflowPunct w:val="0"/>
              <w:spacing w:after="0" w:line="240" w:lineRule="auto"/>
              <w:ind w:right="5"/>
              <w:jc w:val="center"/>
              <w:rPr>
                <w:rFonts w:ascii="Times New Roman" w:eastAsiaTheme="minorHAnsi" w:hAnsi="Times New Roman" w:cs="Times New Roman"/>
              </w:rPr>
            </w:pPr>
            <w:r w:rsidRPr="00B34F4F">
              <w:rPr>
                <w:rFonts w:eastAsiaTheme="minorHAnsi"/>
                <w:b/>
                <w:bCs/>
                <w:spacing w:val="-1"/>
              </w:rPr>
              <w:t>Indices</w:t>
            </w:r>
          </w:p>
        </w:tc>
        <w:tc>
          <w:tcPr>
            <w:tcW w:w="198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04FCCA3" w14:textId="77777777" w:rsidR="008027BA" w:rsidRPr="00B34F4F" w:rsidRDefault="008027BA" w:rsidP="00A56D8C">
            <w:pPr>
              <w:kinsoku w:val="0"/>
              <w:overflowPunct w:val="0"/>
              <w:spacing w:before="73" w:after="0" w:line="240" w:lineRule="auto"/>
              <w:ind w:right="5"/>
              <w:jc w:val="center"/>
              <w:rPr>
                <w:rFonts w:eastAsiaTheme="minorHAnsi"/>
              </w:rPr>
            </w:pPr>
            <w:r w:rsidRPr="00B34F4F">
              <w:rPr>
                <w:rFonts w:eastAsiaTheme="minorHAnsi"/>
                <w:b/>
                <w:bCs/>
                <w:spacing w:val="-1"/>
              </w:rPr>
              <w:t>2007-2008</w:t>
            </w:r>
          </w:p>
          <w:p w14:paraId="506A7111" w14:textId="77777777" w:rsidR="008027BA" w:rsidRPr="00B34F4F" w:rsidRDefault="008027BA" w:rsidP="00A56D8C">
            <w:pPr>
              <w:kinsoku w:val="0"/>
              <w:overflowPunct w:val="0"/>
              <w:spacing w:after="0" w:line="240" w:lineRule="auto"/>
              <w:ind w:right="5"/>
              <w:jc w:val="center"/>
              <w:rPr>
                <w:rFonts w:ascii="Times New Roman" w:eastAsiaTheme="minorHAnsi" w:hAnsi="Times New Roman" w:cs="Times New Roman"/>
              </w:rPr>
            </w:pPr>
            <w:r w:rsidRPr="00B34F4F">
              <w:rPr>
                <w:rFonts w:eastAsiaTheme="minorHAnsi"/>
                <w:b/>
                <w:bCs/>
                <w:spacing w:val="-1"/>
              </w:rPr>
              <w:t>Development</w:t>
            </w:r>
            <w:r w:rsidRPr="00B34F4F">
              <w:rPr>
                <w:rFonts w:eastAsiaTheme="minorHAnsi"/>
                <w:b/>
                <w:bCs/>
                <w:spacing w:val="-20"/>
              </w:rPr>
              <w:t xml:space="preserve"> </w:t>
            </w:r>
            <w:r w:rsidRPr="00B34F4F">
              <w:rPr>
                <w:rFonts w:eastAsiaTheme="minorHAnsi"/>
                <w:b/>
                <w:bCs/>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806994" w14:textId="77777777" w:rsidR="008027BA" w:rsidRPr="00B34F4F" w:rsidRDefault="008027BA" w:rsidP="00A56D8C">
            <w:pPr>
              <w:kinsoku w:val="0"/>
              <w:overflowPunct w:val="0"/>
              <w:spacing w:before="73" w:after="0" w:line="240" w:lineRule="auto"/>
              <w:jc w:val="center"/>
              <w:rPr>
                <w:rFonts w:eastAsiaTheme="minorHAnsi"/>
              </w:rPr>
            </w:pPr>
            <w:r w:rsidRPr="00B34F4F">
              <w:rPr>
                <w:rFonts w:eastAsiaTheme="minorHAnsi"/>
                <w:b/>
                <w:bCs/>
                <w:spacing w:val="-1"/>
              </w:rPr>
              <w:t>2007-2008</w:t>
            </w:r>
          </w:p>
          <w:p w14:paraId="3F5F026C" w14:textId="77777777" w:rsidR="008027BA" w:rsidRPr="00B34F4F" w:rsidRDefault="008027BA" w:rsidP="00A56D8C">
            <w:pPr>
              <w:kinsoku w:val="0"/>
              <w:overflowPunct w:val="0"/>
              <w:spacing w:after="0" w:line="240" w:lineRule="auto"/>
              <w:ind w:right="2"/>
              <w:jc w:val="center"/>
              <w:rPr>
                <w:rFonts w:ascii="Times New Roman" w:eastAsiaTheme="minorHAnsi" w:hAnsi="Times New Roman" w:cs="Times New Roman"/>
              </w:rPr>
            </w:pPr>
            <w:r w:rsidRPr="00B34F4F">
              <w:rPr>
                <w:rFonts w:eastAsiaTheme="minorHAnsi"/>
                <w:b/>
                <w:bCs/>
                <w:spacing w:val="-1"/>
              </w:rPr>
              <w:t>Validation</w:t>
            </w:r>
            <w:r w:rsidRPr="00B34F4F">
              <w:rPr>
                <w:rFonts w:eastAsiaTheme="minorHAnsi"/>
                <w:b/>
                <w:bCs/>
                <w:spacing w:val="-17"/>
              </w:rPr>
              <w:t xml:space="preserve"> </w:t>
            </w:r>
            <w:r w:rsidRPr="00B34F4F">
              <w:rPr>
                <w:rFonts w:eastAsiaTheme="minorHAnsi"/>
                <w:b/>
                <w:bCs/>
              </w:rPr>
              <w:t>Sample</w:t>
            </w:r>
          </w:p>
        </w:tc>
        <w:tc>
          <w:tcPr>
            <w:tcW w:w="17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AECB0CB" w14:textId="77777777" w:rsidR="008027BA" w:rsidRPr="00B34F4F" w:rsidRDefault="008027BA" w:rsidP="00A56D8C">
            <w:pPr>
              <w:kinsoku w:val="0"/>
              <w:overflowPunct w:val="0"/>
              <w:spacing w:before="73" w:after="0" w:line="240" w:lineRule="auto"/>
              <w:jc w:val="center"/>
              <w:rPr>
                <w:rFonts w:eastAsiaTheme="minorHAnsi"/>
              </w:rPr>
            </w:pPr>
            <w:r w:rsidRPr="00B34F4F">
              <w:rPr>
                <w:rFonts w:eastAsiaTheme="minorHAnsi"/>
                <w:b/>
                <w:bCs/>
                <w:spacing w:val="-1"/>
              </w:rPr>
              <w:t>2009</w:t>
            </w:r>
          </w:p>
          <w:p w14:paraId="25472122" w14:textId="77777777" w:rsidR="008027BA" w:rsidRPr="00B34F4F" w:rsidRDefault="008027BA" w:rsidP="00A56D8C">
            <w:pPr>
              <w:kinsoku w:val="0"/>
              <w:overflowPunct w:val="0"/>
              <w:spacing w:after="0" w:line="240" w:lineRule="auto"/>
              <w:ind w:right="2"/>
              <w:jc w:val="center"/>
              <w:rPr>
                <w:rFonts w:ascii="Times New Roman" w:eastAsiaTheme="minorHAnsi" w:hAnsi="Times New Roman" w:cs="Times New Roman"/>
              </w:rPr>
            </w:pPr>
            <w:r w:rsidRPr="00B34F4F">
              <w:rPr>
                <w:rFonts w:eastAsiaTheme="minorHAnsi"/>
                <w:b/>
                <w:bCs/>
                <w:spacing w:val="-1"/>
              </w:rPr>
              <w:t>Validation</w:t>
            </w:r>
            <w:r w:rsidRPr="00B34F4F">
              <w:rPr>
                <w:rFonts w:eastAsiaTheme="minorHAnsi"/>
                <w:b/>
                <w:bCs/>
                <w:spacing w:val="-17"/>
              </w:rPr>
              <w:t xml:space="preserve"> </w:t>
            </w:r>
            <w:r w:rsidRPr="00B34F4F">
              <w:rPr>
                <w:rFonts w:eastAsiaTheme="minorHAnsi"/>
                <w:b/>
                <w:bCs/>
              </w:rPr>
              <w:t>Sample</w:t>
            </w:r>
          </w:p>
        </w:tc>
        <w:tc>
          <w:tcPr>
            <w:tcW w:w="180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4CED079" w14:textId="5294F401" w:rsidR="008027BA" w:rsidRPr="00685B1A" w:rsidRDefault="008027BA" w:rsidP="00A56D8C">
            <w:pPr>
              <w:kinsoku w:val="0"/>
              <w:overflowPunct w:val="0"/>
              <w:spacing w:before="73" w:after="0" w:line="240" w:lineRule="auto"/>
              <w:jc w:val="center"/>
              <w:rPr>
                <w:rFonts w:eastAsiaTheme="minorHAnsi"/>
                <w:b/>
                <w:bCs/>
                <w:spacing w:val="-1"/>
              </w:rPr>
            </w:pPr>
            <w:r w:rsidRPr="00685B1A">
              <w:rPr>
                <w:rFonts w:eastAsiaTheme="minorHAnsi"/>
                <w:b/>
                <w:bCs/>
                <w:spacing w:val="-1"/>
              </w:rPr>
              <w:t>2015</w:t>
            </w:r>
          </w:p>
          <w:p w14:paraId="7D20717E" w14:textId="77777777" w:rsidR="008027BA" w:rsidRPr="00B34F4F" w:rsidRDefault="008027BA" w:rsidP="00A56D8C">
            <w:pPr>
              <w:kinsoku w:val="0"/>
              <w:overflowPunct w:val="0"/>
              <w:spacing w:before="73" w:after="0" w:line="240" w:lineRule="auto"/>
              <w:jc w:val="center"/>
              <w:rPr>
                <w:rFonts w:eastAsiaTheme="minorHAnsi"/>
                <w:b/>
                <w:bCs/>
                <w:spacing w:val="-1"/>
              </w:rPr>
            </w:pPr>
            <w:r w:rsidRPr="00685B1A">
              <w:rPr>
                <w:rFonts w:eastAsiaTheme="minorHAnsi"/>
                <w:b/>
                <w:bCs/>
                <w:spacing w:val="-1"/>
              </w:rPr>
              <w:t>HWR Data for Public Reporting</w:t>
            </w:r>
          </w:p>
        </w:tc>
      </w:tr>
      <w:tr w:rsidR="008027BA" w:rsidRPr="00CA43C6" w14:paraId="06EE2DEF" w14:textId="77777777" w:rsidTr="00053BD7">
        <w:trPr>
          <w:cantSplit/>
          <w:trHeight w:hRule="exact" w:val="329"/>
          <w:tblHeader/>
        </w:trPr>
        <w:tc>
          <w:tcPr>
            <w:tcW w:w="2335" w:type="dxa"/>
            <w:tcBorders>
              <w:top w:val="single" w:sz="4" w:space="0" w:color="000000"/>
              <w:left w:val="single" w:sz="4" w:space="0" w:color="000000"/>
              <w:bottom w:val="single" w:sz="4" w:space="0" w:color="000000"/>
              <w:right w:val="single" w:sz="4" w:space="0" w:color="000000"/>
            </w:tcBorders>
            <w:vAlign w:val="center"/>
          </w:tcPr>
          <w:p w14:paraId="3240BC80" w14:textId="77777777" w:rsidR="008027BA" w:rsidRPr="002436FF" w:rsidRDefault="008027BA" w:rsidP="00A56D8C">
            <w:pPr>
              <w:kinsoku w:val="0"/>
              <w:overflowPunct w:val="0"/>
              <w:spacing w:after="120" w:line="259" w:lineRule="auto"/>
              <w:rPr>
                <w:rFonts w:ascii="Arial" w:eastAsiaTheme="minorHAnsi" w:hAnsi="Arial" w:cs="Arial"/>
                <w:sz w:val="20"/>
                <w:szCs w:val="20"/>
              </w:rPr>
            </w:pPr>
            <w:r w:rsidRPr="002436FF">
              <w:rPr>
                <w:rFonts w:ascii="Arial" w:eastAsiaTheme="minorHAnsi" w:hAnsi="Arial" w:cs="Arial"/>
                <w:sz w:val="20"/>
                <w:szCs w:val="20"/>
              </w:rPr>
              <w:t>Number</w:t>
            </w:r>
            <w:r w:rsidRPr="002436FF">
              <w:rPr>
                <w:rFonts w:ascii="Arial" w:eastAsiaTheme="minorHAnsi" w:hAnsi="Arial" w:cs="Arial"/>
                <w:spacing w:val="-7"/>
                <w:sz w:val="20"/>
                <w:szCs w:val="20"/>
              </w:rPr>
              <w:t xml:space="preserve"> </w:t>
            </w:r>
            <w:r w:rsidRPr="002436FF">
              <w:rPr>
                <w:rFonts w:ascii="Arial" w:eastAsiaTheme="minorHAnsi" w:hAnsi="Arial" w:cs="Arial"/>
                <w:spacing w:val="-1"/>
                <w:sz w:val="20"/>
                <w:szCs w:val="20"/>
              </w:rPr>
              <w:t>of</w:t>
            </w:r>
            <w:r w:rsidRPr="002436FF">
              <w:rPr>
                <w:rFonts w:ascii="Arial" w:eastAsiaTheme="minorHAnsi" w:hAnsi="Arial" w:cs="Arial"/>
                <w:spacing w:val="-6"/>
                <w:sz w:val="20"/>
                <w:szCs w:val="20"/>
              </w:rPr>
              <w:t xml:space="preserve"> </w:t>
            </w:r>
            <w:r w:rsidRPr="002436FF">
              <w:rPr>
                <w:rFonts w:ascii="Arial" w:eastAsiaTheme="minorHAnsi" w:hAnsi="Arial" w:cs="Arial"/>
                <w:spacing w:val="-1"/>
                <w:sz w:val="20"/>
                <w:szCs w:val="20"/>
              </w:rPr>
              <w:t>hospital</w:t>
            </w:r>
            <w:r w:rsidRPr="002436FF">
              <w:rPr>
                <w:rFonts w:ascii="Arial" w:eastAsiaTheme="minorHAnsi" w:hAnsi="Arial" w:cs="Arial"/>
                <w:spacing w:val="-7"/>
                <w:sz w:val="20"/>
                <w:szCs w:val="20"/>
              </w:rPr>
              <w:t xml:space="preserve"> </w:t>
            </w:r>
            <w:r w:rsidRPr="002436FF">
              <w:rPr>
                <w:rFonts w:ascii="Arial" w:eastAsiaTheme="minorHAnsi" w:hAnsi="Arial" w:cs="Arial"/>
                <w:spacing w:val="-1"/>
                <w:sz w:val="20"/>
                <w:szCs w:val="20"/>
              </w:rPr>
              <w:t>stays</w:t>
            </w:r>
          </w:p>
        </w:tc>
        <w:tc>
          <w:tcPr>
            <w:tcW w:w="1980" w:type="dxa"/>
            <w:tcBorders>
              <w:top w:val="single" w:sz="4" w:space="0" w:color="000000"/>
              <w:left w:val="single" w:sz="4" w:space="0" w:color="000000"/>
              <w:bottom w:val="single" w:sz="4" w:space="0" w:color="000000"/>
              <w:right w:val="single" w:sz="4" w:space="0" w:color="000000"/>
            </w:tcBorders>
            <w:vAlign w:val="center"/>
          </w:tcPr>
          <w:p w14:paraId="788C3F48" w14:textId="77777777" w:rsidR="008027BA" w:rsidRPr="002436FF" w:rsidRDefault="008027BA" w:rsidP="00A56D8C">
            <w:pPr>
              <w:kinsoku w:val="0"/>
              <w:overflowPunct w:val="0"/>
              <w:spacing w:after="120" w:line="259" w:lineRule="auto"/>
              <w:ind w:right="5"/>
              <w:jc w:val="center"/>
              <w:rPr>
                <w:rFonts w:ascii="Arial" w:eastAsiaTheme="minorHAnsi" w:hAnsi="Arial" w:cs="Arial"/>
                <w:sz w:val="20"/>
                <w:szCs w:val="20"/>
              </w:rPr>
            </w:pPr>
            <w:r w:rsidRPr="002436FF">
              <w:rPr>
                <w:rFonts w:ascii="Arial" w:eastAsiaTheme="minorHAnsi" w:hAnsi="Arial" w:cs="Arial"/>
                <w:spacing w:val="-1"/>
                <w:sz w:val="20"/>
                <w:szCs w:val="20"/>
              </w:rPr>
              <w:t>461,225</w:t>
            </w:r>
          </w:p>
        </w:tc>
        <w:tc>
          <w:tcPr>
            <w:tcW w:w="1710" w:type="dxa"/>
            <w:tcBorders>
              <w:top w:val="single" w:sz="4" w:space="0" w:color="000000"/>
              <w:left w:val="single" w:sz="4" w:space="0" w:color="000000"/>
              <w:bottom w:val="single" w:sz="4" w:space="0" w:color="000000"/>
              <w:right w:val="single" w:sz="4" w:space="0" w:color="000000"/>
            </w:tcBorders>
            <w:vAlign w:val="center"/>
          </w:tcPr>
          <w:p w14:paraId="3764A39E"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r w:rsidRPr="002436FF">
              <w:rPr>
                <w:rFonts w:ascii="Arial" w:eastAsiaTheme="minorHAnsi" w:hAnsi="Arial" w:cs="Arial"/>
                <w:spacing w:val="-1"/>
                <w:sz w:val="20"/>
                <w:szCs w:val="20"/>
              </w:rPr>
              <w:t>461,262</w:t>
            </w:r>
          </w:p>
        </w:tc>
        <w:tc>
          <w:tcPr>
            <w:tcW w:w="1710" w:type="dxa"/>
            <w:tcBorders>
              <w:top w:val="single" w:sz="4" w:space="0" w:color="000000"/>
              <w:left w:val="single" w:sz="4" w:space="0" w:color="000000"/>
              <w:bottom w:val="single" w:sz="4" w:space="0" w:color="000000"/>
              <w:right w:val="single" w:sz="4" w:space="0" w:color="000000"/>
            </w:tcBorders>
            <w:vAlign w:val="center"/>
          </w:tcPr>
          <w:p w14:paraId="2AE5C4FC"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r w:rsidRPr="002436FF">
              <w:rPr>
                <w:rFonts w:ascii="Arial" w:eastAsiaTheme="minorHAnsi" w:hAnsi="Arial" w:cs="Arial"/>
                <w:spacing w:val="-1"/>
                <w:sz w:val="20"/>
                <w:szCs w:val="20"/>
              </w:rPr>
              <w:t>452,743</w:t>
            </w:r>
          </w:p>
        </w:tc>
        <w:tc>
          <w:tcPr>
            <w:tcW w:w="1800" w:type="dxa"/>
            <w:tcBorders>
              <w:top w:val="single" w:sz="4" w:space="0" w:color="000000"/>
              <w:left w:val="single" w:sz="4" w:space="0" w:color="000000"/>
              <w:bottom w:val="single" w:sz="4" w:space="0" w:color="000000"/>
              <w:right w:val="single" w:sz="4" w:space="0" w:color="000000"/>
            </w:tcBorders>
            <w:vAlign w:val="center"/>
          </w:tcPr>
          <w:p w14:paraId="4BC2B031" w14:textId="77777777" w:rsidR="008027BA" w:rsidRPr="002436FF" w:rsidRDefault="008027BA" w:rsidP="00A56D8C">
            <w:pPr>
              <w:kinsoku w:val="0"/>
              <w:overflowPunct w:val="0"/>
              <w:spacing w:after="120" w:line="259" w:lineRule="auto"/>
              <w:jc w:val="center"/>
              <w:rPr>
                <w:rFonts w:ascii="Arial" w:eastAsiaTheme="minorHAnsi" w:hAnsi="Arial" w:cs="Arial"/>
                <w:spacing w:val="-1"/>
                <w:sz w:val="20"/>
                <w:szCs w:val="20"/>
              </w:rPr>
            </w:pPr>
            <w:r w:rsidRPr="00784051">
              <w:rPr>
                <w:rFonts w:eastAsiaTheme="minorHAnsi"/>
                <w:spacing w:val="-1"/>
              </w:rPr>
              <w:t>432,573</w:t>
            </w:r>
          </w:p>
        </w:tc>
      </w:tr>
      <w:tr w:rsidR="008027BA" w:rsidRPr="00CA43C6" w14:paraId="5B34FACB" w14:textId="77777777" w:rsidTr="00053BD7">
        <w:trPr>
          <w:cantSplit/>
          <w:trHeight w:hRule="exact" w:val="326"/>
          <w:tblHeader/>
        </w:trPr>
        <w:tc>
          <w:tcPr>
            <w:tcW w:w="2335" w:type="dxa"/>
            <w:tcBorders>
              <w:top w:val="single" w:sz="4" w:space="0" w:color="000000"/>
              <w:left w:val="single" w:sz="4" w:space="0" w:color="000000"/>
              <w:bottom w:val="single" w:sz="4" w:space="0" w:color="000000"/>
              <w:right w:val="single" w:sz="4" w:space="0" w:color="000000"/>
            </w:tcBorders>
            <w:vAlign w:val="center"/>
          </w:tcPr>
          <w:p w14:paraId="7A64CD0A" w14:textId="77777777" w:rsidR="008027BA" w:rsidRPr="002436FF" w:rsidRDefault="008027BA" w:rsidP="00A56D8C">
            <w:pPr>
              <w:kinsoku w:val="0"/>
              <w:overflowPunct w:val="0"/>
              <w:spacing w:after="120" w:line="259" w:lineRule="auto"/>
              <w:rPr>
                <w:rFonts w:ascii="Arial" w:eastAsiaTheme="minorHAnsi" w:hAnsi="Arial" w:cs="Arial"/>
                <w:sz w:val="20"/>
                <w:szCs w:val="20"/>
              </w:rPr>
            </w:pPr>
            <w:r w:rsidRPr="002436FF">
              <w:rPr>
                <w:rFonts w:ascii="Arial" w:eastAsiaTheme="minorHAnsi" w:hAnsi="Arial" w:cs="Arial"/>
                <w:sz w:val="20"/>
                <w:szCs w:val="20"/>
              </w:rPr>
              <w:t>Number</w:t>
            </w:r>
            <w:r w:rsidRPr="002436FF">
              <w:rPr>
                <w:rFonts w:ascii="Arial" w:eastAsiaTheme="minorHAnsi" w:hAnsi="Arial" w:cs="Arial"/>
                <w:spacing w:val="-9"/>
                <w:sz w:val="20"/>
                <w:szCs w:val="20"/>
              </w:rPr>
              <w:t xml:space="preserve"> </w:t>
            </w:r>
            <w:r w:rsidRPr="002436FF">
              <w:rPr>
                <w:rFonts w:ascii="Arial" w:eastAsiaTheme="minorHAnsi" w:hAnsi="Arial" w:cs="Arial"/>
                <w:spacing w:val="-1"/>
                <w:sz w:val="20"/>
                <w:szCs w:val="20"/>
              </w:rPr>
              <w:t>of</w:t>
            </w:r>
            <w:r w:rsidRPr="002436FF">
              <w:rPr>
                <w:rFonts w:ascii="Arial" w:eastAsiaTheme="minorHAnsi" w:hAnsi="Arial" w:cs="Arial"/>
                <w:spacing w:val="-7"/>
                <w:sz w:val="20"/>
                <w:szCs w:val="20"/>
              </w:rPr>
              <w:t xml:space="preserve"> </w:t>
            </w:r>
            <w:r w:rsidRPr="002436FF">
              <w:rPr>
                <w:rFonts w:ascii="Arial" w:eastAsiaTheme="minorHAnsi" w:hAnsi="Arial" w:cs="Arial"/>
                <w:spacing w:val="-1"/>
                <w:sz w:val="20"/>
                <w:szCs w:val="20"/>
              </w:rPr>
              <w:t>hospitals</w:t>
            </w:r>
          </w:p>
        </w:tc>
        <w:tc>
          <w:tcPr>
            <w:tcW w:w="1980" w:type="dxa"/>
            <w:tcBorders>
              <w:top w:val="single" w:sz="4" w:space="0" w:color="000000"/>
              <w:left w:val="single" w:sz="4" w:space="0" w:color="000000"/>
              <w:bottom w:val="single" w:sz="4" w:space="0" w:color="000000"/>
              <w:right w:val="single" w:sz="4" w:space="0" w:color="000000"/>
            </w:tcBorders>
            <w:vAlign w:val="center"/>
          </w:tcPr>
          <w:p w14:paraId="081AE0B6" w14:textId="77777777" w:rsidR="008027BA" w:rsidRPr="002436FF" w:rsidRDefault="008027BA" w:rsidP="00A56D8C">
            <w:pPr>
              <w:kinsoku w:val="0"/>
              <w:overflowPunct w:val="0"/>
              <w:spacing w:after="120" w:line="259" w:lineRule="auto"/>
              <w:ind w:right="5"/>
              <w:jc w:val="center"/>
              <w:rPr>
                <w:rFonts w:ascii="Arial" w:eastAsiaTheme="minorHAnsi" w:hAnsi="Arial" w:cs="Arial"/>
                <w:sz w:val="20"/>
                <w:szCs w:val="20"/>
              </w:rPr>
            </w:pPr>
            <w:r w:rsidRPr="002436FF">
              <w:rPr>
                <w:rFonts w:ascii="Arial" w:eastAsiaTheme="minorHAnsi" w:hAnsi="Arial" w:cs="Arial"/>
                <w:spacing w:val="-1"/>
                <w:sz w:val="20"/>
                <w:szCs w:val="20"/>
              </w:rPr>
              <w:t>4,699</w:t>
            </w:r>
          </w:p>
        </w:tc>
        <w:tc>
          <w:tcPr>
            <w:tcW w:w="1710" w:type="dxa"/>
            <w:tcBorders>
              <w:top w:val="single" w:sz="4" w:space="0" w:color="000000"/>
              <w:left w:val="single" w:sz="4" w:space="0" w:color="000000"/>
              <w:bottom w:val="single" w:sz="4" w:space="0" w:color="000000"/>
              <w:right w:val="single" w:sz="4" w:space="0" w:color="000000"/>
            </w:tcBorders>
            <w:vAlign w:val="center"/>
          </w:tcPr>
          <w:p w14:paraId="0A2B6523"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r w:rsidRPr="002436FF">
              <w:rPr>
                <w:rFonts w:ascii="Arial" w:eastAsiaTheme="minorHAnsi" w:hAnsi="Arial" w:cs="Arial"/>
                <w:spacing w:val="-1"/>
                <w:sz w:val="20"/>
                <w:szCs w:val="20"/>
              </w:rPr>
              <w:t>4,686</w:t>
            </w:r>
          </w:p>
        </w:tc>
        <w:tc>
          <w:tcPr>
            <w:tcW w:w="1710" w:type="dxa"/>
            <w:tcBorders>
              <w:top w:val="single" w:sz="4" w:space="0" w:color="000000"/>
              <w:left w:val="single" w:sz="4" w:space="0" w:color="000000"/>
              <w:bottom w:val="single" w:sz="4" w:space="0" w:color="000000"/>
              <w:right w:val="single" w:sz="4" w:space="0" w:color="000000"/>
            </w:tcBorders>
            <w:vAlign w:val="center"/>
          </w:tcPr>
          <w:p w14:paraId="3DD399FA"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r w:rsidRPr="002436FF">
              <w:rPr>
                <w:rFonts w:ascii="Arial" w:eastAsiaTheme="minorHAnsi" w:hAnsi="Arial" w:cs="Arial"/>
                <w:spacing w:val="-1"/>
                <w:sz w:val="20"/>
                <w:szCs w:val="20"/>
              </w:rPr>
              <w:t>4,609</w:t>
            </w:r>
          </w:p>
        </w:tc>
        <w:tc>
          <w:tcPr>
            <w:tcW w:w="1800" w:type="dxa"/>
            <w:tcBorders>
              <w:top w:val="single" w:sz="4" w:space="0" w:color="000000"/>
              <w:left w:val="single" w:sz="4" w:space="0" w:color="000000"/>
              <w:bottom w:val="single" w:sz="4" w:space="0" w:color="000000"/>
              <w:right w:val="single" w:sz="4" w:space="0" w:color="000000"/>
            </w:tcBorders>
            <w:vAlign w:val="center"/>
          </w:tcPr>
          <w:p w14:paraId="79C6D060" w14:textId="77777777" w:rsidR="008027BA" w:rsidRPr="002436FF" w:rsidRDefault="008027BA" w:rsidP="00A56D8C">
            <w:pPr>
              <w:kinsoku w:val="0"/>
              <w:overflowPunct w:val="0"/>
              <w:spacing w:after="120" w:line="259" w:lineRule="auto"/>
              <w:jc w:val="center"/>
              <w:rPr>
                <w:rFonts w:ascii="Arial" w:eastAsiaTheme="minorHAnsi" w:hAnsi="Arial" w:cs="Arial"/>
                <w:spacing w:val="-1"/>
                <w:sz w:val="20"/>
                <w:szCs w:val="20"/>
              </w:rPr>
            </w:pPr>
            <w:r w:rsidRPr="00784051">
              <w:rPr>
                <w:rFonts w:eastAsiaTheme="minorHAnsi"/>
                <w:spacing w:val="-1"/>
              </w:rPr>
              <w:t>4,426</w:t>
            </w:r>
          </w:p>
        </w:tc>
      </w:tr>
      <w:tr w:rsidR="008027BA" w:rsidRPr="00CA43C6" w14:paraId="6908DAEB" w14:textId="77777777" w:rsidTr="00053BD7">
        <w:trPr>
          <w:cantSplit/>
          <w:trHeight w:hRule="exact" w:val="508"/>
          <w:tblHeader/>
        </w:trPr>
        <w:tc>
          <w:tcPr>
            <w:tcW w:w="2335" w:type="dxa"/>
            <w:tcBorders>
              <w:top w:val="single" w:sz="4" w:space="0" w:color="000000"/>
              <w:left w:val="single" w:sz="4" w:space="0" w:color="000000"/>
              <w:bottom w:val="single" w:sz="4" w:space="0" w:color="000000"/>
              <w:right w:val="single" w:sz="4" w:space="0" w:color="000000"/>
            </w:tcBorders>
            <w:vAlign w:val="center"/>
          </w:tcPr>
          <w:p w14:paraId="1A862AC5" w14:textId="77777777" w:rsidR="008027BA" w:rsidRPr="002436FF" w:rsidRDefault="008027BA" w:rsidP="00A56D8C">
            <w:pPr>
              <w:kinsoku w:val="0"/>
              <w:overflowPunct w:val="0"/>
              <w:spacing w:after="120" w:line="259" w:lineRule="auto"/>
              <w:rPr>
                <w:rFonts w:ascii="Arial" w:eastAsiaTheme="minorHAnsi" w:hAnsi="Arial" w:cs="Arial"/>
                <w:sz w:val="20"/>
                <w:szCs w:val="20"/>
              </w:rPr>
            </w:pPr>
            <w:r w:rsidRPr="002436FF">
              <w:rPr>
                <w:rFonts w:ascii="Arial" w:eastAsiaTheme="minorHAnsi" w:hAnsi="Arial" w:cs="Arial"/>
                <w:spacing w:val="-1"/>
                <w:sz w:val="20"/>
                <w:szCs w:val="20"/>
              </w:rPr>
              <w:t>Unadjusted</w:t>
            </w:r>
            <w:r w:rsidRPr="002436FF">
              <w:rPr>
                <w:rFonts w:ascii="Arial" w:eastAsiaTheme="minorHAnsi" w:hAnsi="Arial" w:cs="Arial"/>
                <w:spacing w:val="-14"/>
                <w:sz w:val="20"/>
                <w:szCs w:val="20"/>
              </w:rPr>
              <w:t xml:space="preserve"> </w:t>
            </w:r>
            <w:r w:rsidRPr="002436FF">
              <w:rPr>
                <w:rFonts w:ascii="Arial" w:eastAsiaTheme="minorHAnsi" w:hAnsi="Arial" w:cs="Arial"/>
                <w:sz w:val="20"/>
                <w:szCs w:val="20"/>
              </w:rPr>
              <w:t>readmission</w:t>
            </w:r>
            <w:r w:rsidRPr="002436FF">
              <w:rPr>
                <w:rFonts w:ascii="Arial" w:eastAsiaTheme="minorHAnsi" w:hAnsi="Arial" w:cs="Arial"/>
                <w:spacing w:val="-13"/>
                <w:sz w:val="20"/>
                <w:szCs w:val="20"/>
              </w:rPr>
              <w:t xml:space="preserve"> </w:t>
            </w:r>
            <w:r w:rsidRPr="002436FF">
              <w:rPr>
                <w:rFonts w:ascii="Arial" w:eastAsiaTheme="minorHAnsi" w:hAnsi="Arial" w:cs="Arial"/>
                <w:spacing w:val="-1"/>
                <w:sz w:val="20"/>
                <w:szCs w:val="20"/>
              </w:rPr>
              <w:t>rate</w:t>
            </w:r>
          </w:p>
        </w:tc>
        <w:tc>
          <w:tcPr>
            <w:tcW w:w="1980" w:type="dxa"/>
            <w:tcBorders>
              <w:top w:val="single" w:sz="4" w:space="0" w:color="000000"/>
              <w:left w:val="single" w:sz="4" w:space="0" w:color="000000"/>
              <w:bottom w:val="single" w:sz="4" w:space="0" w:color="000000"/>
              <w:right w:val="single" w:sz="4" w:space="0" w:color="000000"/>
            </w:tcBorders>
            <w:vAlign w:val="center"/>
          </w:tcPr>
          <w:p w14:paraId="2823860F" w14:textId="77777777" w:rsidR="008027BA" w:rsidRPr="002436FF" w:rsidRDefault="008027BA" w:rsidP="00A56D8C">
            <w:pPr>
              <w:kinsoku w:val="0"/>
              <w:overflowPunct w:val="0"/>
              <w:spacing w:after="120" w:line="259" w:lineRule="auto"/>
              <w:ind w:right="8"/>
              <w:jc w:val="center"/>
              <w:rPr>
                <w:rFonts w:ascii="Arial" w:eastAsiaTheme="minorHAnsi" w:hAnsi="Arial" w:cs="Arial"/>
                <w:sz w:val="20"/>
                <w:szCs w:val="20"/>
              </w:rPr>
            </w:pPr>
            <w:r w:rsidRPr="002436FF">
              <w:rPr>
                <w:rFonts w:ascii="Arial" w:eastAsiaTheme="minorHAnsi" w:hAnsi="Arial" w:cs="Arial"/>
                <w:spacing w:val="-1"/>
                <w:sz w:val="20"/>
                <w:szCs w:val="20"/>
              </w:rPr>
              <w:t>14.7%</w:t>
            </w:r>
          </w:p>
        </w:tc>
        <w:tc>
          <w:tcPr>
            <w:tcW w:w="1710" w:type="dxa"/>
            <w:tcBorders>
              <w:top w:val="single" w:sz="4" w:space="0" w:color="000000"/>
              <w:left w:val="single" w:sz="4" w:space="0" w:color="000000"/>
              <w:bottom w:val="single" w:sz="4" w:space="0" w:color="000000"/>
              <w:right w:val="single" w:sz="4" w:space="0" w:color="000000"/>
            </w:tcBorders>
            <w:vAlign w:val="center"/>
          </w:tcPr>
          <w:p w14:paraId="75DAB3A7" w14:textId="77777777" w:rsidR="008027BA" w:rsidRPr="002436FF" w:rsidRDefault="008027BA" w:rsidP="00A56D8C">
            <w:pPr>
              <w:kinsoku w:val="0"/>
              <w:overflowPunct w:val="0"/>
              <w:spacing w:after="120" w:line="259" w:lineRule="auto"/>
              <w:ind w:right="4"/>
              <w:jc w:val="center"/>
              <w:rPr>
                <w:rFonts w:ascii="Arial" w:eastAsiaTheme="minorHAnsi" w:hAnsi="Arial" w:cs="Arial"/>
                <w:sz w:val="20"/>
                <w:szCs w:val="20"/>
              </w:rPr>
            </w:pPr>
            <w:r w:rsidRPr="002436FF">
              <w:rPr>
                <w:rFonts w:ascii="Arial" w:eastAsiaTheme="minorHAnsi" w:hAnsi="Arial" w:cs="Arial"/>
                <w:spacing w:val="-1"/>
                <w:sz w:val="20"/>
                <w:szCs w:val="20"/>
              </w:rPr>
              <w:t>14.7%</w:t>
            </w:r>
          </w:p>
        </w:tc>
        <w:tc>
          <w:tcPr>
            <w:tcW w:w="1710" w:type="dxa"/>
            <w:tcBorders>
              <w:top w:val="single" w:sz="4" w:space="0" w:color="000000"/>
              <w:left w:val="single" w:sz="4" w:space="0" w:color="000000"/>
              <w:bottom w:val="single" w:sz="4" w:space="0" w:color="000000"/>
              <w:right w:val="single" w:sz="4" w:space="0" w:color="000000"/>
            </w:tcBorders>
            <w:vAlign w:val="center"/>
          </w:tcPr>
          <w:p w14:paraId="622B1570" w14:textId="77777777" w:rsidR="008027BA" w:rsidRPr="002436FF" w:rsidRDefault="008027BA" w:rsidP="00A56D8C">
            <w:pPr>
              <w:kinsoku w:val="0"/>
              <w:overflowPunct w:val="0"/>
              <w:spacing w:after="120" w:line="259" w:lineRule="auto"/>
              <w:ind w:right="4"/>
              <w:jc w:val="center"/>
              <w:rPr>
                <w:rFonts w:ascii="Arial" w:eastAsiaTheme="minorHAnsi" w:hAnsi="Arial" w:cs="Arial"/>
                <w:sz w:val="20"/>
                <w:szCs w:val="20"/>
              </w:rPr>
            </w:pPr>
            <w:r w:rsidRPr="002436FF">
              <w:rPr>
                <w:rFonts w:ascii="Arial" w:eastAsiaTheme="minorHAnsi" w:hAnsi="Arial" w:cs="Arial"/>
                <w:spacing w:val="-1"/>
                <w:sz w:val="20"/>
                <w:szCs w:val="20"/>
              </w:rPr>
              <w:t>14.6%</w:t>
            </w:r>
          </w:p>
        </w:tc>
        <w:tc>
          <w:tcPr>
            <w:tcW w:w="1800" w:type="dxa"/>
            <w:tcBorders>
              <w:top w:val="single" w:sz="4" w:space="0" w:color="000000"/>
              <w:left w:val="single" w:sz="4" w:space="0" w:color="000000"/>
              <w:bottom w:val="single" w:sz="4" w:space="0" w:color="000000"/>
              <w:right w:val="single" w:sz="4" w:space="0" w:color="000000"/>
            </w:tcBorders>
            <w:vAlign w:val="center"/>
          </w:tcPr>
          <w:p w14:paraId="29E248A0" w14:textId="77777777" w:rsidR="008027BA" w:rsidRPr="002436FF" w:rsidRDefault="008027BA" w:rsidP="00A56D8C">
            <w:pPr>
              <w:kinsoku w:val="0"/>
              <w:overflowPunct w:val="0"/>
              <w:spacing w:after="120" w:line="259" w:lineRule="auto"/>
              <w:ind w:right="4"/>
              <w:jc w:val="center"/>
              <w:rPr>
                <w:rFonts w:ascii="Arial" w:eastAsiaTheme="minorHAnsi" w:hAnsi="Arial" w:cs="Arial"/>
                <w:spacing w:val="-1"/>
                <w:sz w:val="20"/>
                <w:szCs w:val="20"/>
              </w:rPr>
            </w:pPr>
            <w:r w:rsidRPr="00784051">
              <w:rPr>
                <w:rFonts w:eastAsiaTheme="minorHAnsi"/>
                <w:spacing w:val="-1"/>
              </w:rPr>
              <w:t>13.1%</w:t>
            </w:r>
          </w:p>
        </w:tc>
      </w:tr>
      <w:tr w:rsidR="008027BA" w:rsidRPr="00CA43C6" w14:paraId="71814D62" w14:textId="77777777" w:rsidTr="00053BD7">
        <w:trPr>
          <w:cantSplit/>
          <w:trHeight w:hRule="exact" w:val="1086"/>
          <w:tblHeader/>
        </w:trPr>
        <w:tc>
          <w:tcPr>
            <w:tcW w:w="2335" w:type="dxa"/>
            <w:tcBorders>
              <w:top w:val="single" w:sz="4" w:space="0" w:color="000000"/>
              <w:left w:val="single" w:sz="4" w:space="0" w:color="000000"/>
              <w:bottom w:val="single" w:sz="4" w:space="0" w:color="000000"/>
              <w:right w:val="single" w:sz="4" w:space="0" w:color="000000"/>
            </w:tcBorders>
            <w:vAlign w:val="center"/>
          </w:tcPr>
          <w:p w14:paraId="13C35D70" w14:textId="77777777" w:rsidR="008027BA" w:rsidRPr="002436FF" w:rsidRDefault="008027BA" w:rsidP="00A56D8C">
            <w:pPr>
              <w:kinsoku w:val="0"/>
              <w:overflowPunct w:val="0"/>
              <w:spacing w:after="120" w:line="259" w:lineRule="auto"/>
              <w:ind w:right="404"/>
              <w:rPr>
                <w:rFonts w:ascii="Arial" w:eastAsiaTheme="minorHAnsi" w:hAnsi="Arial" w:cs="Arial"/>
                <w:sz w:val="20"/>
                <w:szCs w:val="20"/>
              </w:rPr>
            </w:pPr>
            <w:r w:rsidRPr="002436FF">
              <w:rPr>
                <w:rFonts w:ascii="Arial" w:eastAsiaTheme="minorHAnsi" w:hAnsi="Arial" w:cs="Arial"/>
                <w:spacing w:val="-1"/>
                <w:sz w:val="20"/>
                <w:szCs w:val="20"/>
              </w:rPr>
              <w:t>Discrimination</w:t>
            </w:r>
            <w:r w:rsidRPr="002436FF">
              <w:rPr>
                <w:rFonts w:ascii="Arial" w:eastAsiaTheme="minorHAnsi" w:hAnsi="Arial" w:cs="Arial"/>
                <w:spacing w:val="-23"/>
                <w:sz w:val="20"/>
                <w:szCs w:val="20"/>
              </w:rPr>
              <w:t xml:space="preserve"> </w:t>
            </w:r>
            <w:r w:rsidRPr="002436FF">
              <w:rPr>
                <w:rFonts w:ascii="Arial" w:eastAsiaTheme="minorHAnsi" w:hAnsi="Arial" w:cs="Arial"/>
                <w:sz w:val="20"/>
                <w:szCs w:val="20"/>
              </w:rPr>
              <w:t>-Predictive</w:t>
            </w:r>
            <w:r w:rsidRPr="002436FF">
              <w:rPr>
                <w:rFonts w:ascii="Arial" w:eastAsiaTheme="minorHAnsi" w:hAnsi="Arial" w:cs="Arial"/>
                <w:spacing w:val="26"/>
                <w:w w:val="99"/>
                <w:sz w:val="20"/>
                <w:szCs w:val="20"/>
              </w:rPr>
              <w:t xml:space="preserve"> </w:t>
            </w:r>
            <w:r w:rsidRPr="002436FF">
              <w:rPr>
                <w:rFonts w:ascii="Arial" w:eastAsiaTheme="minorHAnsi" w:hAnsi="Arial" w:cs="Arial"/>
                <w:sz w:val="20"/>
                <w:szCs w:val="20"/>
              </w:rPr>
              <w:t>Ability</w:t>
            </w:r>
            <w:r w:rsidRPr="002436FF">
              <w:rPr>
                <w:rFonts w:ascii="Arial" w:eastAsiaTheme="minorHAnsi" w:hAnsi="Arial" w:cs="Arial"/>
                <w:spacing w:val="-11"/>
                <w:sz w:val="20"/>
                <w:szCs w:val="20"/>
              </w:rPr>
              <w:t xml:space="preserve"> </w:t>
            </w:r>
            <w:r w:rsidRPr="002436FF">
              <w:rPr>
                <w:rFonts w:ascii="Arial" w:eastAsiaTheme="minorHAnsi" w:hAnsi="Arial" w:cs="Arial"/>
                <w:sz w:val="20"/>
                <w:szCs w:val="20"/>
              </w:rPr>
              <w:t>(lowest</w:t>
            </w:r>
            <w:r w:rsidRPr="002436FF">
              <w:rPr>
                <w:rFonts w:ascii="Arial" w:eastAsiaTheme="minorHAnsi" w:hAnsi="Arial" w:cs="Arial"/>
                <w:spacing w:val="-7"/>
                <w:sz w:val="20"/>
                <w:szCs w:val="20"/>
              </w:rPr>
              <w:t xml:space="preserve"> </w:t>
            </w:r>
            <w:r w:rsidRPr="002436FF">
              <w:rPr>
                <w:rFonts w:ascii="Arial" w:eastAsiaTheme="minorHAnsi" w:hAnsi="Arial" w:cs="Arial"/>
                <w:spacing w:val="-1"/>
                <w:sz w:val="20"/>
                <w:szCs w:val="20"/>
              </w:rPr>
              <w:t>decile</w:t>
            </w:r>
            <w:r w:rsidRPr="002436FF">
              <w:rPr>
                <w:rFonts w:ascii="Arial" w:eastAsiaTheme="minorHAnsi" w:hAnsi="Arial" w:cs="Arial"/>
                <w:spacing w:val="-6"/>
                <w:sz w:val="20"/>
                <w:szCs w:val="20"/>
              </w:rPr>
              <w:t xml:space="preserve"> </w:t>
            </w:r>
            <w:r w:rsidRPr="002436FF">
              <w:rPr>
                <w:rFonts w:ascii="Arial" w:eastAsiaTheme="minorHAnsi" w:hAnsi="Arial" w:cs="Arial"/>
                <w:sz w:val="20"/>
                <w:szCs w:val="20"/>
              </w:rPr>
              <w:t>%,</w:t>
            </w:r>
            <w:r w:rsidRPr="002436FF">
              <w:rPr>
                <w:rFonts w:ascii="Arial" w:eastAsiaTheme="minorHAnsi" w:hAnsi="Arial" w:cs="Arial"/>
                <w:spacing w:val="30"/>
                <w:w w:val="99"/>
                <w:sz w:val="20"/>
                <w:szCs w:val="20"/>
              </w:rPr>
              <w:t xml:space="preserve"> </w:t>
            </w:r>
            <w:r w:rsidRPr="002436FF">
              <w:rPr>
                <w:rFonts w:ascii="Arial" w:eastAsiaTheme="minorHAnsi" w:hAnsi="Arial" w:cs="Arial"/>
                <w:spacing w:val="-1"/>
                <w:sz w:val="20"/>
                <w:szCs w:val="20"/>
              </w:rPr>
              <w:t>highest</w:t>
            </w:r>
            <w:r w:rsidRPr="002436FF">
              <w:rPr>
                <w:rFonts w:ascii="Arial" w:eastAsiaTheme="minorHAnsi" w:hAnsi="Arial" w:cs="Arial"/>
                <w:spacing w:val="-9"/>
                <w:sz w:val="20"/>
                <w:szCs w:val="20"/>
              </w:rPr>
              <w:t xml:space="preserve"> </w:t>
            </w:r>
            <w:r w:rsidRPr="002436FF">
              <w:rPr>
                <w:rFonts w:ascii="Arial" w:eastAsiaTheme="minorHAnsi" w:hAnsi="Arial" w:cs="Arial"/>
                <w:sz w:val="20"/>
                <w:szCs w:val="20"/>
              </w:rPr>
              <w:t>decile</w:t>
            </w:r>
            <w:r w:rsidRPr="002436FF">
              <w:rPr>
                <w:rFonts w:ascii="Arial" w:eastAsiaTheme="minorHAnsi" w:hAnsi="Arial" w:cs="Arial"/>
                <w:spacing w:val="-8"/>
                <w:sz w:val="20"/>
                <w:szCs w:val="20"/>
              </w:rPr>
              <w:t xml:space="preserve"> </w:t>
            </w:r>
            <w:r w:rsidRPr="002436FF">
              <w:rPr>
                <w:rFonts w:ascii="Arial" w:eastAsiaTheme="minorHAnsi" w:hAnsi="Arial" w:cs="Arial"/>
                <w:sz w:val="20"/>
                <w:szCs w:val="20"/>
              </w:rPr>
              <w:t>%)</w:t>
            </w:r>
          </w:p>
        </w:tc>
        <w:tc>
          <w:tcPr>
            <w:tcW w:w="1980" w:type="dxa"/>
            <w:tcBorders>
              <w:top w:val="single" w:sz="4" w:space="0" w:color="000000"/>
              <w:left w:val="single" w:sz="4" w:space="0" w:color="000000"/>
              <w:bottom w:val="single" w:sz="4" w:space="0" w:color="000000"/>
              <w:right w:val="single" w:sz="4" w:space="0" w:color="000000"/>
            </w:tcBorders>
            <w:vAlign w:val="center"/>
          </w:tcPr>
          <w:p w14:paraId="48E45306" w14:textId="4969B59D" w:rsidR="008027BA" w:rsidRPr="002436FF" w:rsidRDefault="008027BA" w:rsidP="00053BD7">
            <w:pPr>
              <w:kinsoku w:val="0"/>
              <w:overflowPunct w:val="0"/>
              <w:spacing w:after="120" w:line="259" w:lineRule="auto"/>
              <w:rPr>
                <w:rFonts w:ascii="Arial" w:eastAsiaTheme="minorHAnsi" w:hAnsi="Arial" w:cs="Arial"/>
                <w:sz w:val="20"/>
                <w:szCs w:val="20"/>
              </w:rPr>
            </w:pPr>
          </w:p>
          <w:p w14:paraId="7A51F600" w14:textId="77777777" w:rsidR="008027BA" w:rsidRPr="002436FF" w:rsidRDefault="008027BA" w:rsidP="00A56D8C">
            <w:pPr>
              <w:kinsoku w:val="0"/>
              <w:overflowPunct w:val="0"/>
              <w:spacing w:after="120" w:line="259" w:lineRule="auto"/>
              <w:ind w:right="5"/>
              <w:jc w:val="center"/>
              <w:rPr>
                <w:rFonts w:ascii="Arial" w:eastAsiaTheme="minorHAnsi" w:hAnsi="Arial" w:cs="Arial"/>
                <w:sz w:val="20"/>
                <w:szCs w:val="20"/>
              </w:rPr>
            </w:pPr>
            <w:r w:rsidRPr="002436FF">
              <w:rPr>
                <w:rFonts w:ascii="Arial" w:eastAsiaTheme="minorHAnsi" w:hAnsi="Arial" w:cs="Arial"/>
                <w:sz w:val="20"/>
                <w:szCs w:val="20"/>
              </w:rPr>
              <w:t>8</w:t>
            </w:r>
            <w:r w:rsidRPr="002436FF">
              <w:rPr>
                <w:rFonts w:ascii="Arial" w:eastAsiaTheme="minorHAnsi" w:hAnsi="Arial" w:cs="Arial"/>
                <w:spacing w:val="-4"/>
                <w:sz w:val="20"/>
                <w:szCs w:val="20"/>
              </w:rPr>
              <w:t xml:space="preserve"> </w:t>
            </w:r>
            <w:r w:rsidRPr="002436FF">
              <w:rPr>
                <w:rFonts w:ascii="Arial" w:eastAsiaTheme="minorHAnsi" w:hAnsi="Arial" w:cs="Arial"/>
                <w:sz w:val="20"/>
                <w:szCs w:val="20"/>
              </w:rPr>
              <w:t>–</w:t>
            </w:r>
            <w:r w:rsidRPr="002436FF">
              <w:rPr>
                <w:rFonts w:ascii="Arial" w:eastAsiaTheme="minorHAnsi" w:hAnsi="Arial" w:cs="Arial"/>
                <w:spacing w:val="-3"/>
                <w:sz w:val="20"/>
                <w:szCs w:val="20"/>
              </w:rPr>
              <w:t xml:space="preserve"> </w:t>
            </w:r>
            <w:r w:rsidRPr="002436FF">
              <w:rPr>
                <w:rFonts w:ascii="Arial" w:eastAsiaTheme="minorHAnsi" w:hAnsi="Arial" w:cs="Arial"/>
                <w:spacing w:val="2"/>
                <w:sz w:val="20"/>
                <w:szCs w:val="20"/>
              </w:rPr>
              <w:t>27</w:t>
            </w:r>
          </w:p>
        </w:tc>
        <w:tc>
          <w:tcPr>
            <w:tcW w:w="1710" w:type="dxa"/>
            <w:tcBorders>
              <w:top w:val="single" w:sz="4" w:space="0" w:color="000000"/>
              <w:left w:val="single" w:sz="4" w:space="0" w:color="000000"/>
              <w:bottom w:val="single" w:sz="4" w:space="0" w:color="000000"/>
              <w:right w:val="single" w:sz="4" w:space="0" w:color="000000"/>
            </w:tcBorders>
            <w:vAlign w:val="center"/>
          </w:tcPr>
          <w:p w14:paraId="355762A0" w14:textId="5991402D" w:rsidR="008027BA" w:rsidRPr="002436FF" w:rsidRDefault="008027BA" w:rsidP="00053BD7">
            <w:pPr>
              <w:kinsoku w:val="0"/>
              <w:overflowPunct w:val="0"/>
              <w:spacing w:after="120" w:line="259" w:lineRule="auto"/>
              <w:rPr>
                <w:rFonts w:ascii="Arial" w:eastAsiaTheme="minorHAnsi" w:hAnsi="Arial" w:cs="Arial"/>
                <w:sz w:val="20"/>
                <w:szCs w:val="20"/>
              </w:rPr>
            </w:pPr>
          </w:p>
          <w:p w14:paraId="746F5B14" w14:textId="77777777" w:rsidR="008027BA" w:rsidRPr="002436FF" w:rsidRDefault="008027BA" w:rsidP="00A56D8C">
            <w:pPr>
              <w:kinsoku w:val="0"/>
              <w:overflowPunct w:val="0"/>
              <w:spacing w:after="120" w:line="259" w:lineRule="auto"/>
              <w:ind w:right="1"/>
              <w:jc w:val="center"/>
              <w:rPr>
                <w:rFonts w:ascii="Arial" w:eastAsiaTheme="minorHAnsi" w:hAnsi="Arial" w:cs="Arial"/>
                <w:sz w:val="20"/>
                <w:szCs w:val="20"/>
              </w:rPr>
            </w:pPr>
            <w:r w:rsidRPr="002436FF">
              <w:rPr>
                <w:rFonts w:ascii="Arial" w:eastAsiaTheme="minorHAnsi" w:hAnsi="Arial" w:cs="Arial"/>
                <w:sz w:val="20"/>
                <w:szCs w:val="20"/>
              </w:rPr>
              <w:t>8</w:t>
            </w:r>
            <w:r w:rsidRPr="002436FF">
              <w:rPr>
                <w:rFonts w:ascii="Arial" w:eastAsiaTheme="minorHAnsi" w:hAnsi="Arial" w:cs="Arial"/>
                <w:spacing w:val="-4"/>
                <w:sz w:val="20"/>
                <w:szCs w:val="20"/>
              </w:rPr>
              <w:t xml:space="preserve"> </w:t>
            </w:r>
            <w:r w:rsidRPr="002436FF">
              <w:rPr>
                <w:rFonts w:ascii="Arial" w:eastAsiaTheme="minorHAnsi" w:hAnsi="Arial" w:cs="Arial"/>
                <w:sz w:val="20"/>
                <w:szCs w:val="20"/>
              </w:rPr>
              <w:t>–</w:t>
            </w:r>
            <w:r w:rsidRPr="002436FF">
              <w:rPr>
                <w:rFonts w:ascii="Arial" w:eastAsiaTheme="minorHAnsi" w:hAnsi="Arial" w:cs="Arial"/>
                <w:spacing w:val="-3"/>
                <w:sz w:val="20"/>
                <w:szCs w:val="20"/>
              </w:rPr>
              <w:t xml:space="preserve"> </w:t>
            </w:r>
            <w:r w:rsidRPr="002436FF">
              <w:rPr>
                <w:rFonts w:ascii="Arial" w:eastAsiaTheme="minorHAnsi" w:hAnsi="Arial" w:cs="Arial"/>
                <w:spacing w:val="2"/>
                <w:sz w:val="20"/>
                <w:szCs w:val="20"/>
              </w:rPr>
              <w:t>26</w:t>
            </w:r>
          </w:p>
        </w:tc>
        <w:tc>
          <w:tcPr>
            <w:tcW w:w="1710" w:type="dxa"/>
            <w:tcBorders>
              <w:top w:val="single" w:sz="4" w:space="0" w:color="000000"/>
              <w:left w:val="single" w:sz="4" w:space="0" w:color="000000"/>
              <w:bottom w:val="single" w:sz="4" w:space="0" w:color="000000"/>
              <w:right w:val="single" w:sz="4" w:space="0" w:color="000000"/>
            </w:tcBorders>
            <w:vAlign w:val="center"/>
          </w:tcPr>
          <w:p w14:paraId="6F060EFD"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p>
          <w:p w14:paraId="567A0282" w14:textId="77777777" w:rsidR="008027BA" w:rsidRPr="002436FF" w:rsidRDefault="008027BA" w:rsidP="00A56D8C">
            <w:pPr>
              <w:kinsoku w:val="0"/>
              <w:overflowPunct w:val="0"/>
              <w:spacing w:after="120" w:line="259" w:lineRule="auto"/>
              <w:ind w:right="1"/>
              <w:jc w:val="center"/>
              <w:rPr>
                <w:rFonts w:ascii="Arial" w:eastAsiaTheme="minorHAnsi" w:hAnsi="Arial" w:cs="Arial"/>
                <w:sz w:val="20"/>
                <w:szCs w:val="20"/>
              </w:rPr>
            </w:pPr>
            <w:r w:rsidRPr="002436FF">
              <w:rPr>
                <w:rFonts w:ascii="Arial" w:eastAsiaTheme="minorHAnsi" w:hAnsi="Arial" w:cs="Arial"/>
                <w:sz w:val="20"/>
                <w:szCs w:val="20"/>
              </w:rPr>
              <w:t>6</w:t>
            </w:r>
            <w:r w:rsidRPr="002436FF">
              <w:rPr>
                <w:rFonts w:ascii="Arial" w:eastAsiaTheme="minorHAnsi" w:hAnsi="Arial" w:cs="Arial"/>
                <w:spacing w:val="-4"/>
                <w:sz w:val="20"/>
                <w:szCs w:val="20"/>
              </w:rPr>
              <w:t xml:space="preserve"> </w:t>
            </w:r>
            <w:r w:rsidRPr="002436FF">
              <w:rPr>
                <w:rFonts w:ascii="Arial" w:eastAsiaTheme="minorHAnsi" w:hAnsi="Arial" w:cs="Arial"/>
                <w:sz w:val="20"/>
                <w:szCs w:val="20"/>
              </w:rPr>
              <w:t>–</w:t>
            </w:r>
            <w:r w:rsidRPr="002436FF">
              <w:rPr>
                <w:rFonts w:ascii="Arial" w:eastAsiaTheme="minorHAnsi" w:hAnsi="Arial" w:cs="Arial"/>
                <w:spacing w:val="-3"/>
                <w:sz w:val="20"/>
                <w:szCs w:val="20"/>
              </w:rPr>
              <w:t xml:space="preserve"> </w:t>
            </w:r>
            <w:r w:rsidRPr="002436FF">
              <w:rPr>
                <w:rFonts w:ascii="Arial" w:eastAsiaTheme="minorHAnsi" w:hAnsi="Arial" w:cs="Arial"/>
                <w:spacing w:val="2"/>
                <w:sz w:val="20"/>
                <w:szCs w:val="20"/>
              </w:rPr>
              <w:t>29</w:t>
            </w:r>
          </w:p>
        </w:tc>
        <w:tc>
          <w:tcPr>
            <w:tcW w:w="1800" w:type="dxa"/>
            <w:tcBorders>
              <w:top w:val="single" w:sz="4" w:space="0" w:color="000000"/>
              <w:left w:val="single" w:sz="4" w:space="0" w:color="000000"/>
              <w:bottom w:val="single" w:sz="4" w:space="0" w:color="000000"/>
              <w:right w:val="single" w:sz="4" w:space="0" w:color="000000"/>
            </w:tcBorders>
            <w:vAlign w:val="center"/>
          </w:tcPr>
          <w:p w14:paraId="21BF2625" w14:textId="77777777" w:rsidR="008027BA" w:rsidRDefault="008027BA" w:rsidP="00A56D8C">
            <w:pPr>
              <w:kinsoku w:val="0"/>
              <w:overflowPunct w:val="0"/>
              <w:spacing w:before="5" w:after="120" w:line="259" w:lineRule="auto"/>
              <w:jc w:val="center"/>
              <w:rPr>
                <w:rFonts w:eastAsiaTheme="minorHAnsi"/>
                <w:sz w:val="20"/>
              </w:rPr>
            </w:pPr>
          </w:p>
          <w:p w14:paraId="3D272904" w14:textId="77777777" w:rsidR="008027BA" w:rsidRPr="00784051" w:rsidRDefault="008027BA" w:rsidP="00A56D8C">
            <w:pPr>
              <w:kinsoku w:val="0"/>
              <w:overflowPunct w:val="0"/>
              <w:spacing w:before="5" w:after="120" w:line="259" w:lineRule="auto"/>
              <w:jc w:val="center"/>
              <w:rPr>
                <w:rFonts w:eastAsiaTheme="minorHAnsi"/>
              </w:rPr>
            </w:pPr>
            <w:r w:rsidRPr="00784051">
              <w:rPr>
                <w:rFonts w:eastAsiaTheme="minorHAnsi"/>
              </w:rPr>
              <w:t>8-26</w:t>
            </w:r>
          </w:p>
          <w:p w14:paraId="225D548C"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p>
        </w:tc>
      </w:tr>
      <w:tr w:rsidR="008027BA" w:rsidRPr="00CA43C6" w14:paraId="7FE8A1C5" w14:textId="77777777" w:rsidTr="00053BD7">
        <w:trPr>
          <w:cantSplit/>
          <w:trHeight w:hRule="exact" w:val="274"/>
          <w:tblHeader/>
        </w:trPr>
        <w:tc>
          <w:tcPr>
            <w:tcW w:w="2335" w:type="dxa"/>
            <w:tcBorders>
              <w:top w:val="single" w:sz="4" w:space="0" w:color="000000"/>
              <w:left w:val="single" w:sz="4" w:space="0" w:color="000000"/>
              <w:bottom w:val="single" w:sz="4" w:space="0" w:color="000000"/>
              <w:right w:val="single" w:sz="4" w:space="0" w:color="000000"/>
            </w:tcBorders>
            <w:vAlign w:val="center"/>
          </w:tcPr>
          <w:p w14:paraId="0882903B" w14:textId="77777777" w:rsidR="008027BA" w:rsidRPr="002436FF" w:rsidRDefault="008027BA" w:rsidP="00A56D8C">
            <w:pPr>
              <w:kinsoku w:val="0"/>
              <w:overflowPunct w:val="0"/>
              <w:spacing w:after="120" w:line="259" w:lineRule="auto"/>
              <w:rPr>
                <w:rFonts w:ascii="Arial" w:eastAsiaTheme="minorHAnsi" w:hAnsi="Arial" w:cs="Arial"/>
                <w:sz w:val="20"/>
                <w:szCs w:val="20"/>
              </w:rPr>
            </w:pPr>
            <w:r w:rsidRPr="002436FF">
              <w:rPr>
                <w:rFonts w:ascii="Arial" w:eastAsiaTheme="minorHAnsi" w:hAnsi="Arial" w:cs="Arial"/>
                <w:spacing w:val="-1"/>
                <w:sz w:val="20"/>
                <w:szCs w:val="20"/>
              </w:rPr>
              <w:t>Discrimination</w:t>
            </w:r>
            <w:r w:rsidRPr="002436FF">
              <w:rPr>
                <w:rFonts w:ascii="Arial" w:eastAsiaTheme="minorHAnsi" w:hAnsi="Arial" w:cs="Arial"/>
                <w:spacing w:val="-7"/>
                <w:sz w:val="20"/>
                <w:szCs w:val="20"/>
              </w:rPr>
              <w:t xml:space="preserve"> </w:t>
            </w:r>
            <w:r w:rsidRPr="002436FF">
              <w:rPr>
                <w:rFonts w:ascii="Arial" w:eastAsiaTheme="minorHAnsi" w:hAnsi="Arial" w:cs="Arial"/>
                <w:sz w:val="20"/>
                <w:szCs w:val="20"/>
              </w:rPr>
              <w:t>–</w:t>
            </w:r>
            <w:r w:rsidRPr="002436FF">
              <w:rPr>
                <w:rFonts w:ascii="Arial" w:eastAsiaTheme="minorHAnsi" w:hAnsi="Arial" w:cs="Arial"/>
                <w:spacing w:val="-8"/>
                <w:sz w:val="20"/>
                <w:szCs w:val="20"/>
              </w:rPr>
              <w:t xml:space="preserve"> </w:t>
            </w:r>
            <w:r w:rsidRPr="002436FF">
              <w:rPr>
                <w:rFonts w:ascii="Arial" w:eastAsiaTheme="minorHAnsi" w:hAnsi="Arial" w:cs="Arial"/>
                <w:sz w:val="20"/>
                <w:szCs w:val="20"/>
              </w:rPr>
              <w:t>c</w:t>
            </w:r>
            <w:r w:rsidRPr="002436FF">
              <w:rPr>
                <w:rFonts w:ascii="Arial" w:eastAsiaTheme="minorHAnsi" w:hAnsi="Arial" w:cs="Arial"/>
                <w:spacing w:val="-7"/>
                <w:sz w:val="20"/>
                <w:szCs w:val="20"/>
              </w:rPr>
              <w:t xml:space="preserve"> </w:t>
            </w:r>
            <w:r w:rsidRPr="002436FF">
              <w:rPr>
                <w:rFonts w:ascii="Arial" w:eastAsiaTheme="minorHAnsi" w:hAnsi="Arial" w:cs="Arial"/>
                <w:spacing w:val="-1"/>
                <w:sz w:val="20"/>
                <w:szCs w:val="20"/>
              </w:rPr>
              <w:t>statistic</w:t>
            </w:r>
          </w:p>
        </w:tc>
        <w:tc>
          <w:tcPr>
            <w:tcW w:w="1980" w:type="dxa"/>
            <w:tcBorders>
              <w:top w:val="single" w:sz="4" w:space="0" w:color="000000"/>
              <w:left w:val="single" w:sz="4" w:space="0" w:color="000000"/>
              <w:bottom w:val="single" w:sz="4" w:space="0" w:color="000000"/>
              <w:right w:val="single" w:sz="4" w:space="0" w:color="000000"/>
            </w:tcBorders>
            <w:vAlign w:val="center"/>
          </w:tcPr>
          <w:p w14:paraId="13E3E301" w14:textId="77777777" w:rsidR="008027BA" w:rsidRPr="002436FF" w:rsidRDefault="008027BA" w:rsidP="00A56D8C">
            <w:pPr>
              <w:kinsoku w:val="0"/>
              <w:overflowPunct w:val="0"/>
              <w:spacing w:after="120" w:line="259" w:lineRule="auto"/>
              <w:ind w:right="5"/>
              <w:jc w:val="center"/>
              <w:rPr>
                <w:rFonts w:ascii="Arial" w:eastAsiaTheme="minorHAnsi" w:hAnsi="Arial" w:cs="Arial"/>
                <w:sz w:val="20"/>
                <w:szCs w:val="20"/>
              </w:rPr>
            </w:pPr>
            <w:r w:rsidRPr="002436FF">
              <w:rPr>
                <w:rFonts w:ascii="Arial" w:eastAsiaTheme="minorHAnsi" w:hAnsi="Arial" w:cs="Arial"/>
                <w:spacing w:val="-1"/>
                <w:sz w:val="20"/>
                <w:szCs w:val="20"/>
              </w:rPr>
              <w:t>0.614</w:t>
            </w:r>
          </w:p>
        </w:tc>
        <w:tc>
          <w:tcPr>
            <w:tcW w:w="1710" w:type="dxa"/>
            <w:tcBorders>
              <w:top w:val="single" w:sz="4" w:space="0" w:color="000000"/>
              <w:left w:val="single" w:sz="4" w:space="0" w:color="000000"/>
              <w:bottom w:val="single" w:sz="4" w:space="0" w:color="000000"/>
              <w:right w:val="single" w:sz="4" w:space="0" w:color="000000"/>
            </w:tcBorders>
            <w:vAlign w:val="center"/>
          </w:tcPr>
          <w:p w14:paraId="2888605A"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r w:rsidRPr="002436FF">
              <w:rPr>
                <w:rFonts w:ascii="Arial" w:eastAsiaTheme="minorHAnsi" w:hAnsi="Arial" w:cs="Arial"/>
                <w:spacing w:val="-1"/>
                <w:sz w:val="20"/>
                <w:szCs w:val="20"/>
              </w:rPr>
              <w:t>0.613</w:t>
            </w:r>
          </w:p>
        </w:tc>
        <w:tc>
          <w:tcPr>
            <w:tcW w:w="1710" w:type="dxa"/>
            <w:tcBorders>
              <w:top w:val="single" w:sz="4" w:space="0" w:color="000000"/>
              <w:left w:val="single" w:sz="4" w:space="0" w:color="000000"/>
              <w:bottom w:val="single" w:sz="4" w:space="0" w:color="000000"/>
              <w:right w:val="single" w:sz="4" w:space="0" w:color="000000"/>
            </w:tcBorders>
            <w:vAlign w:val="center"/>
          </w:tcPr>
          <w:p w14:paraId="12E51F03" w14:textId="77777777" w:rsidR="008027BA" w:rsidRPr="002436FF" w:rsidRDefault="008027BA" w:rsidP="00A56D8C">
            <w:pPr>
              <w:kinsoku w:val="0"/>
              <w:overflowPunct w:val="0"/>
              <w:spacing w:after="120" w:line="259" w:lineRule="auto"/>
              <w:jc w:val="center"/>
              <w:rPr>
                <w:rFonts w:ascii="Arial" w:eastAsiaTheme="minorHAnsi" w:hAnsi="Arial" w:cs="Arial"/>
                <w:sz w:val="20"/>
                <w:szCs w:val="20"/>
              </w:rPr>
            </w:pPr>
            <w:r w:rsidRPr="002436FF">
              <w:rPr>
                <w:rFonts w:ascii="Arial" w:eastAsiaTheme="minorHAnsi" w:hAnsi="Arial" w:cs="Arial"/>
                <w:spacing w:val="-1"/>
                <w:sz w:val="20"/>
                <w:szCs w:val="20"/>
              </w:rPr>
              <w:t>0.646</w:t>
            </w:r>
          </w:p>
        </w:tc>
        <w:tc>
          <w:tcPr>
            <w:tcW w:w="1800" w:type="dxa"/>
            <w:tcBorders>
              <w:top w:val="single" w:sz="4" w:space="0" w:color="000000"/>
              <w:left w:val="single" w:sz="4" w:space="0" w:color="000000"/>
              <w:bottom w:val="single" w:sz="4" w:space="0" w:color="000000"/>
              <w:right w:val="single" w:sz="4" w:space="0" w:color="000000"/>
            </w:tcBorders>
            <w:vAlign w:val="center"/>
          </w:tcPr>
          <w:p w14:paraId="7AE3600C" w14:textId="77777777" w:rsidR="008027BA" w:rsidRPr="002436FF" w:rsidRDefault="008027BA" w:rsidP="00A56D8C">
            <w:pPr>
              <w:kinsoku w:val="0"/>
              <w:overflowPunct w:val="0"/>
              <w:spacing w:after="120" w:line="259" w:lineRule="auto"/>
              <w:jc w:val="center"/>
              <w:rPr>
                <w:rFonts w:ascii="Arial" w:eastAsiaTheme="minorHAnsi" w:hAnsi="Arial" w:cs="Arial"/>
                <w:spacing w:val="-1"/>
                <w:sz w:val="20"/>
                <w:szCs w:val="20"/>
              </w:rPr>
            </w:pPr>
            <w:r>
              <w:rPr>
                <w:rFonts w:eastAsiaTheme="minorHAnsi"/>
                <w:spacing w:val="-1"/>
                <w:sz w:val="20"/>
                <w:szCs w:val="20"/>
              </w:rPr>
              <w:t>0.622</w:t>
            </w:r>
          </w:p>
        </w:tc>
      </w:tr>
    </w:tbl>
    <w:p w14:paraId="1A92F4AF" w14:textId="77777777" w:rsidR="008027BA" w:rsidRDefault="008027BA" w:rsidP="008027BA">
      <w:pPr>
        <w:autoSpaceDE w:val="0"/>
        <w:autoSpaceDN w:val="0"/>
        <w:adjustRightInd w:val="0"/>
        <w:spacing w:after="0" w:line="240" w:lineRule="auto"/>
        <w:rPr>
          <w:rFonts w:cstheme="minorHAnsi"/>
          <w:b/>
          <w:bCs/>
        </w:rPr>
      </w:pPr>
    </w:p>
    <w:p w14:paraId="12C1A9A1" w14:textId="77777777" w:rsidR="008027BA" w:rsidRPr="00001D73" w:rsidRDefault="008027BA" w:rsidP="008027BA">
      <w:pPr>
        <w:autoSpaceDE w:val="0"/>
        <w:autoSpaceDN w:val="0"/>
        <w:adjustRightInd w:val="0"/>
        <w:spacing w:after="0" w:line="240" w:lineRule="auto"/>
        <w:rPr>
          <w:rFonts w:cstheme="minorHAnsi"/>
          <w:b/>
          <w:bCs/>
        </w:rPr>
      </w:pPr>
    </w:p>
    <w:p w14:paraId="18D41E93" w14:textId="77777777" w:rsidR="008027BA" w:rsidRDefault="008027BA" w:rsidP="00092566">
      <w:pPr>
        <w:autoSpaceDE w:val="0"/>
        <w:autoSpaceDN w:val="0"/>
        <w:adjustRightInd w:val="0"/>
        <w:spacing w:after="0" w:line="240" w:lineRule="auto"/>
        <w:rPr>
          <w:rFonts w:cstheme="minorHAnsi"/>
          <w:b/>
          <w:bCs/>
        </w:rPr>
      </w:pPr>
    </w:p>
    <w:p w14:paraId="488884BE" w14:textId="77777777" w:rsidR="008027BA" w:rsidRDefault="008027BA" w:rsidP="00092566">
      <w:pPr>
        <w:autoSpaceDE w:val="0"/>
        <w:autoSpaceDN w:val="0"/>
        <w:adjustRightInd w:val="0"/>
        <w:spacing w:after="0" w:line="240" w:lineRule="auto"/>
        <w:rPr>
          <w:rFonts w:cstheme="minorHAnsi"/>
          <w:b/>
          <w:bCs/>
        </w:rPr>
      </w:pPr>
    </w:p>
    <w:p w14:paraId="601A11C3" w14:textId="77777777" w:rsidR="00575EE3" w:rsidRDefault="00575EE3" w:rsidP="00092566">
      <w:pPr>
        <w:autoSpaceDE w:val="0"/>
        <w:autoSpaceDN w:val="0"/>
        <w:adjustRightInd w:val="0"/>
        <w:spacing w:after="0" w:line="240" w:lineRule="auto"/>
        <w:rPr>
          <w:rFonts w:cstheme="minorHAnsi"/>
          <w:b/>
          <w:bCs/>
        </w:rPr>
      </w:pPr>
    </w:p>
    <w:p w14:paraId="52677B63" w14:textId="77777777" w:rsidR="00575EE3" w:rsidRDefault="00575EE3" w:rsidP="00092566">
      <w:pPr>
        <w:autoSpaceDE w:val="0"/>
        <w:autoSpaceDN w:val="0"/>
        <w:adjustRightInd w:val="0"/>
        <w:spacing w:after="0" w:line="240" w:lineRule="auto"/>
        <w:rPr>
          <w:rFonts w:cstheme="minorHAnsi"/>
          <w:bCs/>
          <w:color w:val="FF0000"/>
        </w:rPr>
      </w:pPr>
    </w:p>
    <w:p w14:paraId="16CC0ECE" w14:textId="5A66B3E9" w:rsidR="00040E1C" w:rsidRPr="00393FC0" w:rsidRDefault="00A3513B" w:rsidP="00092566">
      <w:pPr>
        <w:autoSpaceDE w:val="0"/>
        <w:autoSpaceDN w:val="0"/>
        <w:adjustRightInd w:val="0"/>
        <w:spacing w:after="0" w:line="240" w:lineRule="auto"/>
        <w:rPr>
          <w:rFonts w:cstheme="minorHAnsi"/>
          <w:b/>
          <w:bCs/>
          <w:color w:val="FF0000"/>
        </w:rPr>
      </w:pPr>
      <w:r w:rsidRPr="00393FC0">
        <w:rPr>
          <w:rFonts w:cstheme="minorHAnsi"/>
          <w:b/>
          <w:bCs/>
          <w:color w:val="FF0000"/>
        </w:rPr>
        <w:lastRenderedPageBreak/>
        <w:t>The following results are for the ACR measure.</w:t>
      </w:r>
    </w:p>
    <w:p w14:paraId="16C0385F" w14:textId="77777777" w:rsidR="00575EE3" w:rsidRPr="00393FC0" w:rsidRDefault="00575EE3" w:rsidP="00092566">
      <w:pPr>
        <w:autoSpaceDE w:val="0"/>
        <w:autoSpaceDN w:val="0"/>
        <w:adjustRightInd w:val="0"/>
        <w:spacing w:after="0" w:line="240" w:lineRule="auto"/>
        <w:rPr>
          <w:rFonts w:cstheme="minorHAnsi"/>
          <w:b/>
          <w:bCs/>
          <w:color w:val="FF0000"/>
        </w:rPr>
      </w:pPr>
    </w:p>
    <w:tbl>
      <w:tblPr>
        <w:tblW w:w="7283" w:type="dxa"/>
        <w:tblLook w:val="04A0" w:firstRow="1" w:lastRow="0" w:firstColumn="1" w:lastColumn="0" w:noHBand="0" w:noVBand="1"/>
      </w:tblPr>
      <w:tblGrid>
        <w:gridCol w:w="10"/>
        <w:gridCol w:w="2700"/>
        <w:gridCol w:w="1460"/>
        <w:gridCol w:w="1300"/>
        <w:gridCol w:w="686"/>
        <w:gridCol w:w="1107"/>
        <w:gridCol w:w="20"/>
      </w:tblGrid>
      <w:tr w:rsidR="00393FC0" w:rsidRPr="00393FC0" w14:paraId="3BAB380F" w14:textId="77777777" w:rsidTr="000C3C72">
        <w:trPr>
          <w:trHeight w:val="300"/>
        </w:trPr>
        <w:tc>
          <w:tcPr>
            <w:tcW w:w="6156" w:type="dxa"/>
            <w:gridSpan w:val="5"/>
            <w:tcBorders>
              <w:top w:val="nil"/>
              <w:left w:val="nil"/>
              <w:bottom w:val="nil"/>
              <w:right w:val="nil"/>
            </w:tcBorders>
            <w:shd w:val="clear" w:color="auto" w:fill="auto"/>
            <w:noWrap/>
            <w:vAlign w:val="bottom"/>
            <w:hideMark/>
          </w:tcPr>
          <w:p w14:paraId="7DA068D5" w14:textId="3110DE97" w:rsidR="00040E1C" w:rsidRPr="00393FC0" w:rsidRDefault="00040E1C" w:rsidP="00040E1C">
            <w:pPr>
              <w:spacing w:after="0" w:line="240" w:lineRule="auto"/>
              <w:rPr>
                <w:rStyle w:val="CommentReference"/>
                <w:color w:val="FF0000"/>
                <w:sz w:val="22"/>
                <w:szCs w:val="22"/>
              </w:rPr>
            </w:pPr>
            <w:r w:rsidRPr="00393FC0">
              <w:rPr>
                <w:rFonts w:eastAsia="Times New Roman" w:cs="Times New Roman"/>
                <w:b/>
                <w:bCs/>
                <w:color w:val="FF0000"/>
              </w:rPr>
              <w:t>Medicine Cohort Model Discrimination</w:t>
            </w:r>
          </w:p>
          <w:tbl>
            <w:tblPr>
              <w:tblW w:w="5920" w:type="dxa"/>
              <w:tblLook w:val="04A0" w:firstRow="1" w:lastRow="0" w:firstColumn="1" w:lastColumn="0" w:noHBand="0" w:noVBand="1"/>
            </w:tblPr>
            <w:tblGrid>
              <w:gridCol w:w="3020"/>
              <w:gridCol w:w="1460"/>
              <w:gridCol w:w="1440"/>
            </w:tblGrid>
            <w:tr w:rsidR="00393FC0" w:rsidRPr="00393FC0" w14:paraId="004C1752" w14:textId="77777777" w:rsidTr="00344149">
              <w:trPr>
                <w:trHeight w:val="288"/>
              </w:trPr>
              <w:tc>
                <w:tcPr>
                  <w:tcW w:w="302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74EFD05E" w14:textId="77777777" w:rsidR="00575EE3" w:rsidRPr="00393FC0" w:rsidRDefault="00575EE3" w:rsidP="00575EE3">
                  <w:pPr>
                    <w:spacing w:after="0" w:line="240" w:lineRule="auto"/>
                    <w:jc w:val="center"/>
                    <w:rPr>
                      <w:rFonts w:eastAsia="Times New Roman" w:cs="Arial"/>
                      <w:b/>
                      <w:bCs/>
                      <w:color w:val="FF0000"/>
                    </w:rPr>
                  </w:pPr>
                  <w:r w:rsidRPr="00393FC0">
                    <w:rPr>
                      <w:rFonts w:eastAsia="Times New Roman" w:cs="Arial"/>
                      <w:b/>
                      <w:bCs/>
                      <w:color w:val="FF0000"/>
                    </w:rPr>
                    <w:t>Indices</w:t>
                  </w:r>
                </w:p>
              </w:tc>
              <w:tc>
                <w:tcPr>
                  <w:tcW w:w="1460" w:type="dxa"/>
                  <w:tcBorders>
                    <w:top w:val="single" w:sz="8" w:space="0" w:color="000000"/>
                    <w:left w:val="nil"/>
                    <w:bottom w:val="nil"/>
                    <w:right w:val="single" w:sz="8" w:space="0" w:color="000000"/>
                  </w:tcBorders>
                  <w:shd w:val="clear" w:color="auto" w:fill="DBE5F1" w:themeFill="accent1" w:themeFillTint="33"/>
                  <w:vAlign w:val="center"/>
                  <w:hideMark/>
                </w:tcPr>
                <w:p w14:paraId="2F19ABE6" w14:textId="77777777" w:rsidR="00575EE3" w:rsidRPr="00393FC0" w:rsidRDefault="00575EE3" w:rsidP="00575EE3">
                  <w:pPr>
                    <w:spacing w:after="0" w:line="240" w:lineRule="auto"/>
                    <w:jc w:val="center"/>
                    <w:rPr>
                      <w:rFonts w:eastAsia="Times New Roman" w:cs="Arial"/>
                      <w:b/>
                      <w:bCs/>
                      <w:color w:val="FF0000"/>
                    </w:rPr>
                  </w:pPr>
                  <w:r w:rsidRPr="00393FC0">
                    <w:rPr>
                      <w:rFonts w:eastAsia="Times New Roman" w:cs="Arial"/>
                      <w:b/>
                      <w:bCs/>
                      <w:color w:val="FF0000"/>
                    </w:rPr>
                    <w:t>2014-2015</w:t>
                  </w:r>
                </w:p>
              </w:tc>
              <w:tc>
                <w:tcPr>
                  <w:tcW w:w="1440" w:type="dxa"/>
                  <w:tcBorders>
                    <w:top w:val="single" w:sz="8" w:space="0" w:color="000000"/>
                    <w:left w:val="nil"/>
                    <w:bottom w:val="nil"/>
                    <w:right w:val="single" w:sz="8" w:space="0" w:color="000000"/>
                  </w:tcBorders>
                  <w:shd w:val="clear" w:color="auto" w:fill="DBE5F1" w:themeFill="accent1" w:themeFillTint="33"/>
                  <w:vAlign w:val="center"/>
                  <w:hideMark/>
                </w:tcPr>
                <w:p w14:paraId="06E452E0" w14:textId="77777777" w:rsidR="00575EE3" w:rsidRPr="00393FC0" w:rsidRDefault="00575EE3" w:rsidP="00575EE3">
                  <w:pPr>
                    <w:spacing w:after="0" w:line="240" w:lineRule="auto"/>
                    <w:jc w:val="center"/>
                    <w:rPr>
                      <w:rFonts w:eastAsia="Times New Roman" w:cs="Arial"/>
                      <w:b/>
                      <w:bCs/>
                      <w:color w:val="FF0000"/>
                    </w:rPr>
                  </w:pPr>
                  <w:r w:rsidRPr="00393FC0">
                    <w:rPr>
                      <w:rFonts w:eastAsia="Times New Roman" w:cs="Arial"/>
                      <w:b/>
                      <w:bCs/>
                      <w:color w:val="FF0000"/>
                    </w:rPr>
                    <w:t>2014-2015</w:t>
                  </w:r>
                </w:p>
              </w:tc>
            </w:tr>
            <w:tr w:rsidR="00393FC0" w:rsidRPr="00393FC0" w14:paraId="1FCCA987" w14:textId="77777777" w:rsidTr="00344149">
              <w:trPr>
                <w:trHeight w:val="540"/>
              </w:trPr>
              <w:tc>
                <w:tcPr>
                  <w:tcW w:w="302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02276442" w14:textId="77777777" w:rsidR="00575EE3" w:rsidRPr="00393FC0" w:rsidRDefault="00575EE3" w:rsidP="00575EE3">
                  <w:pPr>
                    <w:spacing w:after="0" w:line="240" w:lineRule="auto"/>
                    <w:rPr>
                      <w:rFonts w:eastAsia="Times New Roman" w:cs="Arial"/>
                      <w:b/>
                      <w:bCs/>
                      <w:color w:val="FF0000"/>
                    </w:rPr>
                  </w:pPr>
                </w:p>
              </w:tc>
              <w:tc>
                <w:tcPr>
                  <w:tcW w:w="1460" w:type="dxa"/>
                  <w:tcBorders>
                    <w:top w:val="nil"/>
                    <w:left w:val="nil"/>
                    <w:bottom w:val="single" w:sz="8" w:space="0" w:color="000000"/>
                    <w:right w:val="single" w:sz="8" w:space="0" w:color="000000"/>
                  </w:tcBorders>
                  <w:shd w:val="clear" w:color="auto" w:fill="DBE5F1" w:themeFill="accent1" w:themeFillTint="33"/>
                  <w:vAlign w:val="center"/>
                  <w:hideMark/>
                </w:tcPr>
                <w:p w14:paraId="3C3DE5AF" w14:textId="77777777" w:rsidR="00575EE3" w:rsidRPr="00393FC0" w:rsidRDefault="00575EE3" w:rsidP="00575EE3">
                  <w:pPr>
                    <w:spacing w:after="0" w:line="240" w:lineRule="auto"/>
                    <w:jc w:val="center"/>
                    <w:rPr>
                      <w:rFonts w:eastAsia="Times New Roman" w:cs="Arial"/>
                      <w:b/>
                      <w:bCs/>
                      <w:color w:val="FF0000"/>
                    </w:rPr>
                  </w:pPr>
                  <w:r w:rsidRPr="00393FC0">
                    <w:rPr>
                      <w:rFonts w:eastAsia="Times New Roman" w:cs="Arial"/>
                      <w:b/>
                      <w:bCs/>
                      <w:color w:val="FF0000"/>
                    </w:rPr>
                    <w:t>Development Sample</w:t>
                  </w:r>
                </w:p>
              </w:tc>
              <w:tc>
                <w:tcPr>
                  <w:tcW w:w="1440" w:type="dxa"/>
                  <w:tcBorders>
                    <w:top w:val="nil"/>
                    <w:left w:val="nil"/>
                    <w:bottom w:val="single" w:sz="8" w:space="0" w:color="000000"/>
                    <w:right w:val="single" w:sz="8" w:space="0" w:color="000000"/>
                  </w:tcBorders>
                  <w:shd w:val="clear" w:color="auto" w:fill="DBE5F1" w:themeFill="accent1" w:themeFillTint="33"/>
                  <w:vAlign w:val="center"/>
                  <w:hideMark/>
                </w:tcPr>
                <w:p w14:paraId="2DA14B26" w14:textId="77777777" w:rsidR="00575EE3" w:rsidRPr="00393FC0" w:rsidRDefault="00575EE3" w:rsidP="00575EE3">
                  <w:pPr>
                    <w:spacing w:after="0" w:line="240" w:lineRule="auto"/>
                    <w:jc w:val="center"/>
                    <w:rPr>
                      <w:rFonts w:eastAsia="Times New Roman" w:cs="Arial"/>
                      <w:b/>
                      <w:bCs/>
                      <w:color w:val="FF0000"/>
                    </w:rPr>
                  </w:pPr>
                  <w:r w:rsidRPr="00393FC0">
                    <w:rPr>
                      <w:rFonts w:eastAsia="Times New Roman" w:cs="Arial"/>
                      <w:b/>
                      <w:bCs/>
                      <w:color w:val="FF0000"/>
                    </w:rPr>
                    <w:t>Validation Sample</w:t>
                  </w:r>
                </w:p>
              </w:tc>
            </w:tr>
            <w:tr w:rsidR="00393FC0" w:rsidRPr="00393FC0" w14:paraId="297A494F" w14:textId="77777777" w:rsidTr="00344149">
              <w:trPr>
                <w:trHeight w:val="328"/>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099066C7" w14:textId="77777777" w:rsidR="00575EE3" w:rsidRPr="00393FC0" w:rsidRDefault="00575EE3" w:rsidP="00575EE3">
                  <w:pPr>
                    <w:spacing w:after="0" w:line="240" w:lineRule="auto"/>
                    <w:rPr>
                      <w:rFonts w:eastAsia="Times New Roman" w:cs="Arial"/>
                      <w:color w:val="FF0000"/>
                    </w:rPr>
                  </w:pPr>
                  <w:r w:rsidRPr="00393FC0">
                    <w:rPr>
                      <w:rFonts w:eastAsia="Times New Roman" w:cs="Arial"/>
                      <w:color w:val="FF0000"/>
                    </w:rPr>
                    <w:t>Number of hospital stays</w:t>
                  </w:r>
                </w:p>
              </w:tc>
              <w:tc>
                <w:tcPr>
                  <w:tcW w:w="1460" w:type="dxa"/>
                  <w:tcBorders>
                    <w:top w:val="nil"/>
                    <w:left w:val="nil"/>
                    <w:bottom w:val="single" w:sz="8" w:space="0" w:color="000000"/>
                    <w:right w:val="single" w:sz="8" w:space="0" w:color="000000"/>
                  </w:tcBorders>
                  <w:shd w:val="clear" w:color="auto" w:fill="auto"/>
                  <w:vAlign w:val="center"/>
                  <w:hideMark/>
                </w:tcPr>
                <w:p w14:paraId="03C3A5C1" w14:textId="211C3ACC" w:rsidR="00575EE3" w:rsidRPr="00393FC0" w:rsidRDefault="00575EE3" w:rsidP="00575EE3">
                  <w:pPr>
                    <w:spacing w:after="0" w:line="240" w:lineRule="auto"/>
                    <w:jc w:val="center"/>
                    <w:rPr>
                      <w:rFonts w:eastAsia="Times New Roman" w:cs="Arial"/>
                      <w:color w:val="FF0000"/>
                    </w:rPr>
                  </w:pPr>
                  <w:r w:rsidRPr="00393FC0">
                    <w:rPr>
                      <w:rFonts w:cs="Arial"/>
                      <w:color w:val="FF0000"/>
                    </w:rPr>
                    <w:t>639,278</w:t>
                  </w:r>
                </w:p>
              </w:tc>
              <w:tc>
                <w:tcPr>
                  <w:tcW w:w="1440" w:type="dxa"/>
                  <w:tcBorders>
                    <w:top w:val="nil"/>
                    <w:left w:val="nil"/>
                    <w:bottom w:val="single" w:sz="8" w:space="0" w:color="000000"/>
                    <w:right w:val="single" w:sz="8" w:space="0" w:color="000000"/>
                  </w:tcBorders>
                  <w:shd w:val="clear" w:color="auto" w:fill="auto"/>
                  <w:vAlign w:val="center"/>
                  <w:hideMark/>
                </w:tcPr>
                <w:p w14:paraId="03BA9F34" w14:textId="04598D0B" w:rsidR="00575EE3" w:rsidRPr="00393FC0" w:rsidRDefault="00575EE3" w:rsidP="00575EE3">
                  <w:pPr>
                    <w:spacing w:after="0" w:line="240" w:lineRule="auto"/>
                    <w:jc w:val="center"/>
                    <w:rPr>
                      <w:rFonts w:eastAsia="Times New Roman" w:cs="Arial"/>
                      <w:color w:val="FF0000"/>
                    </w:rPr>
                  </w:pPr>
                  <w:r w:rsidRPr="00393FC0">
                    <w:rPr>
                      <w:rFonts w:cs="Arial"/>
                      <w:color w:val="FF0000"/>
                    </w:rPr>
                    <w:t>639,625</w:t>
                  </w:r>
                </w:p>
              </w:tc>
            </w:tr>
            <w:tr w:rsidR="00393FC0" w:rsidRPr="00393FC0" w14:paraId="16C9ABB5" w14:textId="77777777" w:rsidTr="00344149">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535B371C" w14:textId="77777777" w:rsidR="00575EE3" w:rsidRPr="00393FC0" w:rsidRDefault="00575EE3" w:rsidP="00575EE3">
                  <w:pPr>
                    <w:spacing w:after="0" w:line="240" w:lineRule="auto"/>
                    <w:rPr>
                      <w:rFonts w:eastAsia="Times New Roman" w:cs="Arial"/>
                      <w:color w:val="FF0000"/>
                    </w:rPr>
                  </w:pPr>
                  <w:r w:rsidRPr="00393FC0">
                    <w:rPr>
                      <w:rFonts w:eastAsia="Times New Roman" w:cs="Arial"/>
                      <w:color w:val="FF0000"/>
                    </w:rPr>
                    <w:t>Number of ACOs</w:t>
                  </w:r>
                </w:p>
              </w:tc>
              <w:tc>
                <w:tcPr>
                  <w:tcW w:w="1460" w:type="dxa"/>
                  <w:tcBorders>
                    <w:top w:val="nil"/>
                    <w:left w:val="nil"/>
                    <w:bottom w:val="single" w:sz="8" w:space="0" w:color="000000"/>
                    <w:right w:val="single" w:sz="8" w:space="0" w:color="000000"/>
                  </w:tcBorders>
                  <w:shd w:val="clear" w:color="auto" w:fill="auto"/>
                  <w:vAlign w:val="center"/>
                  <w:hideMark/>
                </w:tcPr>
                <w:p w14:paraId="6D5E1E16" w14:textId="4C9D6A7D" w:rsidR="00575EE3" w:rsidRPr="00393FC0" w:rsidRDefault="00575EE3" w:rsidP="00575EE3">
                  <w:pPr>
                    <w:spacing w:after="0" w:line="240" w:lineRule="auto"/>
                    <w:jc w:val="center"/>
                    <w:rPr>
                      <w:rFonts w:eastAsia="Times New Roman" w:cs="Arial"/>
                      <w:color w:val="FF0000"/>
                    </w:rPr>
                  </w:pPr>
                  <w:r w:rsidRPr="00393FC0">
                    <w:rPr>
                      <w:rFonts w:cs="Arial"/>
                      <w:color w:val="FF0000"/>
                    </w:rPr>
                    <w:t>449</w:t>
                  </w:r>
                </w:p>
              </w:tc>
              <w:tc>
                <w:tcPr>
                  <w:tcW w:w="1440" w:type="dxa"/>
                  <w:tcBorders>
                    <w:top w:val="nil"/>
                    <w:left w:val="nil"/>
                    <w:bottom w:val="single" w:sz="8" w:space="0" w:color="000000"/>
                    <w:right w:val="single" w:sz="8" w:space="0" w:color="000000"/>
                  </w:tcBorders>
                  <w:shd w:val="clear" w:color="auto" w:fill="auto"/>
                  <w:vAlign w:val="center"/>
                  <w:hideMark/>
                </w:tcPr>
                <w:p w14:paraId="4EB527EE" w14:textId="1B11BDB7" w:rsidR="00575EE3" w:rsidRPr="00393FC0" w:rsidRDefault="00575EE3" w:rsidP="00575EE3">
                  <w:pPr>
                    <w:spacing w:after="0" w:line="240" w:lineRule="auto"/>
                    <w:jc w:val="center"/>
                    <w:rPr>
                      <w:rFonts w:eastAsia="Times New Roman" w:cs="Arial"/>
                      <w:color w:val="FF0000"/>
                    </w:rPr>
                  </w:pPr>
                  <w:r w:rsidRPr="00393FC0">
                    <w:rPr>
                      <w:rFonts w:cs="Arial"/>
                      <w:color w:val="FF0000"/>
                    </w:rPr>
                    <w:t>449</w:t>
                  </w:r>
                </w:p>
              </w:tc>
            </w:tr>
            <w:tr w:rsidR="00393FC0" w:rsidRPr="00393FC0" w14:paraId="6A7C05D9" w14:textId="77777777" w:rsidTr="00344149">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51CCF4DA" w14:textId="77777777" w:rsidR="00575EE3" w:rsidRPr="00393FC0" w:rsidRDefault="00575EE3" w:rsidP="00575EE3">
                  <w:pPr>
                    <w:spacing w:after="0" w:line="240" w:lineRule="auto"/>
                    <w:rPr>
                      <w:rFonts w:eastAsia="Times New Roman" w:cs="Arial"/>
                      <w:color w:val="FF0000"/>
                    </w:rPr>
                  </w:pPr>
                  <w:r w:rsidRPr="00393FC0">
                    <w:rPr>
                      <w:rFonts w:eastAsia="Times New Roman" w:cs="Arial"/>
                      <w:color w:val="FF0000"/>
                    </w:rPr>
                    <w:t>Unadjusted readmission rate</w:t>
                  </w:r>
                </w:p>
              </w:tc>
              <w:tc>
                <w:tcPr>
                  <w:tcW w:w="1460" w:type="dxa"/>
                  <w:tcBorders>
                    <w:top w:val="nil"/>
                    <w:left w:val="nil"/>
                    <w:bottom w:val="single" w:sz="8" w:space="0" w:color="000000"/>
                    <w:right w:val="single" w:sz="8" w:space="0" w:color="000000"/>
                  </w:tcBorders>
                  <w:shd w:val="clear" w:color="auto" w:fill="auto"/>
                  <w:vAlign w:val="center"/>
                  <w:hideMark/>
                </w:tcPr>
                <w:p w14:paraId="3EDA2E94" w14:textId="4E9DB995" w:rsidR="00575EE3" w:rsidRPr="00393FC0" w:rsidRDefault="00575EE3" w:rsidP="00575EE3">
                  <w:pPr>
                    <w:spacing w:after="0" w:line="240" w:lineRule="auto"/>
                    <w:jc w:val="center"/>
                    <w:rPr>
                      <w:rFonts w:eastAsia="Times New Roman" w:cs="Arial"/>
                      <w:color w:val="FF0000"/>
                    </w:rPr>
                  </w:pPr>
                  <w:r w:rsidRPr="00393FC0">
                    <w:rPr>
                      <w:rFonts w:cs="Arial"/>
                      <w:color w:val="FF0000"/>
                    </w:rPr>
                    <w:t>16.56%</w:t>
                  </w:r>
                </w:p>
              </w:tc>
              <w:tc>
                <w:tcPr>
                  <w:tcW w:w="1440" w:type="dxa"/>
                  <w:tcBorders>
                    <w:top w:val="nil"/>
                    <w:left w:val="nil"/>
                    <w:bottom w:val="single" w:sz="8" w:space="0" w:color="000000"/>
                    <w:right w:val="single" w:sz="8" w:space="0" w:color="000000"/>
                  </w:tcBorders>
                  <w:shd w:val="clear" w:color="auto" w:fill="auto"/>
                  <w:vAlign w:val="center"/>
                  <w:hideMark/>
                </w:tcPr>
                <w:p w14:paraId="5339C65F" w14:textId="636006C3" w:rsidR="00575EE3" w:rsidRPr="00393FC0" w:rsidRDefault="00575EE3" w:rsidP="00575EE3">
                  <w:pPr>
                    <w:spacing w:after="0" w:line="240" w:lineRule="auto"/>
                    <w:jc w:val="center"/>
                    <w:rPr>
                      <w:rFonts w:eastAsia="Times New Roman" w:cs="Arial"/>
                      <w:color w:val="FF0000"/>
                    </w:rPr>
                  </w:pPr>
                  <w:r w:rsidRPr="00393FC0">
                    <w:rPr>
                      <w:rFonts w:cs="Arial"/>
                      <w:color w:val="FF0000"/>
                    </w:rPr>
                    <w:t>16.50%</w:t>
                  </w:r>
                </w:p>
              </w:tc>
            </w:tr>
            <w:tr w:rsidR="00393FC0" w:rsidRPr="00393FC0" w14:paraId="2224E58E" w14:textId="77777777" w:rsidTr="00344149">
              <w:trPr>
                <w:trHeight w:val="288"/>
              </w:trPr>
              <w:tc>
                <w:tcPr>
                  <w:tcW w:w="30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2F93FC8" w14:textId="77777777" w:rsidR="00575EE3" w:rsidRPr="00393FC0" w:rsidRDefault="00575EE3" w:rsidP="00575EE3">
                  <w:pPr>
                    <w:spacing w:after="0" w:line="240" w:lineRule="auto"/>
                    <w:rPr>
                      <w:rFonts w:eastAsia="Times New Roman" w:cs="Arial"/>
                      <w:color w:val="FF0000"/>
                    </w:rPr>
                  </w:pPr>
                  <w:r w:rsidRPr="00393FC0">
                    <w:rPr>
                      <w:rFonts w:eastAsia="Times New Roman" w:cs="Arial"/>
                      <w:color w:val="FF0000"/>
                    </w:rPr>
                    <w:t>Discrimination -Predictive Ability (lowest decile %, highest decile %)</w:t>
                  </w:r>
                </w:p>
              </w:tc>
              <w:tc>
                <w:tcPr>
                  <w:tcW w:w="14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F10AF5A" w14:textId="1FF641F8" w:rsidR="00575EE3" w:rsidRPr="00393FC0" w:rsidRDefault="00575EE3" w:rsidP="00575EE3">
                  <w:pPr>
                    <w:spacing w:after="0" w:line="240" w:lineRule="auto"/>
                    <w:jc w:val="center"/>
                    <w:rPr>
                      <w:rFonts w:eastAsia="Times New Roman" w:cs="Arial"/>
                      <w:color w:val="FF0000"/>
                    </w:rPr>
                  </w:pPr>
                  <w:r w:rsidRPr="00393FC0">
                    <w:rPr>
                      <w:rFonts w:cs="Arial"/>
                      <w:color w:val="FF0000"/>
                    </w:rPr>
                    <w:t>8 -- 33</w:t>
                  </w:r>
                </w:p>
              </w:tc>
              <w:tc>
                <w:tcPr>
                  <w:tcW w:w="14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E23E569" w14:textId="484D05BF" w:rsidR="00575EE3" w:rsidRPr="00393FC0" w:rsidRDefault="00575EE3" w:rsidP="00575EE3">
                  <w:pPr>
                    <w:spacing w:after="0" w:line="240" w:lineRule="auto"/>
                    <w:jc w:val="center"/>
                    <w:rPr>
                      <w:rFonts w:eastAsia="Times New Roman" w:cs="Arial"/>
                      <w:color w:val="FF0000"/>
                    </w:rPr>
                  </w:pPr>
                  <w:r w:rsidRPr="00393FC0">
                    <w:rPr>
                      <w:rFonts w:cs="Arial"/>
                      <w:color w:val="FF0000"/>
                    </w:rPr>
                    <w:t>8 -- 33</w:t>
                  </w:r>
                </w:p>
              </w:tc>
            </w:tr>
            <w:tr w:rsidR="00393FC0" w:rsidRPr="00393FC0" w14:paraId="5A4444ED" w14:textId="77777777" w:rsidTr="00344149">
              <w:trPr>
                <w:trHeight w:val="509"/>
              </w:trPr>
              <w:tc>
                <w:tcPr>
                  <w:tcW w:w="3020" w:type="dxa"/>
                  <w:vMerge/>
                  <w:tcBorders>
                    <w:top w:val="nil"/>
                    <w:left w:val="single" w:sz="8" w:space="0" w:color="000000"/>
                    <w:bottom w:val="single" w:sz="8" w:space="0" w:color="000000"/>
                    <w:right w:val="single" w:sz="8" w:space="0" w:color="000000"/>
                  </w:tcBorders>
                  <w:vAlign w:val="center"/>
                  <w:hideMark/>
                </w:tcPr>
                <w:p w14:paraId="7C874E73" w14:textId="77777777" w:rsidR="00575EE3" w:rsidRPr="00393FC0" w:rsidRDefault="00575EE3" w:rsidP="00575EE3">
                  <w:pPr>
                    <w:spacing w:after="0" w:line="240" w:lineRule="auto"/>
                    <w:rPr>
                      <w:rFonts w:eastAsia="Times New Roman" w:cs="Arial"/>
                      <w:color w:val="FF0000"/>
                    </w:rPr>
                  </w:pPr>
                </w:p>
              </w:tc>
              <w:tc>
                <w:tcPr>
                  <w:tcW w:w="1460" w:type="dxa"/>
                  <w:vMerge/>
                  <w:tcBorders>
                    <w:top w:val="nil"/>
                    <w:left w:val="single" w:sz="8" w:space="0" w:color="000000"/>
                    <w:bottom w:val="single" w:sz="8" w:space="0" w:color="000000"/>
                    <w:right w:val="single" w:sz="8" w:space="0" w:color="000000"/>
                  </w:tcBorders>
                  <w:vAlign w:val="center"/>
                  <w:hideMark/>
                </w:tcPr>
                <w:p w14:paraId="6DD9981F" w14:textId="77777777" w:rsidR="00575EE3" w:rsidRPr="00393FC0" w:rsidRDefault="00575EE3" w:rsidP="00575EE3">
                  <w:pPr>
                    <w:spacing w:after="0" w:line="240" w:lineRule="auto"/>
                    <w:rPr>
                      <w:rFonts w:eastAsia="Times New Roman" w:cs="Arial"/>
                      <w:color w:val="FF0000"/>
                    </w:rPr>
                  </w:pPr>
                </w:p>
              </w:tc>
              <w:tc>
                <w:tcPr>
                  <w:tcW w:w="1440" w:type="dxa"/>
                  <w:vMerge/>
                  <w:tcBorders>
                    <w:top w:val="nil"/>
                    <w:left w:val="single" w:sz="8" w:space="0" w:color="000000"/>
                    <w:bottom w:val="single" w:sz="8" w:space="0" w:color="000000"/>
                    <w:right w:val="single" w:sz="8" w:space="0" w:color="000000"/>
                  </w:tcBorders>
                  <w:vAlign w:val="center"/>
                  <w:hideMark/>
                </w:tcPr>
                <w:p w14:paraId="4FADD153" w14:textId="77777777" w:rsidR="00575EE3" w:rsidRPr="00393FC0" w:rsidRDefault="00575EE3" w:rsidP="00575EE3">
                  <w:pPr>
                    <w:spacing w:after="0" w:line="240" w:lineRule="auto"/>
                    <w:rPr>
                      <w:rFonts w:eastAsia="Times New Roman" w:cs="Arial"/>
                      <w:color w:val="FF0000"/>
                    </w:rPr>
                  </w:pPr>
                </w:p>
              </w:tc>
            </w:tr>
            <w:tr w:rsidR="00393FC0" w:rsidRPr="00393FC0" w14:paraId="43C1E0B3" w14:textId="77777777" w:rsidTr="00344149">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081527E5" w14:textId="77777777" w:rsidR="00575EE3" w:rsidRPr="00393FC0" w:rsidRDefault="00575EE3" w:rsidP="00575EE3">
                  <w:pPr>
                    <w:spacing w:after="0" w:line="240" w:lineRule="auto"/>
                    <w:rPr>
                      <w:rFonts w:eastAsia="Times New Roman" w:cs="Arial"/>
                      <w:color w:val="FF0000"/>
                    </w:rPr>
                  </w:pPr>
                  <w:r w:rsidRPr="00393FC0">
                    <w:rPr>
                      <w:rFonts w:eastAsia="Times New Roman" w:cs="Arial"/>
                      <w:color w:val="FF0000"/>
                    </w:rPr>
                    <w:t>Discrimination – c statistic</w:t>
                  </w:r>
                </w:p>
              </w:tc>
              <w:tc>
                <w:tcPr>
                  <w:tcW w:w="1460" w:type="dxa"/>
                  <w:tcBorders>
                    <w:top w:val="nil"/>
                    <w:left w:val="nil"/>
                    <w:bottom w:val="single" w:sz="8" w:space="0" w:color="000000"/>
                    <w:right w:val="single" w:sz="8" w:space="0" w:color="000000"/>
                  </w:tcBorders>
                  <w:shd w:val="clear" w:color="auto" w:fill="auto"/>
                  <w:vAlign w:val="center"/>
                  <w:hideMark/>
                </w:tcPr>
                <w:p w14:paraId="2EA82FF8" w14:textId="7C662ED4" w:rsidR="00575EE3" w:rsidRPr="00393FC0" w:rsidRDefault="00575EE3" w:rsidP="00575EE3">
                  <w:pPr>
                    <w:spacing w:after="0" w:line="240" w:lineRule="auto"/>
                    <w:jc w:val="center"/>
                    <w:rPr>
                      <w:rFonts w:eastAsia="Times New Roman" w:cs="Arial"/>
                      <w:color w:val="FF0000"/>
                    </w:rPr>
                  </w:pPr>
                  <w:r w:rsidRPr="00393FC0">
                    <w:rPr>
                      <w:rFonts w:cs="Arial"/>
                      <w:color w:val="FF0000"/>
                    </w:rPr>
                    <w:t>0.647</w:t>
                  </w:r>
                </w:p>
              </w:tc>
              <w:tc>
                <w:tcPr>
                  <w:tcW w:w="1440" w:type="dxa"/>
                  <w:tcBorders>
                    <w:top w:val="nil"/>
                    <w:left w:val="nil"/>
                    <w:bottom w:val="single" w:sz="8" w:space="0" w:color="000000"/>
                    <w:right w:val="single" w:sz="8" w:space="0" w:color="000000"/>
                  </w:tcBorders>
                  <w:shd w:val="clear" w:color="auto" w:fill="auto"/>
                  <w:vAlign w:val="center"/>
                  <w:hideMark/>
                </w:tcPr>
                <w:p w14:paraId="05450448" w14:textId="0A238EFF" w:rsidR="00575EE3" w:rsidRPr="00393FC0" w:rsidRDefault="00575EE3" w:rsidP="00575EE3">
                  <w:pPr>
                    <w:spacing w:after="0" w:line="240" w:lineRule="auto"/>
                    <w:jc w:val="center"/>
                    <w:rPr>
                      <w:rFonts w:eastAsia="Times New Roman" w:cs="Arial"/>
                      <w:color w:val="FF0000"/>
                    </w:rPr>
                  </w:pPr>
                  <w:r w:rsidRPr="00393FC0">
                    <w:rPr>
                      <w:rFonts w:cs="Arial"/>
                      <w:color w:val="FF0000"/>
                    </w:rPr>
                    <w:t>0.647</w:t>
                  </w:r>
                </w:p>
              </w:tc>
            </w:tr>
          </w:tbl>
          <w:p w14:paraId="2D60A551" w14:textId="59C294C8" w:rsidR="00575EE3" w:rsidRPr="00393FC0" w:rsidRDefault="00575EE3" w:rsidP="00040E1C">
            <w:pPr>
              <w:spacing w:after="0" w:line="240" w:lineRule="auto"/>
              <w:rPr>
                <w:rFonts w:eastAsia="Times New Roman" w:cs="Times New Roman"/>
                <w:b/>
                <w:bCs/>
                <w:color w:val="FF0000"/>
              </w:rPr>
            </w:pPr>
          </w:p>
        </w:tc>
        <w:tc>
          <w:tcPr>
            <w:tcW w:w="1127" w:type="dxa"/>
            <w:gridSpan w:val="2"/>
            <w:tcBorders>
              <w:top w:val="nil"/>
              <w:left w:val="nil"/>
              <w:bottom w:val="nil"/>
              <w:right w:val="nil"/>
            </w:tcBorders>
            <w:shd w:val="clear" w:color="auto" w:fill="auto"/>
            <w:noWrap/>
            <w:vAlign w:val="bottom"/>
            <w:hideMark/>
          </w:tcPr>
          <w:p w14:paraId="6FB2DBE8" w14:textId="77777777" w:rsidR="00040E1C" w:rsidRPr="00393FC0" w:rsidRDefault="00040E1C" w:rsidP="00040E1C">
            <w:pPr>
              <w:spacing w:after="0" w:line="240" w:lineRule="auto"/>
              <w:rPr>
                <w:rFonts w:eastAsia="Times New Roman" w:cs="Times New Roman"/>
                <w:b/>
                <w:bCs/>
                <w:color w:val="FF0000"/>
              </w:rPr>
            </w:pPr>
          </w:p>
        </w:tc>
      </w:tr>
      <w:tr w:rsidR="00393FC0" w:rsidRPr="00393FC0" w14:paraId="4CCF21B3" w14:textId="77777777" w:rsidTr="000C3C72">
        <w:trPr>
          <w:gridAfter w:val="1"/>
          <w:wAfter w:w="20" w:type="dxa"/>
          <w:trHeight w:val="300"/>
        </w:trPr>
        <w:tc>
          <w:tcPr>
            <w:tcW w:w="6156" w:type="dxa"/>
            <w:gridSpan w:val="5"/>
            <w:tcBorders>
              <w:top w:val="nil"/>
              <w:left w:val="nil"/>
              <w:bottom w:val="nil"/>
              <w:right w:val="nil"/>
            </w:tcBorders>
            <w:shd w:val="clear" w:color="auto" w:fill="auto"/>
            <w:noWrap/>
            <w:vAlign w:val="center"/>
            <w:hideMark/>
          </w:tcPr>
          <w:p w14:paraId="73ED747A" w14:textId="77777777" w:rsidR="00575EE3" w:rsidRPr="00393FC0" w:rsidRDefault="00575EE3" w:rsidP="00040E1C">
            <w:pPr>
              <w:spacing w:after="0" w:line="240" w:lineRule="auto"/>
              <w:rPr>
                <w:rFonts w:eastAsia="Times New Roman" w:cs="Times New Roman"/>
                <w:b/>
                <w:bCs/>
                <w:color w:val="FF0000"/>
              </w:rPr>
            </w:pPr>
          </w:p>
          <w:p w14:paraId="75BA427B" w14:textId="528C8595" w:rsidR="00040E1C" w:rsidRPr="00393FC0" w:rsidRDefault="00040E1C" w:rsidP="00040E1C">
            <w:pPr>
              <w:spacing w:after="0" w:line="240" w:lineRule="auto"/>
              <w:rPr>
                <w:rFonts w:eastAsia="Times New Roman" w:cs="Times New Roman"/>
                <w:b/>
                <w:bCs/>
                <w:color w:val="FF0000"/>
              </w:rPr>
            </w:pPr>
            <w:r w:rsidRPr="00393FC0">
              <w:rPr>
                <w:rFonts w:eastAsia="Times New Roman" w:cs="Times New Roman"/>
                <w:b/>
                <w:bCs/>
                <w:color w:val="FF0000"/>
              </w:rPr>
              <w:t>Surgical Cohort Model Discrimination</w:t>
            </w:r>
          </w:p>
        </w:tc>
        <w:tc>
          <w:tcPr>
            <w:tcW w:w="1107" w:type="dxa"/>
            <w:tcBorders>
              <w:top w:val="nil"/>
              <w:left w:val="nil"/>
              <w:bottom w:val="nil"/>
              <w:right w:val="nil"/>
            </w:tcBorders>
            <w:shd w:val="clear" w:color="auto" w:fill="auto"/>
            <w:noWrap/>
            <w:vAlign w:val="bottom"/>
            <w:hideMark/>
          </w:tcPr>
          <w:p w14:paraId="05955449" w14:textId="77777777" w:rsidR="00040E1C" w:rsidRPr="00393FC0" w:rsidRDefault="00040E1C" w:rsidP="00040E1C">
            <w:pPr>
              <w:spacing w:after="0" w:line="240" w:lineRule="auto"/>
              <w:rPr>
                <w:rFonts w:eastAsia="Times New Roman" w:cs="Times New Roman"/>
                <w:b/>
                <w:bCs/>
                <w:color w:val="FF0000"/>
              </w:rPr>
            </w:pPr>
          </w:p>
        </w:tc>
      </w:tr>
      <w:tr w:rsidR="00393FC0" w:rsidRPr="00393FC0" w14:paraId="506A2D00" w14:textId="77777777" w:rsidTr="000C3C72">
        <w:trPr>
          <w:gridAfter w:val="2"/>
          <w:wAfter w:w="1127" w:type="dxa"/>
          <w:trHeight w:val="300"/>
        </w:trPr>
        <w:tc>
          <w:tcPr>
            <w:tcW w:w="6156" w:type="dxa"/>
            <w:gridSpan w:val="5"/>
            <w:tcBorders>
              <w:top w:val="nil"/>
              <w:left w:val="nil"/>
              <w:bottom w:val="nil"/>
              <w:right w:val="nil"/>
            </w:tcBorders>
            <w:shd w:val="clear" w:color="auto" w:fill="auto"/>
            <w:noWrap/>
            <w:vAlign w:val="center"/>
            <w:hideMark/>
          </w:tcPr>
          <w:tbl>
            <w:tblPr>
              <w:tblW w:w="5920" w:type="dxa"/>
              <w:tblLook w:val="04A0" w:firstRow="1" w:lastRow="0" w:firstColumn="1" w:lastColumn="0" w:noHBand="0" w:noVBand="1"/>
            </w:tblPr>
            <w:tblGrid>
              <w:gridCol w:w="3020"/>
              <w:gridCol w:w="1460"/>
              <w:gridCol w:w="1440"/>
            </w:tblGrid>
            <w:tr w:rsidR="00393FC0" w:rsidRPr="00393FC0" w14:paraId="24A8BB8A" w14:textId="77777777" w:rsidTr="00575EE3">
              <w:trPr>
                <w:trHeight w:val="288"/>
              </w:trPr>
              <w:tc>
                <w:tcPr>
                  <w:tcW w:w="302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6AEC8B18"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Indices</w:t>
                  </w:r>
                </w:p>
              </w:tc>
              <w:tc>
                <w:tcPr>
                  <w:tcW w:w="1460" w:type="dxa"/>
                  <w:tcBorders>
                    <w:top w:val="single" w:sz="8" w:space="0" w:color="000000"/>
                    <w:left w:val="nil"/>
                    <w:bottom w:val="nil"/>
                    <w:right w:val="single" w:sz="8" w:space="0" w:color="000000"/>
                  </w:tcBorders>
                  <w:shd w:val="clear" w:color="auto" w:fill="DBE5F1" w:themeFill="accent1" w:themeFillTint="33"/>
                  <w:vAlign w:val="center"/>
                  <w:hideMark/>
                </w:tcPr>
                <w:p w14:paraId="0FA110BB"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c>
                <w:tcPr>
                  <w:tcW w:w="1440" w:type="dxa"/>
                  <w:tcBorders>
                    <w:top w:val="single" w:sz="8" w:space="0" w:color="000000"/>
                    <w:left w:val="nil"/>
                    <w:bottom w:val="nil"/>
                    <w:right w:val="single" w:sz="8" w:space="0" w:color="000000"/>
                  </w:tcBorders>
                  <w:shd w:val="clear" w:color="auto" w:fill="DBE5F1" w:themeFill="accent1" w:themeFillTint="33"/>
                  <w:vAlign w:val="center"/>
                  <w:hideMark/>
                </w:tcPr>
                <w:p w14:paraId="310B96E6"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r>
            <w:tr w:rsidR="00393FC0" w:rsidRPr="00393FC0" w14:paraId="3438525F" w14:textId="77777777" w:rsidTr="00575EE3">
              <w:trPr>
                <w:trHeight w:val="540"/>
              </w:trPr>
              <w:tc>
                <w:tcPr>
                  <w:tcW w:w="302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782F69A2" w14:textId="77777777" w:rsidR="000C3C72" w:rsidRPr="00393FC0" w:rsidRDefault="000C3C72" w:rsidP="000C3C72">
                  <w:pPr>
                    <w:spacing w:after="0" w:line="240" w:lineRule="auto"/>
                    <w:rPr>
                      <w:rFonts w:eastAsia="Times New Roman" w:cs="Arial"/>
                      <w:b/>
                      <w:bCs/>
                      <w:color w:val="FF0000"/>
                    </w:rPr>
                  </w:pPr>
                </w:p>
              </w:tc>
              <w:tc>
                <w:tcPr>
                  <w:tcW w:w="1460" w:type="dxa"/>
                  <w:tcBorders>
                    <w:top w:val="nil"/>
                    <w:left w:val="nil"/>
                    <w:bottom w:val="single" w:sz="8" w:space="0" w:color="000000"/>
                    <w:right w:val="single" w:sz="8" w:space="0" w:color="000000"/>
                  </w:tcBorders>
                  <w:shd w:val="clear" w:color="auto" w:fill="DBE5F1" w:themeFill="accent1" w:themeFillTint="33"/>
                  <w:vAlign w:val="center"/>
                  <w:hideMark/>
                </w:tcPr>
                <w:p w14:paraId="4DF45726"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Development Sample</w:t>
                  </w:r>
                </w:p>
              </w:tc>
              <w:tc>
                <w:tcPr>
                  <w:tcW w:w="1440" w:type="dxa"/>
                  <w:tcBorders>
                    <w:top w:val="nil"/>
                    <w:left w:val="nil"/>
                    <w:bottom w:val="single" w:sz="8" w:space="0" w:color="000000"/>
                    <w:right w:val="single" w:sz="8" w:space="0" w:color="000000"/>
                  </w:tcBorders>
                  <w:shd w:val="clear" w:color="auto" w:fill="DBE5F1" w:themeFill="accent1" w:themeFillTint="33"/>
                  <w:vAlign w:val="center"/>
                  <w:hideMark/>
                </w:tcPr>
                <w:p w14:paraId="31C02AD7"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Validation Sample</w:t>
                  </w:r>
                </w:p>
              </w:tc>
            </w:tr>
            <w:tr w:rsidR="00393FC0" w:rsidRPr="00393FC0" w14:paraId="08258A86" w14:textId="77777777" w:rsidTr="000C3C72">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6FBCDF4D"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hospital stays</w:t>
                  </w:r>
                </w:p>
              </w:tc>
              <w:tc>
                <w:tcPr>
                  <w:tcW w:w="1460" w:type="dxa"/>
                  <w:tcBorders>
                    <w:top w:val="nil"/>
                    <w:left w:val="nil"/>
                    <w:bottom w:val="single" w:sz="8" w:space="0" w:color="000000"/>
                    <w:right w:val="single" w:sz="8" w:space="0" w:color="000000"/>
                  </w:tcBorders>
                  <w:shd w:val="clear" w:color="auto" w:fill="auto"/>
                  <w:vAlign w:val="center"/>
                  <w:hideMark/>
                </w:tcPr>
                <w:p w14:paraId="3BCF702E"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383,190</w:t>
                  </w:r>
                </w:p>
              </w:tc>
              <w:tc>
                <w:tcPr>
                  <w:tcW w:w="1440" w:type="dxa"/>
                  <w:tcBorders>
                    <w:top w:val="nil"/>
                    <w:left w:val="nil"/>
                    <w:bottom w:val="single" w:sz="8" w:space="0" w:color="000000"/>
                    <w:right w:val="single" w:sz="8" w:space="0" w:color="000000"/>
                  </w:tcBorders>
                  <w:shd w:val="clear" w:color="auto" w:fill="auto"/>
                  <w:vAlign w:val="center"/>
                  <w:hideMark/>
                </w:tcPr>
                <w:p w14:paraId="200F5B12"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382,651</w:t>
                  </w:r>
                </w:p>
              </w:tc>
            </w:tr>
            <w:tr w:rsidR="00393FC0" w:rsidRPr="00393FC0" w14:paraId="49CEE5DD" w14:textId="77777777" w:rsidTr="000C3C72">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33FE703"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ACOs</w:t>
                  </w:r>
                </w:p>
              </w:tc>
              <w:tc>
                <w:tcPr>
                  <w:tcW w:w="1460" w:type="dxa"/>
                  <w:tcBorders>
                    <w:top w:val="nil"/>
                    <w:left w:val="nil"/>
                    <w:bottom w:val="single" w:sz="8" w:space="0" w:color="000000"/>
                    <w:right w:val="single" w:sz="8" w:space="0" w:color="000000"/>
                  </w:tcBorders>
                  <w:shd w:val="clear" w:color="auto" w:fill="auto"/>
                  <w:vAlign w:val="center"/>
                  <w:hideMark/>
                </w:tcPr>
                <w:p w14:paraId="658E17A2"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449</w:t>
                  </w:r>
                </w:p>
              </w:tc>
              <w:tc>
                <w:tcPr>
                  <w:tcW w:w="1440" w:type="dxa"/>
                  <w:tcBorders>
                    <w:top w:val="nil"/>
                    <w:left w:val="nil"/>
                    <w:bottom w:val="single" w:sz="8" w:space="0" w:color="000000"/>
                    <w:right w:val="single" w:sz="8" w:space="0" w:color="000000"/>
                  </w:tcBorders>
                  <w:shd w:val="clear" w:color="auto" w:fill="auto"/>
                  <w:vAlign w:val="center"/>
                  <w:hideMark/>
                </w:tcPr>
                <w:p w14:paraId="172D8EE0"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448</w:t>
                  </w:r>
                </w:p>
              </w:tc>
            </w:tr>
            <w:tr w:rsidR="00393FC0" w:rsidRPr="00393FC0" w14:paraId="22DE5BEB" w14:textId="77777777" w:rsidTr="000C3C72">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21553BDC"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Unadjusted readmission rate</w:t>
                  </w:r>
                </w:p>
              </w:tc>
              <w:tc>
                <w:tcPr>
                  <w:tcW w:w="1460" w:type="dxa"/>
                  <w:tcBorders>
                    <w:top w:val="nil"/>
                    <w:left w:val="nil"/>
                    <w:bottom w:val="single" w:sz="8" w:space="0" w:color="000000"/>
                    <w:right w:val="single" w:sz="8" w:space="0" w:color="000000"/>
                  </w:tcBorders>
                  <w:shd w:val="clear" w:color="auto" w:fill="auto"/>
                  <w:vAlign w:val="center"/>
                  <w:hideMark/>
                </w:tcPr>
                <w:p w14:paraId="5DE621F7"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10.85%</w:t>
                  </w:r>
                </w:p>
              </w:tc>
              <w:tc>
                <w:tcPr>
                  <w:tcW w:w="1440" w:type="dxa"/>
                  <w:tcBorders>
                    <w:top w:val="nil"/>
                    <w:left w:val="nil"/>
                    <w:bottom w:val="single" w:sz="8" w:space="0" w:color="000000"/>
                    <w:right w:val="single" w:sz="8" w:space="0" w:color="000000"/>
                  </w:tcBorders>
                  <w:shd w:val="clear" w:color="auto" w:fill="auto"/>
                  <w:vAlign w:val="center"/>
                  <w:hideMark/>
                </w:tcPr>
                <w:p w14:paraId="60B1DFAA"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10.72%</w:t>
                  </w:r>
                </w:p>
              </w:tc>
            </w:tr>
            <w:tr w:rsidR="00393FC0" w:rsidRPr="00393FC0" w14:paraId="5AEC4BCE" w14:textId="77777777" w:rsidTr="000C3C72">
              <w:trPr>
                <w:trHeight w:val="288"/>
              </w:trPr>
              <w:tc>
                <w:tcPr>
                  <w:tcW w:w="302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7791412"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-Predictive Ability (lowest decile %, highest decile %)</w:t>
                  </w:r>
                </w:p>
              </w:tc>
              <w:tc>
                <w:tcPr>
                  <w:tcW w:w="14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B03DE3E" w14:textId="602C3D93" w:rsidR="000C3C72" w:rsidRPr="00393FC0" w:rsidRDefault="00234668" w:rsidP="000C3C72">
                  <w:pPr>
                    <w:spacing w:after="0" w:line="240" w:lineRule="auto"/>
                    <w:jc w:val="center"/>
                    <w:rPr>
                      <w:rFonts w:eastAsia="Times New Roman" w:cs="Arial"/>
                      <w:color w:val="FF0000"/>
                    </w:rPr>
                  </w:pPr>
                  <w:r w:rsidRPr="00393FC0">
                    <w:rPr>
                      <w:rFonts w:eastAsia="Times New Roman" w:cs="Arial"/>
                      <w:color w:val="FF0000"/>
                    </w:rPr>
                    <w:t>3 --</w:t>
                  </w:r>
                  <w:r w:rsidR="000C3C72" w:rsidRPr="00393FC0">
                    <w:rPr>
                      <w:rFonts w:eastAsia="Times New Roman" w:cs="Arial"/>
                      <w:color w:val="FF0000"/>
                    </w:rPr>
                    <w:t xml:space="preserve"> 26</w:t>
                  </w:r>
                </w:p>
              </w:tc>
              <w:tc>
                <w:tcPr>
                  <w:tcW w:w="14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E71B2FC" w14:textId="52B620A7" w:rsidR="000C3C72" w:rsidRPr="00393FC0" w:rsidRDefault="00234668" w:rsidP="000C3C72">
                  <w:pPr>
                    <w:spacing w:after="0" w:line="240" w:lineRule="auto"/>
                    <w:jc w:val="center"/>
                    <w:rPr>
                      <w:rFonts w:eastAsia="Times New Roman" w:cs="Arial"/>
                      <w:color w:val="FF0000"/>
                    </w:rPr>
                  </w:pPr>
                  <w:r w:rsidRPr="00393FC0">
                    <w:rPr>
                      <w:rFonts w:eastAsia="Times New Roman" w:cs="Arial"/>
                      <w:color w:val="FF0000"/>
                    </w:rPr>
                    <w:t xml:space="preserve">3 -- </w:t>
                  </w:r>
                  <w:r w:rsidR="000C3C72" w:rsidRPr="00393FC0">
                    <w:rPr>
                      <w:rFonts w:eastAsia="Times New Roman" w:cs="Arial"/>
                      <w:color w:val="FF0000"/>
                    </w:rPr>
                    <w:t>26</w:t>
                  </w:r>
                </w:p>
              </w:tc>
            </w:tr>
            <w:tr w:rsidR="00393FC0" w:rsidRPr="00393FC0" w14:paraId="58E50E4B" w14:textId="77777777" w:rsidTr="000C3C72">
              <w:trPr>
                <w:trHeight w:val="509"/>
              </w:trPr>
              <w:tc>
                <w:tcPr>
                  <w:tcW w:w="3020" w:type="dxa"/>
                  <w:vMerge/>
                  <w:tcBorders>
                    <w:top w:val="nil"/>
                    <w:left w:val="single" w:sz="8" w:space="0" w:color="000000"/>
                    <w:bottom w:val="single" w:sz="8" w:space="0" w:color="000000"/>
                    <w:right w:val="single" w:sz="8" w:space="0" w:color="000000"/>
                  </w:tcBorders>
                  <w:vAlign w:val="center"/>
                  <w:hideMark/>
                </w:tcPr>
                <w:p w14:paraId="36250B02" w14:textId="77777777" w:rsidR="000C3C72" w:rsidRPr="00393FC0" w:rsidRDefault="000C3C72" w:rsidP="000C3C72">
                  <w:pPr>
                    <w:spacing w:after="0" w:line="240" w:lineRule="auto"/>
                    <w:rPr>
                      <w:rFonts w:eastAsia="Times New Roman" w:cs="Arial"/>
                      <w:color w:val="FF0000"/>
                    </w:rPr>
                  </w:pPr>
                </w:p>
              </w:tc>
              <w:tc>
                <w:tcPr>
                  <w:tcW w:w="1460" w:type="dxa"/>
                  <w:vMerge/>
                  <w:tcBorders>
                    <w:top w:val="nil"/>
                    <w:left w:val="single" w:sz="8" w:space="0" w:color="000000"/>
                    <w:bottom w:val="single" w:sz="8" w:space="0" w:color="000000"/>
                    <w:right w:val="single" w:sz="8" w:space="0" w:color="000000"/>
                  </w:tcBorders>
                  <w:vAlign w:val="center"/>
                  <w:hideMark/>
                </w:tcPr>
                <w:p w14:paraId="46241827" w14:textId="77777777" w:rsidR="000C3C72" w:rsidRPr="00393FC0" w:rsidRDefault="000C3C72" w:rsidP="000C3C72">
                  <w:pPr>
                    <w:spacing w:after="0" w:line="240" w:lineRule="auto"/>
                    <w:rPr>
                      <w:rFonts w:eastAsia="Times New Roman" w:cs="Arial"/>
                      <w:color w:val="FF0000"/>
                    </w:rPr>
                  </w:pPr>
                </w:p>
              </w:tc>
              <w:tc>
                <w:tcPr>
                  <w:tcW w:w="1440" w:type="dxa"/>
                  <w:vMerge/>
                  <w:tcBorders>
                    <w:top w:val="nil"/>
                    <w:left w:val="single" w:sz="8" w:space="0" w:color="000000"/>
                    <w:bottom w:val="single" w:sz="8" w:space="0" w:color="000000"/>
                    <w:right w:val="single" w:sz="8" w:space="0" w:color="000000"/>
                  </w:tcBorders>
                  <w:vAlign w:val="center"/>
                  <w:hideMark/>
                </w:tcPr>
                <w:p w14:paraId="71BF747F" w14:textId="77777777" w:rsidR="000C3C72" w:rsidRPr="00393FC0" w:rsidRDefault="000C3C72" w:rsidP="000C3C72">
                  <w:pPr>
                    <w:spacing w:after="0" w:line="240" w:lineRule="auto"/>
                    <w:rPr>
                      <w:rFonts w:eastAsia="Times New Roman" w:cs="Arial"/>
                      <w:color w:val="FF0000"/>
                    </w:rPr>
                  </w:pPr>
                </w:p>
              </w:tc>
            </w:tr>
            <w:tr w:rsidR="00393FC0" w:rsidRPr="00393FC0" w14:paraId="6B4BC829" w14:textId="77777777" w:rsidTr="000C3C72">
              <w:trPr>
                <w:trHeight w:val="300"/>
              </w:trPr>
              <w:tc>
                <w:tcPr>
                  <w:tcW w:w="3020" w:type="dxa"/>
                  <w:tcBorders>
                    <w:top w:val="nil"/>
                    <w:left w:val="single" w:sz="8" w:space="0" w:color="000000"/>
                    <w:bottom w:val="single" w:sz="8" w:space="0" w:color="000000"/>
                    <w:right w:val="single" w:sz="8" w:space="0" w:color="000000"/>
                  </w:tcBorders>
                  <w:shd w:val="clear" w:color="auto" w:fill="auto"/>
                  <w:vAlign w:val="center"/>
                  <w:hideMark/>
                </w:tcPr>
                <w:p w14:paraId="66622B49"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 c statistic</w:t>
                  </w:r>
                </w:p>
              </w:tc>
              <w:tc>
                <w:tcPr>
                  <w:tcW w:w="1460" w:type="dxa"/>
                  <w:tcBorders>
                    <w:top w:val="nil"/>
                    <w:left w:val="nil"/>
                    <w:bottom w:val="single" w:sz="8" w:space="0" w:color="000000"/>
                    <w:right w:val="single" w:sz="8" w:space="0" w:color="000000"/>
                  </w:tcBorders>
                  <w:shd w:val="clear" w:color="auto" w:fill="auto"/>
                  <w:vAlign w:val="center"/>
                  <w:hideMark/>
                </w:tcPr>
                <w:p w14:paraId="5F2379C4"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0.694</w:t>
                  </w:r>
                </w:p>
              </w:tc>
              <w:tc>
                <w:tcPr>
                  <w:tcW w:w="1440" w:type="dxa"/>
                  <w:tcBorders>
                    <w:top w:val="nil"/>
                    <w:left w:val="nil"/>
                    <w:bottom w:val="single" w:sz="8" w:space="0" w:color="000000"/>
                    <w:right w:val="single" w:sz="8" w:space="0" w:color="000000"/>
                  </w:tcBorders>
                  <w:shd w:val="clear" w:color="auto" w:fill="auto"/>
                  <w:vAlign w:val="center"/>
                  <w:hideMark/>
                </w:tcPr>
                <w:p w14:paraId="6F0343C5"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0.694</w:t>
                  </w:r>
                </w:p>
              </w:tc>
            </w:tr>
          </w:tbl>
          <w:p w14:paraId="30B96541" w14:textId="77777777" w:rsidR="00084E1A" w:rsidRPr="00393FC0" w:rsidRDefault="00084E1A" w:rsidP="00040E1C">
            <w:pPr>
              <w:spacing w:after="0" w:line="240" w:lineRule="auto"/>
              <w:rPr>
                <w:rFonts w:eastAsia="Times New Roman" w:cs="Times New Roman"/>
                <w:b/>
                <w:bCs/>
                <w:color w:val="FF0000"/>
              </w:rPr>
            </w:pPr>
          </w:p>
          <w:p w14:paraId="160B73E7" w14:textId="33ADE1BA" w:rsidR="00040E1C" w:rsidRPr="00393FC0" w:rsidRDefault="00040E1C" w:rsidP="00040E1C">
            <w:pPr>
              <w:spacing w:after="0" w:line="240" w:lineRule="auto"/>
              <w:rPr>
                <w:rFonts w:eastAsia="Times New Roman" w:cs="Times New Roman"/>
                <w:b/>
                <w:bCs/>
                <w:color w:val="FF0000"/>
              </w:rPr>
            </w:pPr>
            <w:r w:rsidRPr="00393FC0">
              <w:rPr>
                <w:rFonts w:eastAsia="Times New Roman" w:cs="Times New Roman"/>
                <w:b/>
                <w:bCs/>
                <w:color w:val="FF0000"/>
              </w:rPr>
              <w:t>Cardiorespiratory Cohort Model Discrimination</w:t>
            </w:r>
          </w:p>
        </w:tc>
      </w:tr>
      <w:tr w:rsidR="005D5B85" w:rsidRPr="00575EE3" w14:paraId="3BE32B17" w14:textId="77777777" w:rsidTr="000C3C72">
        <w:trPr>
          <w:gridAfter w:val="2"/>
          <w:wAfter w:w="1127" w:type="dxa"/>
          <w:trHeight w:val="300"/>
        </w:trPr>
        <w:tc>
          <w:tcPr>
            <w:tcW w:w="6156" w:type="dxa"/>
            <w:gridSpan w:val="5"/>
            <w:tcBorders>
              <w:top w:val="nil"/>
              <w:left w:val="nil"/>
              <w:bottom w:val="nil"/>
              <w:right w:val="nil"/>
            </w:tcBorders>
            <w:shd w:val="clear" w:color="auto" w:fill="auto"/>
            <w:noWrap/>
            <w:vAlign w:val="center"/>
          </w:tcPr>
          <w:tbl>
            <w:tblPr>
              <w:tblW w:w="5910" w:type="dxa"/>
              <w:tblLook w:val="04A0" w:firstRow="1" w:lastRow="0" w:firstColumn="1" w:lastColumn="0" w:noHBand="0" w:noVBand="1"/>
            </w:tblPr>
            <w:tblGrid>
              <w:gridCol w:w="3017"/>
              <w:gridCol w:w="1455"/>
              <w:gridCol w:w="1438"/>
            </w:tblGrid>
            <w:tr w:rsidR="00393FC0" w:rsidRPr="00393FC0" w14:paraId="79EAE715" w14:textId="77777777" w:rsidTr="00EC452F">
              <w:trPr>
                <w:trHeight w:val="288"/>
              </w:trPr>
              <w:tc>
                <w:tcPr>
                  <w:tcW w:w="303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4B13890C"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Indices</w:t>
                  </w:r>
                </w:p>
              </w:tc>
              <w:tc>
                <w:tcPr>
                  <w:tcW w:w="1440" w:type="dxa"/>
                  <w:tcBorders>
                    <w:top w:val="single" w:sz="8" w:space="0" w:color="000000"/>
                    <w:left w:val="nil"/>
                    <w:bottom w:val="nil"/>
                    <w:right w:val="single" w:sz="8" w:space="0" w:color="000000"/>
                  </w:tcBorders>
                  <w:shd w:val="clear" w:color="auto" w:fill="DBE5F1" w:themeFill="accent1" w:themeFillTint="33"/>
                  <w:vAlign w:val="center"/>
                  <w:hideMark/>
                </w:tcPr>
                <w:p w14:paraId="477D643B"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c>
                <w:tcPr>
                  <w:tcW w:w="1440" w:type="dxa"/>
                  <w:tcBorders>
                    <w:top w:val="single" w:sz="8" w:space="0" w:color="000000"/>
                    <w:left w:val="nil"/>
                    <w:bottom w:val="nil"/>
                    <w:right w:val="single" w:sz="8" w:space="0" w:color="000000"/>
                  </w:tcBorders>
                  <w:shd w:val="clear" w:color="auto" w:fill="DBE5F1" w:themeFill="accent1" w:themeFillTint="33"/>
                  <w:vAlign w:val="center"/>
                  <w:hideMark/>
                </w:tcPr>
                <w:p w14:paraId="307B013A"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r>
            <w:tr w:rsidR="00393FC0" w:rsidRPr="00393FC0" w14:paraId="1B678BC1" w14:textId="77777777" w:rsidTr="00EC452F">
              <w:trPr>
                <w:trHeight w:val="540"/>
              </w:trPr>
              <w:tc>
                <w:tcPr>
                  <w:tcW w:w="303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43B008BD" w14:textId="77777777" w:rsidR="000C3C72" w:rsidRPr="00393FC0" w:rsidRDefault="000C3C72" w:rsidP="000C3C72">
                  <w:pPr>
                    <w:spacing w:after="0" w:line="240" w:lineRule="auto"/>
                    <w:rPr>
                      <w:rFonts w:eastAsia="Times New Roman" w:cs="Arial"/>
                      <w:b/>
                      <w:bCs/>
                      <w:color w:val="FF0000"/>
                    </w:rPr>
                  </w:pPr>
                </w:p>
              </w:tc>
              <w:tc>
                <w:tcPr>
                  <w:tcW w:w="1440" w:type="dxa"/>
                  <w:tcBorders>
                    <w:top w:val="nil"/>
                    <w:left w:val="nil"/>
                    <w:bottom w:val="single" w:sz="8" w:space="0" w:color="000000"/>
                    <w:right w:val="single" w:sz="8" w:space="0" w:color="000000"/>
                  </w:tcBorders>
                  <w:shd w:val="clear" w:color="auto" w:fill="DBE5F1" w:themeFill="accent1" w:themeFillTint="33"/>
                  <w:vAlign w:val="center"/>
                  <w:hideMark/>
                </w:tcPr>
                <w:p w14:paraId="534C1B18"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Development Sample</w:t>
                  </w:r>
                </w:p>
              </w:tc>
              <w:tc>
                <w:tcPr>
                  <w:tcW w:w="1440" w:type="dxa"/>
                  <w:tcBorders>
                    <w:top w:val="nil"/>
                    <w:left w:val="nil"/>
                    <w:bottom w:val="single" w:sz="8" w:space="0" w:color="000000"/>
                    <w:right w:val="single" w:sz="8" w:space="0" w:color="000000"/>
                  </w:tcBorders>
                  <w:shd w:val="clear" w:color="auto" w:fill="DBE5F1" w:themeFill="accent1" w:themeFillTint="33"/>
                  <w:vAlign w:val="center"/>
                  <w:hideMark/>
                </w:tcPr>
                <w:p w14:paraId="29B838CB"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Validation Sample</w:t>
                  </w:r>
                </w:p>
              </w:tc>
            </w:tr>
            <w:tr w:rsidR="00393FC0" w:rsidRPr="00393FC0" w14:paraId="148DF636" w14:textId="77777777" w:rsidTr="00EC452F">
              <w:trPr>
                <w:trHeight w:val="300"/>
              </w:trPr>
              <w:tc>
                <w:tcPr>
                  <w:tcW w:w="3030" w:type="dxa"/>
                  <w:tcBorders>
                    <w:top w:val="nil"/>
                    <w:left w:val="single" w:sz="8" w:space="0" w:color="000000"/>
                    <w:bottom w:val="single" w:sz="8" w:space="0" w:color="000000"/>
                    <w:right w:val="single" w:sz="8" w:space="0" w:color="000000"/>
                  </w:tcBorders>
                  <w:shd w:val="clear" w:color="auto" w:fill="auto"/>
                  <w:vAlign w:val="center"/>
                  <w:hideMark/>
                </w:tcPr>
                <w:p w14:paraId="6E6933F1"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hospital stays</w:t>
                  </w:r>
                </w:p>
              </w:tc>
              <w:tc>
                <w:tcPr>
                  <w:tcW w:w="1440" w:type="dxa"/>
                  <w:tcBorders>
                    <w:top w:val="nil"/>
                    <w:left w:val="nil"/>
                    <w:bottom w:val="single" w:sz="8" w:space="0" w:color="000000"/>
                    <w:right w:val="single" w:sz="8" w:space="0" w:color="000000"/>
                  </w:tcBorders>
                  <w:shd w:val="clear" w:color="auto" w:fill="auto"/>
                  <w:vAlign w:val="center"/>
                  <w:hideMark/>
                </w:tcPr>
                <w:p w14:paraId="54FA93AB"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249,649</w:t>
                  </w:r>
                </w:p>
              </w:tc>
              <w:tc>
                <w:tcPr>
                  <w:tcW w:w="1440" w:type="dxa"/>
                  <w:tcBorders>
                    <w:top w:val="nil"/>
                    <w:left w:val="nil"/>
                    <w:bottom w:val="single" w:sz="8" w:space="0" w:color="000000"/>
                    <w:right w:val="single" w:sz="8" w:space="0" w:color="000000"/>
                  </w:tcBorders>
                  <w:shd w:val="clear" w:color="auto" w:fill="auto"/>
                  <w:vAlign w:val="center"/>
                  <w:hideMark/>
                </w:tcPr>
                <w:p w14:paraId="2BFFEF59"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249,992</w:t>
                  </w:r>
                </w:p>
              </w:tc>
            </w:tr>
            <w:tr w:rsidR="00393FC0" w:rsidRPr="00393FC0" w14:paraId="2C5A0EC9" w14:textId="77777777" w:rsidTr="00EC452F">
              <w:trPr>
                <w:trHeight w:val="300"/>
              </w:trPr>
              <w:tc>
                <w:tcPr>
                  <w:tcW w:w="3030" w:type="dxa"/>
                  <w:tcBorders>
                    <w:top w:val="nil"/>
                    <w:left w:val="single" w:sz="8" w:space="0" w:color="000000"/>
                    <w:bottom w:val="single" w:sz="8" w:space="0" w:color="000000"/>
                    <w:right w:val="single" w:sz="8" w:space="0" w:color="000000"/>
                  </w:tcBorders>
                  <w:shd w:val="clear" w:color="auto" w:fill="auto"/>
                  <w:vAlign w:val="center"/>
                  <w:hideMark/>
                </w:tcPr>
                <w:p w14:paraId="252B3708"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ACOs</w:t>
                  </w:r>
                </w:p>
              </w:tc>
              <w:tc>
                <w:tcPr>
                  <w:tcW w:w="1440" w:type="dxa"/>
                  <w:tcBorders>
                    <w:top w:val="nil"/>
                    <w:left w:val="nil"/>
                    <w:bottom w:val="single" w:sz="8" w:space="0" w:color="000000"/>
                    <w:right w:val="single" w:sz="8" w:space="0" w:color="000000"/>
                  </w:tcBorders>
                  <w:shd w:val="clear" w:color="auto" w:fill="auto"/>
                  <w:vAlign w:val="center"/>
                  <w:hideMark/>
                </w:tcPr>
                <w:p w14:paraId="05EAF757"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449</w:t>
                  </w:r>
                </w:p>
              </w:tc>
              <w:tc>
                <w:tcPr>
                  <w:tcW w:w="1440" w:type="dxa"/>
                  <w:tcBorders>
                    <w:top w:val="nil"/>
                    <w:left w:val="nil"/>
                    <w:bottom w:val="single" w:sz="8" w:space="0" w:color="000000"/>
                    <w:right w:val="single" w:sz="8" w:space="0" w:color="000000"/>
                  </w:tcBorders>
                  <w:shd w:val="clear" w:color="auto" w:fill="auto"/>
                  <w:vAlign w:val="center"/>
                  <w:hideMark/>
                </w:tcPr>
                <w:p w14:paraId="221F7862"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449</w:t>
                  </w:r>
                </w:p>
              </w:tc>
            </w:tr>
            <w:tr w:rsidR="00393FC0" w:rsidRPr="00393FC0" w14:paraId="258C9813" w14:textId="77777777" w:rsidTr="00EC452F">
              <w:trPr>
                <w:trHeight w:val="300"/>
              </w:trPr>
              <w:tc>
                <w:tcPr>
                  <w:tcW w:w="3030" w:type="dxa"/>
                  <w:tcBorders>
                    <w:top w:val="nil"/>
                    <w:left w:val="single" w:sz="8" w:space="0" w:color="000000"/>
                    <w:bottom w:val="single" w:sz="8" w:space="0" w:color="000000"/>
                    <w:right w:val="single" w:sz="8" w:space="0" w:color="000000"/>
                  </w:tcBorders>
                  <w:shd w:val="clear" w:color="auto" w:fill="auto"/>
                  <w:vAlign w:val="center"/>
                  <w:hideMark/>
                </w:tcPr>
                <w:p w14:paraId="15F5FDED"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Unadjusted readmission rate</w:t>
                  </w:r>
                </w:p>
              </w:tc>
              <w:tc>
                <w:tcPr>
                  <w:tcW w:w="1440" w:type="dxa"/>
                  <w:tcBorders>
                    <w:top w:val="nil"/>
                    <w:left w:val="nil"/>
                    <w:bottom w:val="single" w:sz="8" w:space="0" w:color="000000"/>
                    <w:right w:val="single" w:sz="8" w:space="0" w:color="000000"/>
                  </w:tcBorders>
                  <w:shd w:val="clear" w:color="auto" w:fill="auto"/>
                  <w:vAlign w:val="center"/>
                  <w:hideMark/>
                </w:tcPr>
                <w:p w14:paraId="191B3CD3"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18.90%</w:t>
                  </w:r>
                </w:p>
              </w:tc>
              <w:tc>
                <w:tcPr>
                  <w:tcW w:w="1440" w:type="dxa"/>
                  <w:tcBorders>
                    <w:top w:val="nil"/>
                    <w:left w:val="nil"/>
                    <w:bottom w:val="single" w:sz="8" w:space="0" w:color="000000"/>
                    <w:right w:val="single" w:sz="8" w:space="0" w:color="000000"/>
                  </w:tcBorders>
                  <w:shd w:val="clear" w:color="auto" w:fill="auto"/>
                  <w:vAlign w:val="center"/>
                  <w:hideMark/>
                </w:tcPr>
                <w:p w14:paraId="44F92851"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18.96%</w:t>
                  </w:r>
                </w:p>
              </w:tc>
            </w:tr>
            <w:tr w:rsidR="00393FC0" w:rsidRPr="00393FC0" w14:paraId="7BDEA0E7" w14:textId="77777777" w:rsidTr="00EC452F">
              <w:trPr>
                <w:trHeight w:val="288"/>
              </w:trPr>
              <w:tc>
                <w:tcPr>
                  <w:tcW w:w="303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DB2D2EB"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-Predictive Ability (lowest decile %, highest decile %)</w:t>
                  </w:r>
                </w:p>
              </w:tc>
              <w:tc>
                <w:tcPr>
                  <w:tcW w:w="14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05235D1"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10 -- 34</w:t>
                  </w:r>
                </w:p>
              </w:tc>
              <w:tc>
                <w:tcPr>
                  <w:tcW w:w="14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CE798D3"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10 -- 35</w:t>
                  </w:r>
                </w:p>
              </w:tc>
            </w:tr>
            <w:tr w:rsidR="00393FC0" w:rsidRPr="00393FC0" w14:paraId="72C2EE98" w14:textId="77777777" w:rsidTr="00EC452F">
              <w:trPr>
                <w:trHeight w:val="509"/>
              </w:trPr>
              <w:tc>
                <w:tcPr>
                  <w:tcW w:w="3030" w:type="dxa"/>
                  <w:vMerge/>
                  <w:tcBorders>
                    <w:top w:val="nil"/>
                    <w:left w:val="single" w:sz="8" w:space="0" w:color="000000"/>
                    <w:bottom w:val="single" w:sz="8" w:space="0" w:color="000000"/>
                    <w:right w:val="single" w:sz="8" w:space="0" w:color="000000"/>
                  </w:tcBorders>
                  <w:vAlign w:val="center"/>
                  <w:hideMark/>
                </w:tcPr>
                <w:p w14:paraId="26CFBE59" w14:textId="77777777" w:rsidR="000C3C72" w:rsidRPr="00393FC0" w:rsidRDefault="000C3C72" w:rsidP="000C3C72">
                  <w:pPr>
                    <w:spacing w:after="0" w:line="240" w:lineRule="auto"/>
                    <w:rPr>
                      <w:rFonts w:eastAsia="Times New Roman" w:cs="Arial"/>
                      <w:color w:val="FF0000"/>
                    </w:rPr>
                  </w:pPr>
                </w:p>
              </w:tc>
              <w:tc>
                <w:tcPr>
                  <w:tcW w:w="1440" w:type="dxa"/>
                  <w:vMerge/>
                  <w:tcBorders>
                    <w:top w:val="nil"/>
                    <w:left w:val="single" w:sz="8" w:space="0" w:color="000000"/>
                    <w:bottom w:val="single" w:sz="8" w:space="0" w:color="000000"/>
                    <w:right w:val="single" w:sz="8" w:space="0" w:color="000000"/>
                  </w:tcBorders>
                  <w:vAlign w:val="center"/>
                  <w:hideMark/>
                </w:tcPr>
                <w:p w14:paraId="0AC61CB3" w14:textId="77777777" w:rsidR="000C3C72" w:rsidRPr="00393FC0" w:rsidRDefault="000C3C72" w:rsidP="000C3C72">
                  <w:pPr>
                    <w:spacing w:after="0" w:line="240" w:lineRule="auto"/>
                    <w:rPr>
                      <w:rFonts w:eastAsia="Times New Roman" w:cs="Arial"/>
                      <w:color w:val="FF0000"/>
                    </w:rPr>
                  </w:pPr>
                </w:p>
              </w:tc>
              <w:tc>
                <w:tcPr>
                  <w:tcW w:w="1440" w:type="dxa"/>
                  <w:vMerge/>
                  <w:tcBorders>
                    <w:top w:val="nil"/>
                    <w:left w:val="single" w:sz="8" w:space="0" w:color="000000"/>
                    <w:bottom w:val="single" w:sz="8" w:space="0" w:color="000000"/>
                    <w:right w:val="single" w:sz="8" w:space="0" w:color="000000"/>
                  </w:tcBorders>
                  <w:vAlign w:val="center"/>
                  <w:hideMark/>
                </w:tcPr>
                <w:p w14:paraId="6D47B3A0" w14:textId="77777777" w:rsidR="000C3C72" w:rsidRPr="00393FC0" w:rsidRDefault="000C3C72" w:rsidP="000C3C72">
                  <w:pPr>
                    <w:spacing w:after="0" w:line="240" w:lineRule="auto"/>
                    <w:rPr>
                      <w:rFonts w:eastAsia="Times New Roman" w:cs="Arial"/>
                      <w:color w:val="FF0000"/>
                    </w:rPr>
                  </w:pPr>
                </w:p>
              </w:tc>
            </w:tr>
            <w:tr w:rsidR="00393FC0" w:rsidRPr="00393FC0" w14:paraId="7411981E" w14:textId="77777777" w:rsidTr="00EC452F">
              <w:trPr>
                <w:trHeight w:val="300"/>
              </w:trPr>
              <w:tc>
                <w:tcPr>
                  <w:tcW w:w="3030" w:type="dxa"/>
                  <w:tcBorders>
                    <w:top w:val="nil"/>
                    <w:left w:val="single" w:sz="8" w:space="0" w:color="000000"/>
                    <w:bottom w:val="single" w:sz="8" w:space="0" w:color="000000"/>
                    <w:right w:val="single" w:sz="8" w:space="0" w:color="000000"/>
                  </w:tcBorders>
                  <w:shd w:val="clear" w:color="auto" w:fill="auto"/>
                  <w:vAlign w:val="center"/>
                  <w:hideMark/>
                </w:tcPr>
                <w:p w14:paraId="3B482598"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 c statistic</w:t>
                  </w:r>
                </w:p>
              </w:tc>
              <w:tc>
                <w:tcPr>
                  <w:tcW w:w="1440" w:type="dxa"/>
                  <w:tcBorders>
                    <w:top w:val="nil"/>
                    <w:left w:val="nil"/>
                    <w:bottom w:val="single" w:sz="8" w:space="0" w:color="000000"/>
                    <w:right w:val="single" w:sz="8" w:space="0" w:color="000000"/>
                  </w:tcBorders>
                  <w:shd w:val="clear" w:color="auto" w:fill="auto"/>
                  <w:vAlign w:val="center"/>
                  <w:hideMark/>
                </w:tcPr>
                <w:p w14:paraId="59D7131B"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0.638</w:t>
                  </w:r>
                </w:p>
              </w:tc>
              <w:tc>
                <w:tcPr>
                  <w:tcW w:w="1440" w:type="dxa"/>
                  <w:tcBorders>
                    <w:top w:val="nil"/>
                    <w:left w:val="nil"/>
                    <w:bottom w:val="single" w:sz="8" w:space="0" w:color="000000"/>
                    <w:right w:val="single" w:sz="8" w:space="0" w:color="000000"/>
                  </w:tcBorders>
                  <w:shd w:val="clear" w:color="auto" w:fill="auto"/>
                  <w:vAlign w:val="center"/>
                  <w:hideMark/>
                </w:tcPr>
                <w:p w14:paraId="2B04D950"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0.639</w:t>
                  </w:r>
                </w:p>
              </w:tc>
            </w:tr>
          </w:tbl>
          <w:p w14:paraId="1217F373" w14:textId="77777777" w:rsidR="005D5B85" w:rsidRPr="00393FC0" w:rsidRDefault="005D5B85" w:rsidP="00040E1C">
            <w:pPr>
              <w:spacing w:after="0" w:line="240" w:lineRule="auto"/>
              <w:rPr>
                <w:rFonts w:eastAsia="Times New Roman" w:cs="Times New Roman"/>
                <w:b/>
                <w:bCs/>
                <w:color w:val="FF0000"/>
              </w:rPr>
            </w:pPr>
          </w:p>
        </w:tc>
      </w:tr>
      <w:tr w:rsidR="00040E1C" w:rsidRPr="00575EE3" w14:paraId="08371812" w14:textId="77777777" w:rsidTr="000C3C72">
        <w:trPr>
          <w:gridAfter w:val="2"/>
          <w:wAfter w:w="1127" w:type="dxa"/>
          <w:trHeight w:val="300"/>
        </w:trPr>
        <w:tc>
          <w:tcPr>
            <w:tcW w:w="6156" w:type="dxa"/>
            <w:gridSpan w:val="5"/>
            <w:tcBorders>
              <w:top w:val="nil"/>
              <w:left w:val="nil"/>
              <w:bottom w:val="nil"/>
              <w:right w:val="nil"/>
            </w:tcBorders>
            <w:shd w:val="clear" w:color="auto" w:fill="auto"/>
            <w:noWrap/>
            <w:vAlign w:val="center"/>
            <w:hideMark/>
          </w:tcPr>
          <w:p w14:paraId="300F81A2" w14:textId="4E691424" w:rsidR="00234668" w:rsidRDefault="00234668" w:rsidP="00040E1C">
            <w:pPr>
              <w:spacing w:after="0" w:line="240" w:lineRule="auto"/>
              <w:rPr>
                <w:rFonts w:eastAsia="Times New Roman" w:cs="Times New Roman"/>
                <w:b/>
                <w:bCs/>
                <w:color w:val="FF0000"/>
              </w:rPr>
            </w:pPr>
          </w:p>
          <w:p w14:paraId="30368F6E" w14:textId="55F4BBA7" w:rsidR="00575EE3" w:rsidRDefault="00575EE3" w:rsidP="00040E1C">
            <w:pPr>
              <w:spacing w:after="0" w:line="240" w:lineRule="auto"/>
              <w:rPr>
                <w:rFonts w:eastAsia="Times New Roman" w:cs="Times New Roman"/>
                <w:b/>
                <w:bCs/>
                <w:color w:val="FF0000"/>
              </w:rPr>
            </w:pPr>
          </w:p>
          <w:p w14:paraId="28CFEB28" w14:textId="38BB7001" w:rsidR="00575EE3" w:rsidRDefault="00575EE3" w:rsidP="00040E1C">
            <w:pPr>
              <w:spacing w:after="0" w:line="240" w:lineRule="auto"/>
              <w:rPr>
                <w:rFonts w:eastAsia="Times New Roman" w:cs="Times New Roman"/>
                <w:b/>
                <w:bCs/>
                <w:color w:val="FF0000"/>
              </w:rPr>
            </w:pPr>
          </w:p>
          <w:p w14:paraId="09C495AE" w14:textId="2478544C" w:rsidR="00575EE3" w:rsidRDefault="00575EE3" w:rsidP="00040E1C">
            <w:pPr>
              <w:spacing w:after="0" w:line="240" w:lineRule="auto"/>
              <w:rPr>
                <w:rFonts w:eastAsia="Times New Roman" w:cs="Times New Roman"/>
                <w:b/>
                <w:bCs/>
                <w:color w:val="FF0000"/>
              </w:rPr>
            </w:pPr>
          </w:p>
          <w:p w14:paraId="3746C0A0" w14:textId="06AC6864" w:rsidR="00575EE3" w:rsidRDefault="00575EE3" w:rsidP="00040E1C">
            <w:pPr>
              <w:spacing w:after="0" w:line="240" w:lineRule="auto"/>
              <w:rPr>
                <w:rFonts w:eastAsia="Times New Roman" w:cs="Times New Roman"/>
                <w:b/>
                <w:bCs/>
                <w:color w:val="FF0000"/>
              </w:rPr>
            </w:pPr>
          </w:p>
          <w:p w14:paraId="1F2D7F60" w14:textId="77777777" w:rsidR="00575EE3" w:rsidRPr="00344149" w:rsidRDefault="00575EE3" w:rsidP="00040E1C">
            <w:pPr>
              <w:spacing w:after="0" w:line="240" w:lineRule="auto"/>
              <w:rPr>
                <w:rFonts w:eastAsia="Times New Roman" w:cs="Times New Roman"/>
                <w:b/>
                <w:bCs/>
                <w:color w:val="FF0000"/>
              </w:rPr>
            </w:pPr>
          </w:p>
          <w:p w14:paraId="0BF67019" w14:textId="77777777" w:rsidR="00040E1C" w:rsidRPr="00344149" w:rsidRDefault="00040E1C" w:rsidP="00040E1C">
            <w:pPr>
              <w:spacing w:after="0" w:line="240" w:lineRule="auto"/>
              <w:rPr>
                <w:rFonts w:eastAsia="Times New Roman" w:cs="Times New Roman"/>
                <w:b/>
                <w:bCs/>
                <w:color w:val="FF0000"/>
              </w:rPr>
            </w:pPr>
            <w:r w:rsidRPr="00724048">
              <w:rPr>
                <w:rFonts w:eastAsia="Times New Roman" w:cs="Times New Roman"/>
                <w:b/>
                <w:bCs/>
              </w:rPr>
              <w:t>Cardiovascular Cohort Model Discrimination</w:t>
            </w:r>
          </w:p>
        </w:tc>
      </w:tr>
      <w:tr w:rsidR="005B6894" w:rsidRPr="00575EE3" w14:paraId="46443DE3" w14:textId="77777777" w:rsidTr="000C3C72">
        <w:trPr>
          <w:gridAfter w:val="2"/>
          <w:wAfter w:w="1127" w:type="dxa"/>
          <w:trHeight w:val="300"/>
        </w:trPr>
        <w:tc>
          <w:tcPr>
            <w:tcW w:w="6156" w:type="dxa"/>
            <w:gridSpan w:val="5"/>
            <w:tcBorders>
              <w:top w:val="nil"/>
              <w:left w:val="nil"/>
              <w:bottom w:val="nil"/>
              <w:right w:val="nil"/>
            </w:tcBorders>
            <w:shd w:val="clear" w:color="auto" w:fill="auto"/>
            <w:noWrap/>
            <w:vAlign w:val="center"/>
          </w:tcPr>
          <w:tbl>
            <w:tblPr>
              <w:tblW w:w="5420" w:type="dxa"/>
              <w:tblLook w:val="04A0" w:firstRow="1" w:lastRow="0" w:firstColumn="1" w:lastColumn="0" w:noHBand="0" w:noVBand="1"/>
            </w:tblPr>
            <w:tblGrid>
              <w:gridCol w:w="2709"/>
              <w:gridCol w:w="1455"/>
              <w:gridCol w:w="1256"/>
            </w:tblGrid>
            <w:tr w:rsidR="00393FC0" w:rsidRPr="00393FC0" w14:paraId="08774BEB" w14:textId="77777777" w:rsidTr="00575EE3">
              <w:trPr>
                <w:trHeight w:val="288"/>
              </w:trPr>
              <w:tc>
                <w:tcPr>
                  <w:tcW w:w="276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09593C6E"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lastRenderedPageBreak/>
                    <w:t>Indices</w:t>
                  </w:r>
                </w:p>
              </w:tc>
              <w:tc>
                <w:tcPr>
                  <w:tcW w:w="1400" w:type="dxa"/>
                  <w:tcBorders>
                    <w:top w:val="single" w:sz="8" w:space="0" w:color="000000"/>
                    <w:left w:val="nil"/>
                    <w:bottom w:val="nil"/>
                    <w:right w:val="single" w:sz="8" w:space="0" w:color="000000"/>
                  </w:tcBorders>
                  <w:shd w:val="clear" w:color="auto" w:fill="DBE5F1" w:themeFill="accent1" w:themeFillTint="33"/>
                  <w:vAlign w:val="center"/>
                  <w:hideMark/>
                </w:tcPr>
                <w:p w14:paraId="3F6FF1C5"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c>
                <w:tcPr>
                  <w:tcW w:w="1260" w:type="dxa"/>
                  <w:tcBorders>
                    <w:top w:val="single" w:sz="8" w:space="0" w:color="000000"/>
                    <w:left w:val="nil"/>
                    <w:bottom w:val="nil"/>
                    <w:right w:val="single" w:sz="8" w:space="0" w:color="000000"/>
                  </w:tcBorders>
                  <w:shd w:val="clear" w:color="auto" w:fill="DBE5F1" w:themeFill="accent1" w:themeFillTint="33"/>
                  <w:vAlign w:val="center"/>
                  <w:hideMark/>
                </w:tcPr>
                <w:p w14:paraId="449AFA0B"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r>
            <w:tr w:rsidR="00393FC0" w:rsidRPr="00393FC0" w14:paraId="35C8C242" w14:textId="77777777" w:rsidTr="00575EE3">
              <w:trPr>
                <w:trHeight w:val="540"/>
              </w:trPr>
              <w:tc>
                <w:tcPr>
                  <w:tcW w:w="276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63A83AA1" w14:textId="77777777" w:rsidR="000C3C72" w:rsidRPr="00393FC0" w:rsidRDefault="000C3C72" w:rsidP="000C3C72">
                  <w:pPr>
                    <w:spacing w:after="0" w:line="240" w:lineRule="auto"/>
                    <w:rPr>
                      <w:rFonts w:eastAsia="Times New Roman" w:cs="Arial"/>
                      <w:b/>
                      <w:bCs/>
                      <w:color w:val="FF0000"/>
                    </w:rPr>
                  </w:pPr>
                </w:p>
              </w:tc>
              <w:tc>
                <w:tcPr>
                  <w:tcW w:w="1400" w:type="dxa"/>
                  <w:tcBorders>
                    <w:top w:val="nil"/>
                    <w:left w:val="nil"/>
                    <w:bottom w:val="single" w:sz="8" w:space="0" w:color="000000"/>
                    <w:right w:val="single" w:sz="8" w:space="0" w:color="000000"/>
                  </w:tcBorders>
                  <w:shd w:val="clear" w:color="auto" w:fill="DBE5F1" w:themeFill="accent1" w:themeFillTint="33"/>
                  <w:vAlign w:val="center"/>
                  <w:hideMark/>
                </w:tcPr>
                <w:p w14:paraId="47DE1E89"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Development Sample</w:t>
                  </w:r>
                </w:p>
              </w:tc>
              <w:tc>
                <w:tcPr>
                  <w:tcW w:w="1260" w:type="dxa"/>
                  <w:tcBorders>
                    <w:top w:val="nil"/>
                    <w:left w:val="nil"/>
                    <w:bottom w:val="single" w:sz="8" w:space="0" w:color="000000"/>
                    <w:right w:val="single" w:sz="8" w:space="0" w:color="000000"/>
                  </w:tcBorders>
                  <w:shd w:val="clear" w:color="auto" w:fill="DBE5F1" w:themeFill="accent1" w:themeFillTint="33"/>
                  <w:vAlign w:val="center"/>
                  <w:hideMark/>
                </w:tcPr>
                <w:p w14:paraId="2F4644C3"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Validation Sample</w:t>
                  </w:r>
                </w:p>
              </w:tc>
            </w:tr>
            <w:tr w:rsidR="00393FC0" w:rsidRPr="00393FC0" w14:paraId="46E2A1BA" w14:textId="77777777" w:rsidTr="000C3C72">
              <w:trPr>
                <w:trHeight w:val="300"/>
              </w:trPr>
              <w:tc>
                <w:tcPr>
                  <w:tcW w:w="2760" w:type="dxa"/>
                  <w:tcBorders>
                    <w:top w:val="nil"/>
                    <w:left w:val="single" w:sz="8" w:space="0" w:color="000000"/>
                    <w:bottom w:val="single" w:sz="8" w:space="0" w:color="000000"/>
                    <w:right w:val="single" w:sz="8" w:space="0" w:color="000000"/>
                  </w:tcBorders>
                  <w:shd w:val="clear" w:color="auto" w:fill="auto"/>
                  <w:vAlign w:val="center"/>
                  <w:hideMark/>
                </w:tcPr>
                <w:p w14:paraId="71D13A83"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hospital stays</w:t>
                  </w:r>
                </w:p>
              </w:tc>
              <w:tc>
                <w:tcPr>
                  <w:tcW w:w="1400" w:type="dxa"/>
                  <w:tcBorders>
                    <w:top w:val="nil"/>
                    <w:left w:val="nil"/>
                    <w:bottom w:val="single" w:sz="8" w:space="0" w:color="000000"/>
                    <w:right w:val="single" w:sz="8" w:space="0" w:color="000000"/>
                  </w:tcBorders>
                  <w:shd w:val="clear" w:color="auto" w:fill="auto"/>
                  <w:vAlign w:val="center"/>
                  <w:hideMark/>
                </w:tcPr>
                <w:p w14:paraId="02BE99F2"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151,907</w:t>
                  </w:r>
                </w:p>
              </w:tc>
              <w:tc>
                <w:tcPr>
                  <w:tcW w:w="1260" w:type="dxa"/>
                  <w:tcBorders>
                    <w:top w:val="nil"/>
                    <w:left w:val="nil"/>
                    <w:bottom w:val="single" w:sz="8" w:space="0" w:color="000000"/>
                    <w:right w:val="single" w:sz="8" w:space="0" w:color="000000"/>
                  </w:tcBorders>
                  <w:shd w:val="clear" w:color="auto" w:fill="auto"/>
                  <w:vAlign w:val="center"/>
                  <w:hideMark/>
                </w:tcPr>
                <w:p w14:paraId="6524912F"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151,790</w:t>
                  </w:r>
                </w:p>
              </w:tc>
            </w:tr>
            <w:tr w:rsidR="00393FC0" w:rsidRPr="00393FC0" w14:paraId="355B25B7" w14:textId="77777777" w:rsidTr="000C3C72">
              <w:trPr>
                <w:trHeight w:val="300"/>
              </w:trPr>
              <w:tc>
                <w:tcPr>
                  <w:tcW w:w="2760" w:type="dxa"/>
                  <w:tcBorders>
                    <w:top w:val="nil"/>
                    <w:left w:val="single" w:sz="8" w:space="0" w:color="000000"/>
                    <w:bottom w:val="single" w:sz="8" w:space="0" w:color="000000"/>
                    <w:right w:val="single" w:sz="8" w:space="0" w:color="000000"/>
                  </w:tcBorders>
                  <w:shd w:val="clear" w:color="auto" w:fill="auto"/>
                  <w:vAlign w:val="center"/>
                  <w:hideMark/>
                </w:tcPr>
                <w:p w14:paraId="7F632B64"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ACOs</w:t>
                  </w:r>
                </w:p>
              </w:tc>
              <w:tc>
                <w:tcPr>
                  <w:tcW w:w="1400" w:type="dxa"/>
                  <w:tcBorders>
                    <w:top w:val="nil"/>
                    <w:left w:val="nil"/>
                    <w:bottom w:val="single" w:sz="8" w:space="0" w:color="000000"/>
                    <w:right w:val="single" w:sz="8" w:space="0" w:color="000000"/>
                  </w:tcBorders>
                  <w:shd w:val="clear" w:color="auto" w:fill="auto"/>
                  <w:vAlign w:val="center"/>
                  <w:hideMark/>
                </w:tcPr>
                <w:p w14:paraId="1A849ED4"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449</w:t>
                  </w:r>
                </w:p>
              </w:tc>
              <w:tc>
                <w:tcPr>
                  <w:tcW w:w="1260" w:type="dxa"/>
                  <w:tcBorders>
                    <w:top w:val="nil"/>
                    <w:left w:val="nil"/>
                    <w:bottom w:val="single" w:sz="8" w:space="0" w:color="000000"/>
                    <w:right w:val="single" w:sz="8" w:space="0" w:color="000000"/>
                  </w:tcBorders>
                  <w:shd w:val="clear" w:color="auto" w:fill="auto"/>
                  <w:vAlign w:val="center"/>
                  <w:hideMark/>
                </w:tcPr>
                <w:p w14:paraId="6CCDFC76"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448</w:t>
                  </w:r>
                </w:p>
              </w:tc>
            </w:tr>
            <w:tr w:rsidR="00393FC0" w:rsidRPr="00393FC0" w14:paraId="255CA2A3" w14:textId="77777777" w:rsidTr="000C3C72">
              <w:trPr>
                <w:trHeight w:val="300"/>
              </w:trPr>
              <w:tc>
                <w:tcPr>
                  <w:tcW w:w="2760" w:type="dxa"/>
                  <w:tcBorders>
                    <w:top w:val="nil"/>
                    <w:left w:val="single" w:sz="8" w:space="0" w:color="000000"/>
                    <w:bottom w:val="single" w:sz="8" w:space="0" w:color="000000"/>
                    <w:right w:val="single" w:sz="8" w:space="0" w:color="000000"/>
                  </w:tcBorders>
                  <w:shd w:val="clear" w:color="auto" w:fill="auto"/>
                  <w:vAlign w:val="center"/>
                  <w:hideMark/>
                </w:tcPr>
                <w:p w14:paraId="04C2B839"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Unadjusted readmission rate</w:t>
                  </w:r>
                </w:p>
              </w:tc>
              <w:tc>
                <w:tcPr>
                  <w:tcW w:w="1400" w:type="dxa"/>
                  <w:tcBorders>
                    <w:top w:val="nil"/>
                    <w:left w:val="nil"/>
                    <w:bottom w:val="single" w:sz="8" w:space="0" w:color="000000"/>
                    <w:right w:val="single" w:sz="8" w:space="0" w:color="000000"/>
                  </w:tcBorders>
                  <w:shd w:val="clear" w:color="auto" w:fill="auto"/>
                  <w:vAlign w:val="center"/>
                  <w:hideMark/>
                </w:tcPr>
                <w:p w14:paraId="3D2214E9"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13.72%</w:t>
                  </w:r>
                </w:p>
              </w:tc>
              <w:tc>
                <w:tcPr>
                  <w:tcW w:w="1260" w:type="dxa"/>
                  <w:tcBorders>
                    <w:top w:val="nil"/>
                    <w:left w:val="nil"/>
                    <w:bottom w:val="single" w:sz="8" w:space="0" w:color="000000"/>
                    <w:right w:val="single" w:sz="8" w:space="0" w:color="000000"/>
                  </w:tcBorders>
                  <w:shd w:val="clear" w:color="auto" w:fill="auto"/>
                  <w:vAlign w:val="center"/>
                  <w:hideMark/>
                </w:tcPr>
                <w:p w14:paraId="5F88FCF1"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13.85%</w:t>
                  </w:r>
                </w:p>
              </w:tc>
            </w:tr>
            <w:tr w:rsidR="00393FC0" w:rsidRPr="00393FC0" w14:paraId="243D5FF4" w14:textId="77777777" w:rsidTr="000C3C72">
              <w:trPr>
                <w:trHeight w:val="288"/>
              </w:trPr>
              <w:tc>
                <w:tcPr>
                  <w:tcW w:w="27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D80F12"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-Predictive Ability (lowest decile %, highest decile %)</w:t>
                  </w:r>
                </w:p>
              </w:tc>
              <w:tc>
                <w:tcPr>
                  <w:tcW w:w="14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4C706CD"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7 -- 30</w:t>
                  </w:r>
                </w:p>
              </w:tc>
              <w:tc>
                <w:tcPr>
                  <w:tcW w:w="12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25C9142"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7 -- 30</w:t>
                  </w:r>
                </w:p>
              </w:tc>
            </w:tr>
            <w:tr w:rsidR="00393FC0" w:rsidRPr="00393FC0" w14:paraId="05F89DE7" w14:textId="77777777" w:rsidTr="000C3C72">
              <w:trPr>
                <w:trHeight w:val="509"/>
              </w:trPr>
              <w:tc>
                <w:tcPr>
                  <w:tcW w:w="2760" w:type="dxa"/>
                  <w:vMerge/>
                  <w:tcBorders>
                    <w:top w:val="nil"/>
                    <w:left w:val="single" w:sz="8" w:space="0" w:color="000000"/>
                    <w:bottom w:val="single" w:sz="8" w:space="0" w:color="000000"/>
                    <w:right w:val="single" w:sz="8" w:space="0" w:color="000000"/>
                  </w:tcBorders>
                  <w:vAlign w:val="center"/>
                  <w:hideMark/>
                </w:tcPr>
                <w:p w14:paraId="6196D859" w14:textId="77777777" w:rsidR="000C3C72" w:rsidRPr="00393FC0" w:rsidRDefault="000C3C72" w:rsidP="000C3C72">
                  <w:pPr>
                    <w:spacing w:after="0" w:line="240" w:lineRule="auto"/>
                    <w:rPr>
                      <w:rFonts w:eastAsia="Times New Roman" w:cs="Arial"/>
                      <w:color w:val="FF0000"/>
                    </w:rPr>
                  </w:pPr>
                </w:p>
              </w:tc>
              <w:tc>
                <w:tcPr>
                  <w:tcW w:w="1400" w:type="dxa"/>
                  <w:vMerge/>
                  <w:tcBorders>
                    <w:top w:val="nil"/>
                    <w:left w:val="single" w:sz="8" w:space="0" w:color="000000"/>
                    <w:bottom w:val="single" w:sz="8" w:space="0" w:color="000000"/>
                    <w:right w:val="single" w:sz="8" w:space="0" w:color="000000"/>
                  </w:tcBorders>
                  <w:vAlign w:val="center"/>
                  <w:hideMark/>
                </w:tcPr>
                <w:p w14:paraId="72F6BDD3" w14:textId="77777777" w:rsidR="000C3C72" w:rsidRPr="00393FC0" w:rsidRDefault="000C3C72" w:rsidP="000C3C72">
                  <w:pPr>
                    <w:spacing w:after="0" w:line="240" w:lineRule="auto"/>
                    <w:rPr>
                      <w:rFonts w:eastAsia="Times New Roman" w:cs="Arial"/>
                      <w:color w:val="FF0000"/>
                    </w:rPr>
                  </w:pPr>
                </w:p>
              </w:tc>
              <w:tc>
                <w:tcPr>
                  <w:tcW w:w="1260" w:type="dxa"/>
                  <w:vMerge/>
                  <w:tcBorders>
                    <w:top w:val="nil"/>
                    <w:left w:val="single" w:sz="8" w:space="0" w:color="000000"/>
                    <w:bottom w:val="single" w:sz="8" w:space="0" w:color="000000"/>
                    <w:right w:val="single" w:sz="8" w:space="0" w:color="000000"/>
                  </w:tcBorders>
                  <w:vAlign w:val="center"/>
                  <w:hideMark/>
                </w:tcPr>
                <w:p w14:paraId="7EDD2C47" w14:textId="77777777" w:rsidR="000C3C72" w:rsidRPr="00393FC0" w:rsidRDefault="000C3C72" w:rsidP="000C3C72">
                  <w:pPr>
                    <w:spacing w:after="0" w:line="240" w:lineRule="auto"/>
                    <w:rPr>
                      <w:rFonts w:eastAsia="Times New Roman" w:cs="Arial"/>
                      <w:color w:val="FF0000"/>
                    </w:rPr>
                  </w:pPr>
                </w:p>
              </w:tc>
            </w:tr>
            <w:tr w:rsidR="00393FC0" w:rsidRPr="00393FC0" w14:paraId="39C348C1" w14:textId="77777777" w:rsidTr="000C3C72">
              <w:trPr>
                <w:trHeight w:val="300"/>
              </w:trPr>
              <w:tc>
                <w:tcPr>
                  <w:tcW w:w="2760" w:type="dxa"/>
                  <w:tcBorders>
                    <w:top w:val="nil"/>
                    <w:left w:val="single" w:sz="8" w:space="0" w:color="000000"/>
                    <w:bottom w:val="single" w:sz="8" w:space="0" w:color="000000"/>
                    <w:right w:val="single" w:sz="8" w:space="0" w:color="000000"/>
                  </w:tcBorders>
                  <w:shd w:val="clear" w:color="auto" w:fill="auto"/>
                  <w:vAlign w:val="center"/>
                  <w:hideMark/>
                </w:tcPr>
                <w:p w14:paraId="2DCE4F02"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 c statistic</w:t>
                  </w:r>
                </w:p>
              </w:tc>
              <w:tc>
                <w:tcPr>
                  <w:tcW w:w="1400" w:type="dxa"/>
                  <w:tcBorders>
                    <w:top w:val="nil"/>
                    <w:left w:val="nil"/>
                    <w:bottom w:val="single" w:sz="8" w:space="0" w:color="000000"/>
                    <w:right w:val="single" w:sz="8" w:space="0" w:color="000000"/>
                  </w:tcBorders>
                  <w:shd w:val="clear" w:color="auto" w:fill="auto"/>
                  <w:vAlign w:val="center"/>
                  <w:hideMark/>
                </w:tcPr>
                <w:p w14:paraId="5EB9BA05"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0.66</w:t>
                  </w:r>
                </w:p>
              </w:tc>
              <w:tc>
                <w:tcPr>
                  <w:tcW w:w="1260" w:type="dxa"/>
                  <w:tcBorders>
                    <w:top w:val="nil"/>
                    <w:left w:val="nil"/>
                    <w:bottom w:val="single" w:sz="8" w:space="0" w:color="000000"/>
                    <w:right w:val="single" w:sz="8" w:space="0" w:color="000000"/>
                  </w:tcBorders>
                  <w:shd w:val="clear" w:color="auto" w:fill="auto"/>
                  <w:vAlign w:val="center"/>
                  <w:hideMark/>
                </w:tcPr>
                <w:p w14:paraId="162237CC"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0.66</w:t>
                  </w:r>
                </w:p>
              </w:tc>
            </w:tr>
          </w:tbl>
          <w:p w14:paraId="1AAEFD9D" w14:textId="77777777" w:rsidR="005B6894" w:rsidRPr="00393FC0" w:rsidRDefault="005B6894" w:rsidP="00040E1C">
            <w:pPr>
              <w:spacing w:after="0" w:line="240" w:lineRule="auto"/>
              <w:rPr>
                <w:rFonts w:eastAsia="Times New Roman" w:cs="Times New Roman"/>
                <w:b/>
                <w:bCs/>
                <w:color w:val="FF0000"/>
              </w:rPr>
            </w:pPr>
          </w:p>
        </w:tc>
      </w:tr>
      <w:tr w:rsidR="00040E1C" w:rsidRPr="00724048" w14:paraId="1C0F8DE0" w14:textId="77777777" w:rsidTr="000C3C72">
        <w:trPr>
          <w:gridAfter w:val="2"/>
          <w:wAfter w:w="1127" w:type="dxa"/>
          <w:trHeight w:val="300"/>
        </w:trPr>
        <w:tc>
          <w:tcPr>
            <w:tcW w:w="6156" w:type="dxa"/>
            <w:gridSpan w:val="5"/>
            <w:tcBorders>
              <w:top w:val="nil"/>
              <w:left w:val="nil"/>
              <w:bottom w:val="nil"/>
              <w:right w:val="nil"/>
            </w:tcBorders>
            <w:shd w:val="clear" w:color="auto" w:fill="auto"/>
            <w:noWrap/>
            <w:vAlign w:val="center"/>
            <w:hideMark/>
          </w:tcPr>
          <w:p w14:paraId="274A9179" w14:textId="77777777" w:rsidR="000F5AF2" w:rsidRPr="00393FC0" w:rsidRDefault="000F5AF2" w:rsidP="00040E1C">
            <w:pPr>
              <w:spacing w:after="0" w:line="240" w:lineRule="auto"/>
              <w:rPr>
                <w:rFonts w:eastAsia="Times New Roman" w:cs="Times New Roman"/>
                <w:b/>
                <w:bCs/>
                <w:color w:val="FF0000"/>
              </w:rPr>
            </w:pPr>
          </w:p>
          <w:p w14:paraId="45E923CF" w14:textId="1C814BED" w:rsidR="00040E1C" w:rsidRPr="00393FC0" w:rsidRDefault="00040E1C" w:rsidP="00040E1C">
            <w:pPr>
              <w:spacing w:after="0" w:line="240" w:lineRule="auto"/>
              <w:rPr>
                <w:rFonts w:eastAsia="Times New Roman" w:cs="Times New Roman"/>
                <w:b/>
                <w:bCs/>
                <w:color w:val="FF0000"/>
              </w:rPr>
            </w:pPr>
            <w:r w:rsidRPr="00393FC0">
              <w:rPr>
                <w:rFonts w:eastAsia="Times New Roman" w:cs="Times New Roman"/>
                <w:b/>
                <w:bCs/>
                <w:color w:val="FF0000"/>
              </w:rPr>
              <w:t>Neurology Cohort Model Discrimination</w:t>
            </w:r>
          </w:p>
        </w:tc>
      </w:tr>
      <w:tr w:rsidR="000C3C72" w:rsidRPr="00724048" w14:paraId="40B32AC2" w14:textId="77777777" w:rsidTr="00575EE3">
        <w:trPr>
          <w:gridBefore w:val="1"/>
          <w:gridAfter w:val="3"/>
          <w:wBefore w:w="10" w:type="dxa"/>
          <w:wAfter w:w="1813" w:type="dxa"/>
          <w:trHeight w:val="288"/>
        </w:trPr>
        <w:tc>
          <w:tcPr>
            <w:tcW w:w="2700" w:type="dxa"/>
            <w:vMerge w:val="restart"/>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33D8AED6"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Indices</w:t>
            </w:r>
          </w:p>
        </w:tc>
        <w:tc>
          <w:tcPr>
            <w:tcW w:w="1460" w:type="dxa"/>
            <w:tcBorders>
              <w:top w:val="single" w:sz="8" w:space="0" w:color="000000"/>
              <w:left w:val="nil"/>
              <w:bottom w:val="nil"/>
              <w:right w:val="single" w:sz="8" w:space="0" w:color="000000"/>
            </w:tcBorders>
            <w:shd w:val="clear" w:color="auto" w:fill="DBE5F1" w:themeFill="accent1" w:themeFillTint="33"/>
            <w:vAlign w:val="center"/>
            <w:hideMark/>
          </w:tcPr>
          <w:p w14:paraId="1AB80F27"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c>
          <w:tcPr>
            <w:tcW w:w="1300" w:type="dxa"/>
            <w:tcBorders>
              <w:top w:val="single" w:sz="8" w:space="0" w:color="000000"/>
              <w:left w:val="nil"/>
              <w:bottom w:val="nil"/>
              <w:right w:val="single" w:sz="8" w:space="0" w:color="000000"/>
            </w:tcBorders>
            <w:shd w:val="clear" w:color="auto" w:fill="DBE5F1" w:themeFill="accent1" w:themeFillTint="33"/>
            <w:vAlign w:val="center"/>
            <w:hideMark/>
          </w:tcPr>
          <w:p w14:paraId="222A029E"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2014-2015</w:t>
            </w:r>
          </w:p>
        </w:tc>
      </w:tr>
      <w:tr w:rsidR="000C3C72" w:rsidRPr="00724048" w14:paraId="4B8FB9CD" w14:textId="77777777" w:rsidTr="00575EE3">
        <w:trPr>
          <w:gridBefore w:val="1"/>
          <w:gridAfter w:val="3"/>
          <w:wBefore w:w="10" w:type="dxa"/>
          <w:wAfter w:w="1813" w:type="dxa"/>
          <w:trHeight w:val="540"/>
        </w:trPr>
        <w:tc>
          <w:tcPr>
            <w:tcW w:w="2700" w:type="dxa"/>
            <w:vMerge/>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347C39A1" w14:textId="77777777" w:rsidR="000C3C72" w:rsidRPr="00393FC0" w:rsidRDefault="000C3C72" w:rsidP="000C3C72">
            <w:pPr>
              <w:spacing w:after="0" w:line="240" w:lineRule="auto"/>
              <w:rPr>
                <w:rFonts w:eastAsia="Times New Roman" w:cs="Arial"/>
                <w:b/>
                <w:bCs/>
                <w:color w:val="FF0000"/>
              </w:rPr>
            </w:pPr>
          </w:p>
        </w:tc>
        <w:tc>
          <w:tcPr>
            <w:tcW w:w="1460" w:type="dxa"/>
            <w:tcBorders>
              <w:top w:val="nil"/>
              <w:left w:val="nil"/>
              <w:bottom w:val="single" w:sz="8" w:space="0" w:color="000000"/>
              <w:right w:val="single" w:sz="8" w:space="0" w:color="000000"/>
            </w:tcBorders>
            <w:shd w:val="clear" w:color="auto" w:fill="DBE5F1" w:themeFill="accent1" w:themeFillTint="33"/>
            <w:vAlign w:val="center"/>
            <w:hideMark/>
          </w:tcPr>
          <w:p w14:paraId="1CBBB792"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Development Sample</w:t>
            </w:r>
          </w:p>
        </w:tc>
        <w:tc>
          <w:tcPr>
            <w:tcW w:w="1300" w:type="dxa"/>
            <w:tcBorders>
              <w:top w:val="nil"/>
              <w:left w:val="nil"/>
              <w:bottom w:val="single" w:sz="8" w:space="0" w:color="000000"/>
              <w:right w:val="single" w:sz="8" w:space="0" w:color="000000"/>
            </w:tcBorders>
            <w:shd w:val="clear" w:color="auto" w:fill="DBE5F1" w:themeFill="accent1" w:themeFillTint="33"/>
            <w:vAlign w:val="center"/>
            <w:hideMark/>
          </w:tcPr>
          <w:p w14:paraId="687E2CF6" w14:textId="77777777" w:rsidR="000C3C72" w:rsidRPr="00393FC0" w:rsidRDefault="000C3C72" w:rsidP="000C3C72">
            <w:pPr>
              <w:spacing w:after="0" w:line="240" w:lineRule="auto"/>
              <w:jc w:val="center"/>
              <w:rPr>
                <w:rFonts w:eastAsia="Times New Roman" w:cs="Arial"/>
                <w:b/>
                <w:bCs/>
                <w:color w:val="FF0000"/>
              </w:rPr>
            </w:pPr>
            <w:r w:rsidRPr="00393FC0">
              <w:rPr>
                <w:rFonts w:eastAsia="Times New Roman" w:cs="Arial"/>
                <w:b/>
                <w:bCs/>
                <w:color w:val="FF0000"/>
              </w:rPr>
              <w:t>Validation Sample</w:t>
            </w:r>
          </w:p>
        </w:tc>
      </w:tr>
      <w:tr w:rsidR="000C3C72" w:rsidRPr="00724048" w14:paraId="6229F870" w14:textId="77777777" w:rsidTr="000C3C72">
        <w:trPr>
          <w:gridBefore w:val="1"/>
          <w:gridAfter w:val="3"/>
          <w:wBefore w:w="10" w:type="dxa"/>
          <w:wAfter w:w="1813" w:type="dxa"/>
          <w:trHeight w:val="300"/>
        </w:trPr>
        <w:tc>
          <w:tcPr>
            <w:tcW w:w="2700" w:type="dxa"/>
            <w:tcBorders>
              <w:top w:val="nil"/>
              <w:left w:val="single" w:sz="8" w:space="0" w:color="000000"/>
              <w:bottom w:val="single" w:sz="8" w:space="0" w:color="000000"/>
              <w:right w:val="single" w:sz="8" w:space="0" w:color="000000"/>
            </w:tcBorders>
            <w:shd w:val="clear" w:color="auto" w:fill="auto"/>
            <w:vAlign w:val="center"/>
            <w:hideMark/>
          </w:tcPr>
          <w:p w14:paraId="63D7BE8B"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hospital stays</w:t>
            </w:r>
          </w:p>
        </w:tc>
        <w:tc>
          <w:tcPr>
            <w:tcW w:w="1460" w:type="dxa"/>
            <w:tcBorders>
              <w:top w:val="nil"/>
              <w:left w:val="nil"/>
              <w:bottom w:val="single" w:sz="8" w:space="0" w:color="000000"/>
              <w:right w:val="single" w:sz="8" w:space="0" w:color="000000"/>
            </w:tcBorders>
            <w:shd w:val="clear" w:color="auto" w:fill="auto"/>
            <w:vAlign w:val="center"/>
            <w:hideMark/>
          </w:tcPr>
          <w:p w14:paraId="66B5C8DD"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92,759</w:t>
            </w:r>
          </w:p>
        </w:tc>
        <w:tc>
          <w:tcPr>
            <w:tcW w:w="1300" w:type="dxa"/>
            <w:tcBorders>
              <w:top w:val="nil"/>
              <w:left w:val="nil"/>
              <w:bottom w:val="single" w:sz="8" w:space="0" w:color="000000"/>
              <w:right w:val="single" w:sz="8" w:space="0" w:color="000000"/>
            </w:tcBorders>
            <w:shd w:val="clear" w:color="auto" w:fill="auto"/>
            <w:vAlign w:val="center"/>
            <w:hideMark/>
          </w:tcPr>
          <w:p w14:paraId="66E7B57A"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92,503</w:t>
            </w:r>
          </w:p>
        </w:tc>
      </w:tr>
      <w:tr w:rsidR="000C3C72" w:rsidRPr="00724048" w14:paraId="4AFE0EE9" w14:textId="77777777" w:rsidTr="000C3C72">
        <w:trPr>
          <w:gridBefore w:val="1"/>
          <w:gridAfter w:val="3"/>
          <w:wBefore w:w="10" w:type="dxa"/>
          <w:wAfter w:w="1813" w:type="dxa"/>
          <w:trHeight w:val="300"/>
        </w:trPr>
        <w:tc>
          <w:tcPr>
            <w:tcW w:w="2700" w:type="dxa"/>
            <w:tcBorders>
              <w:top w:val="nil"/>
              <w:left w:val="single" w:sz="8" w:space="0" w:color="000000"/>
              <w:bottom w:val="single" w:sz="8" w:space="0" w:color="000000"/>
              <w:right w:val="single" w:sz="8" w:space="0" w:color="000000"/>
            </w:tcBorders>
            <w:shd w:val="clear" w:color="auto" w:fill="auto"/>
            <w:vAlign w:val="center"/>
            <w:hideMark/>
          </w:tcPr>
          <w:p w14:paraId="7F2CC8D6"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Number of ACOs</w:t>
            </w:r>
          </w:p>
        </w:tc>
        <w:tc>
          <w:tcPr>
            <w:tcW w:w="1460" w:type="dxa"/>
            <w:tcBorders>
              <w:top w:val="nil"/>
              <w:left w:val="nil"/>
              <w:bottom w:val="single" w:sz="8" w:space="0" w:color="000000"/>
              <w:right w:val="single" w:sz="8" w:space="0" w:color="000000"/>
            </w:tcBorders>
            <w:shd w:val="clear" w:color="auto" w:fill="auto"/>
            <w:vAlign w:val="center"/>
            <w:hideMark/>
          </w:tcPr>
          <w:p w14:paraId="7421A603"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448</w:t>
            </w:r>
          </w:p>
        </w:tc>
        <w:tc>
          <w:tcPr>
            <w:tcW w:w="1300" w:type="dxa"/>
            <w:tcBorders>
              <w:top w:val="nil"/>
              <w:left w:val="nil"/>
              <w:bottom w:val="single" w:sz="8" w:space="0" w:color="000000"/>
              <w:right w:val="single" w:sz="8" w:space="0" w:color="000000"/>
            </w:tcBorders>
            <w:shd w:val="clear" w:color="auto" w:fill="auto"/>
            <w:vAlign w:val="center"/>
            <w:hideMark/>
          </w:tcPr>
          <w:p w14:paraId="49EAAD10"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448</w:t>
            </w:r>
          </w:p>
        </w:tc>
      </w:tr>
      <w:tr w:rsidR="000C3C72" w:rsidRPr="00724048" w14:paraId="48644238" w14:textId="77777777" w:rsidTr="000C3C72">
        <w:trPr>
          <w:gridBefore w:val="1"/>
          <w:gridAfter w:val="3"/>
          <w:wBefore w:w="10" w:type="dxa"/>
          <w:wAfter w:w="1813" w:type="dxa"/>
          <w:trHeight w:val="300"/>
        </w:trPr>
        <w:tc>
          <w:tcPr>
            <w:tcW w:w="2700" w:type="dxa"/>
            <w:tcBorders>
              <w:top w:val="nil"/>
              <w:left w:val="single" w:sz="8" w:space="0" w:color="000000"/>
              <w:bottom w:val="single" w:sz="8" w:space="0" w:color="000000"/>
              <w:right w:val="single" w:sz="8" w:space="0" w:color="000000"/>
            </w:tcBorders>
            <w:shd w:val="clear" w:color="auto" w:fill="auto"/>
            <w:vAlign w:val="center"/>
            <w:hideMark/>
          </w:tcPr>
          <w:p w14:paraId="0F8EE128"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Unadjusted readmission rate</w:t>
            </w:r>
          </w:p>
        </w:tc>
        <w:tc>
          <w:tcPr>
            <w:tcW w:w="1460" w:type="dxa"/>
            <w:tcBorders>
              <w:top w:val="nil"/>
              <w:left w:val="nil"/>
              <w:bottom w:val="single" w:sz="8" w:space="0" w:color="000000"/>
              <w:right w:val="single" w:sz="8" w:space="0" w:color="000000"/>
            </w:tcBorders>
            <w:shd w:val="clear" w:color="auto" w:fill="auto"/>
            <w:vAlign w:val="center"/>
            <w:hideMark/>
          </w:tcPr>
          <w:p w14:paraId="77606D35"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12.97%</w:t>
            </w:r>
          </w:p>
        </w:tc>
        <w:tc>
          <w:tcPr>
            <w:tcW w:w="1300" w:type="dxa"/>
            <w:tcBorders>
              <w:top w:val="nil"/>
              <w:left w:val="nil"/>
              <w:bottom w:val="single" w:sz="8" w:space="0" w:color="000000"/>
              <w:right w:val="single" w:sz="8" w:space="0" w:color="000000"/>
            </w:tcBorders>
            <w:shd w:val="clear" w:color="auto" w:fill="auto"/>
            <w:vAlign w:val="center"/>
            <w:hideMark/>
          </w:tcPr>
          <w:p w14:paraId="494A7481"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12.95%</w:t>
            </w:r>
          </w:p>
        </w:tc>
      </w:tr>
      <w:tr w:rsidR="000C3C72" w:rsidRPr="00724048" w14:paraId="75C92A78" w14:textId="77777777" w:rsidTr="000C3C72">
        <w:trPr>
          <w:gridBefore w:val="1"/>
          <w:gridAfter w:val="3"/>
          <w:wBefore w:w="10" w:type="dxa"/>
          <w:wAfter w:w="1813" w:type="dxa"/>
          <w:trHeight w:val="288"/>
        </w:trPr>
        <w:tc>
          <w:tcPr>
            <w:tcW w:w="27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94D3184"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-Predictive Ability (lowest decile %, highest decile %)</w:t>
            </w:r>
          </w:p>
        </w:tc>
        <w:tc>
          <w:tcPr>
            <w:tcW w:w="14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1716042"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7 -- 26</w:t>
            </w:r>
          </w:p>
        </w:tc>
        <w:tc>
          <w:tcPr>
            <w:tcW w:w="13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5868C81"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7 -- 26</w:t>
            </w:r>
          </w:p>
        </w:tc>
      </w:tr>
      <w:tr w:rsidR="000C3C72" w:rsidRPr="00724048" w14:paraId="1435FFE4" w14:textId="77777777" w:rsidTr="000C3C72">
        <w:trPr>
          <w:gridBefore w:val="1"/>
          <w:gridAfter w:val="3"/>
          <w:wBefore w:w="10" w:type="dxa"/>
          <w:wAfter w:w="1813" w:type="dxa"/>
          <w:trHeight w:val="509"/>
        </w:trPr>
        <w:tc>
          <w:tcPr>
            <w:tcW w:w="2700" w:type="dxa"/>
            <w:vMerge/>
            <w:tcBorders>
              <w:top w:val="nil"/>
              <w:left w:val="single" w:sz="8" w:space="0" w:color="000000"/>
              <w:bottom w:val="single" w:sz="8" w:space="0" w:color="000000"/>
              <w:right w:val="single" w:sz="8" w:space="0" w:color="000000"/>
            </w:tcBorders>
            <w:vAlign w:val="center"/>
            <w:hideMark/>
          </w:tcPr>
          <w:p w14:paraId="416F363B" w14:textId="77777777" w:rsidR="000C3C72" w:rsidRPr="00393FC0" w:rsidRDefault="000C3C72" w:rsidP="000C3C72">
            <w:pPr>
              <w:spacing w:after="0" w:line="240" w:lineRule="auto"/>
              <w:rPr>
                <w:rFonts w:eastAsia="Times New Roman" w:cs="Arial"/>
                <w:color w:val="FF0000"/>
              </w:rPr>
            </w:pPr>
          </w:p>
        </w:tc>
        <w:tc>
          <w:tcPr>
            <w:tcW w:w="1460" w:type="dxa"/>
            <w:vMerge/>
            <w:tcBorders>
              <w:top w:val="nil"/>
              <w:left w:val="single" w:sz="8" w:space="0" w:color="000000"/>
              <w:bottom w:val="single" w:sz="8" w:space="0" w:color="000000"/>
              <w:right w:val="single" w:sz="8" w:space="0" w:color="000000"/>
            </w:tcBorders>
            <w:vAlign w:val="center"/>
            <w:hideMark/>
          </w:tcPr>
          <w:p w14:paraId="628039FE" w14:textId="77777777" w:rsidR="000C3C72" w:rsidRPr="00393FC0" w:rsidRDefault="000C3C72" w:rsidP="000C3C72">
            <w:pPr>
              <w:spacing w:after="0" w:line="240" w:lineRule="auto"/>
              <w:rPr>
                <w:rFonts w:eastAsia="Times New Roman" w:cs="Arial"/>
                <w:color w:val="FF0000"/>
              </w:rPr>
            </w:pPr>
          </w:p>
        </w:tc>
        <w:tc>
          <w:tcPr>
            <w:tcW w:w="1300" w:type="dxa"/>
            <w:vMerge/>
            <w:tcBorders>
              <w:top w:val="nil"/>
              <w:left w:val="single" w:sz="8" w:space="0" w:color="000000"/>
              <w:bottom w:val="single" w:sz="8" w:space="0" w:color="000000"/>
              <w:right w:val="single" w:sz="8" w:space="0" w:color="000000"/>
            </w:tcBorders>
            <w:vAlign w:val="center"/>
            <w:hideMark/>
          </w:tcPr>
          <w:p w14:paraId="6C3DA6D4" w14:textId="77777777" w:rsidR="000C3C72" w:rsidRPr="00393FC0" w:rsidRDefault="000C3C72" w:rsidP="000C3C72">
            <w:pPr>
              <w:spacing w:after="0" w:line="240" w:lineRule="auto"/>
              <w:rPr>
                <w:rFonts w:eastAsia="Times New Roman" w:cs="Arial"/>
                <w:color w:val="FF0000"/>
              </w:rPr>
            </w:pPr>
          </w:p>
        </w:tc>
      </w:tr>
      <w:tr w:rsidR="000C3C72" w:rsidRPr="00724048" w14:paraId="7A68CA7D" w14:textId="77777777" w:rsidTr="000C3C72">
        <w:trPr>
          <w:gridBefore w:val="1"/>
          <w:gridAfter w:val="3"/>
          <w:wBefore w:w="10" w:type="dxa"/>
          <w:wAfter w:w="1813" w:type="dxa"/>
          <w:trHeight w:val="300"/>
        </w:trPr>
        <w:tc>
          <w:tcPr>
            <w:tcW w:w="2700" w:type="dxa"/>
            <w:tcBorders>
              <w:top w:val="nil"/>
              <w:left w:val="single" w:sz="8" w:space="0" w:color="000000"/>
              <w:bottom w:val="single" w:sz="8" w:space="0" w:color="000000"/>
              <w:right w:val="single" w:sz="8" w:space="0" w:color="000000"/>
            </w:tcBorders>
            <w:shd w:val="clear" w:color="auto" w:fill="auto"/>
            <w:vAlign w:val="center"/>
            <w:hideMark/>
          </w:tcPr>
          <w:p w14:paraId="76A67E74" w14:textId="77777777" w:rsidR="000C3C72" w:rsidRPr="00393FC0" w:rsidRDefault="000C3C72" w:rsidP="000C3C72">
            <w:pPr>
              <w:spacing w:after="0" w:line="240" w:lineRule="auto"/>
              <w:rPr>
                <w:rFonts w:eastAsia="Times New Roman" w:cs="Arial"/>
                <w:color w:val="FF0000"/>
              </w:rPr>
            </w:pPr>
            <w:r w:rsidRPr="00393FC0">
              <w:rPr>
                <w:rFonts w:eastAsia="Times New Roman" w:cs="Arial"/>
                <w:color w:val="FF0000"/>
              </w:rPr>
              <w:t>Discrimination – c statistic</w:t>
            </w:r>
          </w:p>
        </w:tc>
        <w:tc>
          <w:tcPr>
            <w:tcW w:w="1460" w:type="dxa"/>
            <w:tcBorders>
              <w:top w:val="nil"/>
              <w:left w:val="nil"/>
              <w:bottom w:val="single" w:sz="8" w:space="0" w:color="000000"/>
              <w:right w:val="single" w:sz="8" w:space="0" w:color="000000"/>
            </w:tcBorders>
            <w:shd w:val="clear" w:color="auto" w:fill="auto"/>
            <w:vAlign w:val="center"/>
            <w:hideMark/>
          </w:tcPr>
          <w:p w14:paraId="6C4E23EB"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0.63</w:t>
            </w:r>
          </w:p>
        </w:tc>
        <w:tc>
          <w:tcPr>
            <w:tcW w:w="1300" w:type="dxa"/>
            <w:tcBorders>
              <w:top w:val="nil"/>
              <w:left w:val="nil"/>
              <w:bottom w:val="single" w:sz="8" w:space="0" w:color="000000"/>
              <w:right w:val="single" w:sz="8" w:space="0" w:color="000000"/>
            </w:tcBorders>
            <w:shd w:val="clear" w:color="auto" w:fill="auto"/>
            <w:vAlign w:val="center"/>
            <w:hideMark/>
          </w:tcPr>
          <w:p w14:paraId="0CC4F146" w14:textId="77777777" w:rsidR="000C3C72" w:rsidRPr="00393FC0" w:rsidRDefault="000C3C72" w:rsidP="000C3C72">
            <w:pPr>
              <w:spacing w:after="0" w:line="240" w:lineRule="auto"/>
              <w:jc w:val="center"/>
              <w:rPr>
                <w:rFonts w:eastAsia="Times New Roman" w:cs="Arial"/>
                <w:color w:val="FF0000"/>
              </w:rPr>
            </w:pPr>
            <w:r w:rsidRPr="00393FC0">
              <w:rPr>
                <w:rFonts w:eastAsia="Times New Roman" w:cs="Arial"/>
                <w:color w:val="FF0000"/>
              </w:rPr>
              <w:t>0.63</w:t>
            </w:r>
          </w:p>
        </w:tc>
      </w:tr>
    </w:tbl>
    <w:p w14:paraId="2AE9B19B" w14:textId="4AD877F5" w:rsidR="00001D73" w:rsidRPr="00344149" w:rsidRDefault="00001D73" w:rsidP="00092566">
      <w:pPr>
        <w:autoSpaceDE w:val="0"/>
        <w:autoSpaceDN w:val="0"/>
        <w:adjustRightInd w:val="0"/>
        <w:spacing w:after="0" w:line="240" w:lineRule="auto"/>
        <w:rPr>
          <w:rFonts w:cstheme="minorHAnsi"/>
          <w:b/>
          <w:bCs/>
          <w:color w:val="FF0000"/>
        </w:rPr>
      </w:pPr>
    </w:p>
    <w:p w14:paraId="618458C5" w14:textId="77777777" w:rsidR="0025473D" w:rsidRPr="008027BA" w:rsidRDefault="0025473D" w:rsidP="00092566">
      <w:pPr>
        <w:autoSpaceDE w:val="0"/>
        <w:autoSpaceDN w:val="0"/>
        <w:adjustRightInd w:val="0"/>
        <w:spacing w:after="0" w:line="240" w:lineRule="auto"/>
        <w:rPr>
          <w:rFonts w:cstheme="minorHAnsi"/>
          <w:b/>
          <w:bCs/>
          <w:color w:val="FF0000"/>
          <w:highlight w:val="lightGray"/>
        </w:rPr>
      </w:pPr>
    </w:p>
    <w:p w14:paraId="087BBD42" w14:textId="77777777" w:rsidR="008027BA" w:rsidRPr="008027BA" w:rsidRDefault="00743E46" w:rsidP="00092566">
      <w:pPr>
        <w:autoSpaceDE w:val="0"/>
        <w:autoSpaceDN w:val="0"/>
        <w:adjustRightInd w:val="0"/>
        <w:spacing w:after="0" w:line="240" w:lineRule="auto"/>
        <w:rPr>
          <w:rFonts w:cstheme="minorHAnsi"/>
          <w:bCs/>
          <w:color w:val="FF0000"/>
        </w:rPr>
      </w:pPr>
      <w:r w:rsidRPr="008027BA">
        <w:rPr>
          <w:rFonts w:cstheme="minorHAnsi"/>
          <w:b/>
          <w:bCs/>
        </w:rPr>
        <w:t>2b4.7</w:t>
      </w:r>
      <w:r w:rsidR="00001D73" w:rsidRPr="008027BA">
        <w:rPr>
          <w:rFonts w:cstheme="minorHAnsi"/>
          <w:b/>
          <w:bCs/>
        </w:rPr>
        <w:t xml:space="preserve">. </w:t>
      </w:r>
      <w:r w:rsidRPr="008027BA">
        <w:rPr>
          <w:rFonts w:cstheme="minorHAnsi"/>
          <w:b/>
          <w:bCs/>
        </w:rPr>
        <w:t xml:space="preserve">Statistical </w:t>
      </w:r>
      <w:r w:rsidR="00092566" w:rsidRPr="008027BA">
        <w:rPr>
          <w:rFonts w:cstheme="minorHAnsi"/>
          <w:b/>
          <w:bCs/>
        </w:rPr>
        <w:t>Risk Model Calibration Statistics</w:t>
      </w:r>
      <w:r w:rsidR="003605B4" w:rsidRPr="008027BA">
        <w:rPr>
          <w:rFonts w:cstheme="minorHAnsi"/>
          <w:b/>
          <w:bCs/>
        </w:rPr>
        <w:t xml:space="preserve"> </w:t>
      </w:r>
      <w:r w:rsidR="003605B4" w:rsidRPr="008027BA">
        <w:rPr>
          <w:rFonts w:cstheme="minorHAnsi"/>
          <w:bCs/>
        </w:rPr>
        <w:t>(</w:t>
      </w:r>
      <w:r w:rsidR="003605B4" w:rsidRPr="008027BA">
        <w:rPr>
          <w:rFonts w:cstheme="minorHAnsi"/>
          <w:bCs/>
          <w:i/>
        </w:rPr>
        <w:t>e.g., Hosmer-Lemeshow statistic</w:t>
      </w:r>
      <w:r w:rsidR="003605B4" w:rsidRPr="008027BA">
        <w:rPr>
          <w:rFonts w:cstheme="minorHAnsi"/>
          <w:bCs/>
        </w:rPr>
        <w:t>)</w:t>
      </w:r>
      <w:r w:rsidR="00092566" w:rsidRPr="008027BA">
        <w:rPr>
          <w:rFonts w:cstheme="minorHAnsi"/>
          <w:bCs/>
        </w:rPr>
        <w:t xml:space="preserve">:  </w:t>
      </w:r>
    </w:p>
    <w:p w14:paraId="1911C73A" w14:textId="4690C9F5" w:rsidR="008027BA" w:rsidRPr="00F874FA" w:rsidRDefault="008027BA" w:rsidP="00092566">
      <w:pPr>
        <w:autoSpaceDE w:val="0"/>
        <w:autoSpaceDN w:val="0"/>
        <w:adjustRightInd w:val="0"/>
        <w:spacing w:after="0" w:line="240" w:lineRule="auto"/>
        <w:rPr>
          <w:rFonts w:cstheme="minorHAnsi"/>
          <w:bCs/>
          <w:color w:val="FF0000"/>
        </w:rPr>
      </w:pPr>
    </w:p>
    <w:p w14:paraId="3BA0A7FA" w14:textId="57E6575A" w:rsidR="00A56D8C" w:rsidRPr="00844F4A" w:rsidRDefault="00A56D8C" w:rsidP="00092566">
      <w:pPr>
        <w:autoSpaceDE w:val="0"/>
        <w:autoSpaceDN w:val="0"/>
        <w:adjustRightInd w:val="0"/>
        <w:spacing w:after="0" w:line="240" w:lineRule="auto"/>
        <w:rPr>
          <w:rFonts w:cstheme="minorHAnsi"/>
          <w:b/>
          <w:bCs/>
        </w:rPr>
      </w:pPr>
      <w:r w:rsidRPr="00844F4A">
        <w:rPr>
          <w:rFonts w:cstheme="minorHAnsi"/>
          <w:b/>
          <w:bCs/>
        </w:rPr>
        <w:t xml:space="preserve">The following results are for the </w:t>
      </w:r>
      <w:r w:rsidR="00A02CBE">
        <w:rPr>
          <w:rFonts w:cstheme="minorHAnsi"/>
          <w:b/>
          <w:bCs/>
        </w:rPr>
        <w:t>HWR</w:t>
      </w:r>
      <w:r w:rsidR="00A02CBE" w:rsidRPr="00844F4A">
        <w:rPr>
          <w:rFonts w:cstheme="minorHAnsi"/>
          <w:b/>
          <w:bCs/>
        </w:rPr>
        <w:t xml:space="preserve"> </w:t>
      </w:r>
      <w:r w:rsidRPr="00844F4A">
        <w:rPr>
          <w:rFonts w:cstheme="minorHAnsi"/>
          <w:b/>
          <w:bCs/>
        </w:rPr>
        <w:t>measure.</w:t>
      </w:r>
    </w:p>
    <w:p w14:paraId="17413470" w14:textId="77777777" w:rsidR="008027BA" w:rsidRDefault="008027BA" w:rsidP="008027BA">
      <w:pPr>
        <w:autoSpaceDE w:val="0"/>
        <w:autoSpaceDN w:val="0"/>
        <w:adjustRightInd w:val="0"/>
        <w:spacing w:after="0" w:line="240" w:lineRule="auto"/>
        <w:rPr>
          <w:rFonts w:cstheme="minorHAnsi"/>
          <w:b/>
          <w:bCs/>
        </w:rPr>
      </w:pPr>
    </w:p>
    <w:tbl>
      <w:tblPr>
        <w:tblpPr w:leftFromText="180" w:rightFromText="180" w:vertAnchor="text" w:horzAnchor="margin" w:tblpY="-40"/>
        <w:tblW w:w="9535" w:type="dxa"/>
        <w:tblLayout w:type="fixed"/>
        <w:tblCellMar>
          <w:left w:w="0" w:type="dxa"/>
          <w:right w:w="0" w:type="dxa"/>
        </w:tblCellMar>
        <w:tblLook w:val="0000" w:firstRow="0" w:lastRow="0" w:firstColumn="0" w:lastColumn="0" w:noHBand="0" w:noVBand="0"/>
      </w:tblPr>
      <w:tblGrid>
        <w:gridCol w:w="2383"/>
        <w:gridCol w:w="2384"/>
        <w:gridCol w:w="2384"/>
        <w:gridCol w:w="2384"/>
      </w:tblGrid>
      <w:tr w:rsidR="008027BA" w:rsidRPr="00C40456" w14:paraId="4FF6A950" w14:textId="77777777" w:rsidTr="00F874FA">
        <w:trPr>
          <w:cantSplit/>
          <w:trHeight w:hRule="exact" w:val="720"/>
          <w:tblHeader/>
        </w:trPr>
        <w:tc>
          <w:tcPr>
            <w:tcW w:w="238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85658F" w14:textId="77777777" w:rsidR="008027BA" w:rsidRPr="00F874FA" w:rsidRDefault="008027BA" w:rsidP="00A56D8C">
            <w:pPr>
              <w:kinsoku w:val="0"/>
              <w:overflowPunct w:val="0"/>
              <w:autoSpaceDE w:val="0"/>
              <w:autoSpaceDN w:val="0"/>
              <w:adjustRightInd w:val="0"/>
              <w:spacing w:before="166" w:after="0" w:line="240" w:lineRule="auto"/>
              <w:ind w:right="5"/>
              <w:jc w:val="center"/>
              <w:rPr>
                <w:rFonts w:cs="Times New Roman"/>
              </w:rPr>
            </w:pPr>
            <w:r w:rsidRPr="00F874FA">
              <w:rPr>
                <w:rFonts w:cs="Arial"/>
                <w:b/>
                <w:bCs/>
                <w:spacing w:val="-1"/>
              </w:rPr>
              <w:t>Indices</w:t>
            </w:r>
          </w:p>
        </w:tc>
        <w:tc>
          <w:tcPr>
            <w:tcW w:w="238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795F39F" w14:textId="77777777" w:rsidR="008027BA" w:rsidRPr="00F874FA" w:rsidRDefault="008027BA" w:rsidP="00A56D8C">
            <w:pPr>
              <w:kinsoku w:val="0"/>
              <w:overflowPunct w:val="0"/>
              <w:autoSpaceDE w:val="0"/>
              <w:autoSpaceDN w:val="0"/>
              <w:adjustRightInd w:val="0"/>
              <w:spacing w:before="51" w:after="0" w:line="240" w:lineRule="auto"/>
              <w:ind w:right="5"/>
              <w:jc w:val="center"/>
              <w:rPr>
                <w:rFonts w:cs="Arial"/>
              </w:rPr>
            </w:pPr>
            <w:r w:rsidRPr="00F874FA">
              <w:rPr>
                <w:rFonts w:cs="Arial"/>
                <w:b/>
                <w:bCs/>
                <w:spacing w:val="-1"/>
              </w:rPr>
              <w:t>2007-2008</w:t>
            </w:r>
          </w:p>
          <w:p w14:paraId="1EAFD7FB" w14:textId="77777777" w:rsidR="008027BA" w:rsidRPr="00F874FA" w:rsidRDefault="008027BA" w:rsidP="00A56D8C">
            <w:pPr>
              <w:kinsoku w:val="0"/>
              <w:overflowPunct w:val="0"/>
              <w:autoSpaceDE w:val="0"/>
              <w:autoSpaceDN w:val="0"/>
              <w:adjustRightInd w:val="0"/>
              <w:spacing w:after="0" w:line="240" w:lineRule="auto"/>
              <w:ind w:right="5"/>
              <w:jc w:val="center"/>
              <w:rPr>
                <w:rFonts w:cs="Times New Roman"/>
              </w:rPr>
            </w:pPr>
            <w:r w:rsidRPr="00F874FA">
              <w:rPr>
                <w:rFonts w:cs="Arial"/>
                <w:b/>
                <w:bCs/>
                <w:spacing w:val="-1"/>
              </w:rPr>
              <w:t>Development</w:t>
            </w:r>
            <w:r w:rsidRPr="00F874FA">
              <w:rPr>
                <w:rFonts w:cs="Arial"/>
                <w:b/>
                <w:bCs/>
                <w:spacing w:val="-20"/>
              </w:rPr>
              <w:t xml:space="preserve"> </w:t>
            </w:r>
            <w:r w:rsidRPr="00F874FA">
              <w:rPr>
                <w:rFonts w:cs="Arial"/>
                <w:b/>
                <w:bCs/>
              </w:rPr>
              <w:t>Sample</w:t>
            </w:r>
          </w:p>
        </w:tc>
        <w:tc>
          <w:tcPr>
            <w:tcW w:w="238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FD7B05" w14:textId="77777777" w:rsidR="008027BA" w:rsidRPr="00F874FA" w:rsidRDefault="008027BA" w:rsidP="00A56D8C">
            <w:pPr>
              <w:kinsoku w:val="0"/>
              <w:overflowPunct w:val="0"/>
              <w:autoSpaceDE w:val="0"/>
              <w:autoSpaceDN w:val="0"/>
              <w:adjustRightInd w:val="0"/>
              <w:spacing w:before="51" w:after="0" w:line="240" w:lineRule="auto"/>
              <w:jc w:val="center"/>
              <w:rPr>
                <w:rFonts w:cs="Arial"/>
              </w:rPr>
            </w:pPr>
            <w:r w:rsidRPr="00F874FA">
              <w:rPr>
                <w:rFonts w:cs="Arial"/>
                <w:b/>
                <w:bCs/>
                <w:spacing w:val="-1"/>
              </w:rPr>
              <w:t>2007-2008</w:t>
            </w:r>
          </w:p>
          <w:p w14:paraId="4965498E" w14:textId="77777777" w:rsidR="008027BA" w:rsidRPr="00F874FA" w:rsidRDefault="008027BA" w:rsidP="00A56D8C">
            <w:pPr>
              <w:kinsoku w:val="0"/>
              <w:overflowPunct w:val="0"/>
              <w:autoSpaceDE w:val="0"/>
              <w:autoSpaceDN w:val="0"/>
              <w:adjustRightInd w:val="0"/>
              <w:spacing w:after="0" w:line="240" w:lineRule="auto"/>
              <w:jc w:val="center"/>
              <w:rPr>
                <w:rFonts w:cs="Times New Roman"/>
              </w:rPr>
            </w:pPr>
            <w:r w:rsidRPr="00F874FA">
              <w:rPr>
                <w:rFonts w:cs="Arial"/>
                <w:b/>
                <w:bCs/>
                <w:spacing w:val="-1"/>
              </w:rPr>
              <w:t>Validation</w:t>
            </w:r>
            <w:r w:rsidRPr="00F874FA">
              <w:rPr>
                <w:rFonts w:cs="Arial"/>
                <w:b/>
                <w:bCs/>
                <w:spacing w:val="-17"/>
              </w:rPr>
              <w:t xml:space="preserve"> </w:t>
            </w:r>
            <w:r w:rsidRPr="00F874FA">
              <w:rPr>
                <w:rFonts w:cs="Arial"/>
                <w:b/>
                <w:bCs/>
              </w:rPr>
              <w:t>Sample</w:t>
            </w:r>
          </w:p>
        </w:tc>
        <w:tc>
          <w:tcPr>
            <w:tcW w:w="238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DC3A527" w14:textId="77777777" w:rsidR="008027BA" w:rsidRPr="00F874FA" w:rsidRDefault="008027BA" w:rsidP="00A56D8C">
            <w:pPr>
              <w:kinsoku w:val="0"/>
              <w:overflowPunct w:val="0"/>
              <w:autoSpaceDE w:val="0"/>
              <w:autoSpaceDN w:val="0"/>
              <w:adjustRightInd w:val="0"/>
              <w:spacing w:before="51" w:after="0" w:line="240" w:lineRule="auto"/>
              <w:jc w:val="center"/>
              <w:rPr>
                <w:rFonts w:cs="Arial"/>
              </w:rPr>
            </w:pPr>
            <w:r w:rsidRPr="00F874FA">
              <w:rPr>
                <w:rFonts w:cs="Arial"/>
                <w:b/>
                <w:bCs/>
                <w:spacing w:val="-1"/>
              </w:rPr>
              <w:t>2009</w:t>
            </w:r>
          </w:p>
          <w:p w14:paraId="65A39777" w14:textId="77777777" w:rsidR="008027BA" w:rsidRPr="00F874FA" w:rsidRDefault="008027BA" w:rsidP="00A56D8C">
            <w:pPr>
              <w:kinsoku w:val="0"/>
              <w:overflowPunct w:val="0"/>
              <w:autoSpaceDE w:val="0"/>
              <w:autoSpaceDN w:val="0"/>
              <w:adjustRightInd w:val="0"/>
              <w:spacing w:after="0" w:line="240" w:lineRule="auto"/>
              <w:ind w:right="2"/>
              <w:jc w:val="center"/>
              <w:rPr>
                <w:rFonts w:cs="Times New Roman"/>
              </w:rPr>
            </w:pPr>
            <w:r w:rsidRPr="00F874FA">
              <w:rPr>
                <w:rFonts w:cs="Arial"/>
                <w:b/>
                <w:bCs/>
              </w:rPr>
              <w:t>Sample</w:t>
            </w:r>
          </w:p>
        </w:tc>
      </w:tr>
      <w:tr w:rsidR="008027BA" w:rsidRPr="00C40456" w14:paraId="4ACDFBA7" w14:textId="77777777" w:rsidTr="00F874FA">
        <w:trPr>
          <w:cantSplit/>
          <w:trHeight w:hRule="exact" w:val="326"/>
          <w:tblHeader/>
        </w:trPr>
        <w:tc>
          <w:tcPr>
            <w:tcW w:w="2383" w:type="dxa"/>
            <w:tcBorders>
              <w:top w:val="single" w:sz="4" w:space="0" w:color="000000"/>
              <w:left w:val="single" w:sz="4" w:space="0" w:color="000000"/>
              <w:bottom w:val="single" w:sz="4" w:space="0" w:color="000000"/>
              <w:right w:val="single" w:sz="4" w:space="0" w:color="000000"/>
            </w:tcBorders>
          </w:tcPr>
          <w:p w14:paraId="44CA5048" w14:textId="77777777" w:rsidR="008027BA" w:rsidRPr="00B34F4F" w:rsidRDefault="008027BA" w:rsidP="00A56D8C">
            <w:pPr>
              <w:kinsoku w:val="0"/>
              <w:overflowPunct w:val="0"/>
              <w:autoSpaceDE w:val="0"/>
              <w:autoSpaceDN w:val="0"/>
              <w:adjustRightInd w:val="0"/>
              <w:spacing w:after="0" w:line="240" w:lineRule="auto"/>
              <w:rPr>
                <w:rFonts w:cs="Times New Roman"/>
              </w:rPr>
            </w:pPr>
            <w:r w:rsidRPr="00B34F4F">
              <w:rPr>
                <w:rFonts w:cs="Arial"/>
                <w:spacing w:val="-1"/>
              </w:rPr>
              <w:t>Medicine Cohort</w:t>
            </w:r>
          </w:p>
        </w:tc>
        <w:tc>
          <w:tcPr>
            <w:tcW w:w="2384" w:type="dxa"/>
            <w:tcBorders>
              <w:top w:val="single" w:sz="4" w:space="0" w:color="000000"/>
              <w:left w:val="single" w:sz="4" w:space="0" w:color="000000"/>
              <w:bottom w:val="single" w:sz="4" w:space="0" w:color="000000"/>
              <w:right w:val="single" w:sz="4" w:space="0" w:color="000000"/>
            </w:tcBorders>
          </w:tcPr>
          <w:p w14:paraId="2076BB6A" w14:textId="77777777" w:rsidR="008027BA" w:rsidRPr="00B34F4F" w:rsidRDefault="008027BA" w:rsidP="00A56D8C">
            <w:pPr>
              <w:kinsoku w:val="0"/>
              <w:overflowPunct w:val="0"/>
              <w:autoSpaceDE w:val="0"/>
              <w:autoSpaceDN w:val="0"/>
              <w:adjustRightInd w:val="0"/>
              <w:spacing w:after="0" w:line="240" w:lineRule="auto"/>
              <w:jc w:val="center"/>
              <w:rPr>
                <w:rFonts w:cs="Times New Roman"/>
              </w:rPr>
            </w:pPr>
            <w:r w:rsidRPr="00B34F4F">
              <w:rPr>
                <w:rFonts w:cs="Arial"/>
                <w:spacing w:val="-1"/>
              </w:rPr>
              <w:t>(0,</w:t>
            </w:r>
            <w:r w:rsidRPr="00B34F4F">
              <w:rPr>
                <w:rFonts w:cs="Arial"/>
                <w:spacing w:val="-6"/>
              </w:rPr>
              <w:t xml:space="preserve"> </w:t>
            </w:r>
            <w:r w:rsidRPr="00B34F4F">
              <w:rPr>
                <w:rFonts w:cs="Arial"/>
                <w:spacing w:val="-1"/>
              </w:rPr>
              <w:t>1)</w:t>
            </w:r>
          </w:p>
        </w:tc>
        <w:tc>
          <w:tcPr>
            <w:tcW w:w="2384" w:type="dxa"/>
            <w:tcBorders>
              <w:top w:val="single" w:sz="4" w:space="0" w:color="000000"/>
              <w:left w:val="single" w:sz="4" w:space="0" w:color="000000"/>
              <w:bottom w:val="single" w:sz="4" w:space="0" w:color="000000"/>
              <w:right w:val="single" w:sz="4" w:space="0" w:color="000000"/>
            </w:tcBorders>
          </w:tcPr>
          <w:p w14:paraId="0600A282" w14:textId="77777777" w:rsidR="008027BA" w:rsidRPr="00B34F4F" w:rsidRDefault="008027BA" w:rsidP="00A56D8C">
            <w:pPr>
              <w:kinsoku w:val="0"/>
              <w:overflowPunct w:val="0"/>
              <w:autoSpaceDE w:val="0"/>
              <w:autoSpaceDN w:val="0"/>
              <w:adjustRightInd w:val="0"/>
              <w:spacing w:after="0" w:line="240" w:lineRule="auto"/>
              <w:jc w:val="center"/>
              <w:rPr>
                <w:rFonts w:cs="Times New Roman"/>
              </w:rPr>
            </w:pPr>
            <w:r w:rsidRPr="00B34F4F">
              <w:rPr>
                <w:rFonts w:cs="Arial"/>
                <w:spacing w:val="-1"/>
              </w:rPr>
              <w:t>(0.011,</w:t>
            </w:r>
            <w:r w:rsidRPr="00B34F4F">
              <w:rPr>
                <w:rFonts w:cs="Arial"/>
                <w:spacing w:val="-10"/>
              </w:rPr>
              <w:t xml:space="preserve"> </w:t>
            </w:r>
            <w:r w:rsidRPr="00B34F4F">
              <w:rPr>
                <w:rFonts w:cs="Arial"/>
                <w:spacing w:val="-1"/>
              </w:rPr>
              <w:t>1.006)</w:t>
            </w:r>
          </w:p>
        </w:tc>
        <w:tc>
          <w:tcPr>
            <w:tcW w:w="2384" w:type="dxa"/>
            <w:tcBorders>
              <w:top w:val="single" w:sz="4" w:space="0" w:color="000000"/>
              <w:left w:val="single" w:sz="4" w:space="0" w:color="000000"/>
              <w:bottom w:val="single" w:sz="4" w:space="0" w:color="000000"/>
              <w:right w:val="single" w:sz="4" w:space="0" w:color="000000"/>
            </w:tcBorders>
          </w:tcPr>
          <w:p w14:paraId="61671643" w14:textId="77777777" w:rsidR="008027BA" w:rsidRPr="00B34F4F" w:rsidRDefault="008027BA" w:rsidP="00A56D8C">
            <w:pPr>
              <w:kinsoku w:val="0"/>
              <w:overflowPunct w:val="0"/>
              <w:autoSpaceDE w:val="0"/>
              <w:autoSpaceDN w:val="0"/>
              <w:adjustRightInd w:val="0"/>
              <w:spacing w:after="0" w:line="240" w:lineRule="auto"/>
              <w:jc w:val="center"/>
              <w:rPr>
                <w:rFonts w:cs="Times New Roman"/>
              </w:rPr>
            </w:pPr>
            <w:r w:rsidRPr="00B34F4F">
              <w:rPr>
                <w:rFonts w:cs="Arial"/>
                <w:spacing w:val="-1"/>
              </w:rPr>
              <w:t>(0.132,</w:t>
            </w:r>
            <w:r w:rsidRPr="00B34F4F">
              <w:rPr>
                <w:rFonts w:cs="Arial"/>
                <w:spacing w:val="-11"/>
              </w:rPr>
              <w:t xml:space="preserve"> </w:t>
            </w:r>
            <w:r w:rsidRPr="00B34F4F">
              <w:rPr>
                <w:rFonts w:cs="Arial"/>
                <w:spacing w:val="-1"/>
              </w:rPr>
              <w:t>1.118)</w:t>
            </w:r>
          </w:p>
        </w:tc>
      </w:tr>
      <w:tr w:rsidR="008027BA" w:rsidRPr="00C40456" w14:paraId="6124FDC7" w14:textId="77777777" w:rsidTr="00F874FA">
        <w:trPr>
          <w:cantSplit/>
          <w:trHeight w:hRule="exact" w:val="326"/>
          <w:tblHeader/>
        </w:trPr>
        <w:tc>
          <w:tcPr>
            <w:tcW w:w="2383" w:type="dxa"/>
            <w:tcBorders>
              <w:top w:val="single" w:sz="4" w:space="0" w:color="000000"/>
              <w:left w:val="single" w:sz="4" w:space="0" w:color="000000"/>
              <w:bottom w:val="single" w:sz="4" w:space="0" w:color="000000"/>
              <w:right w:val="single" w:sz="4" w:space="0" w:color="000000"/>
            </w:tcBorders>
          </w:tcPr>
          <w:p w14:paraId="5B3C2469" w14:textId="77777777" w:rsidR="008027BA" w:rsidRPr="00B34F4F" w:rsidRDefault="008027BA" w:rsidP="00A56D8C">
            <w:pPr>
              <w:kinsoku w:val="0"/>
              <w:overflowPunct w:val="0"/>
              <w:autoSpaceDE w:val="0"/>
              <w:autoSpaceDN w:val="0"/>
              <w:adjustRightInd w:val="0"/>
              <w:spacing w:after="0" w:line="240" w:lineRule="auto"/>
              <w:rPr>
                <w:rFonts w:cs="Arial"/>
                <w:spacing w:val="-1"/>
              </w:rPr>
            </w:pPr>
            <w:r w:rsidRPr="00B34F4F">
              <w:rPr>
                <w:rFonts w:cs="Arial"/>
                <w:spacing w:val="-1"/>
              </w:rPr>
              <w:t>Surgical Cohort</w:t>
            </w:r>
          </w:p>
        </w:tc>
        <w:tc>
          <w:tcPr>
            <w:tcW w:w="2384" w:type="dxa"/>
            <w:tcBorders>
              <w:top w:val="single" w:sz="4" w:space="0" w:color="000000"/>
              <w:left w:val="single" w:sz="4" w:space="0" w:color="000000"/>
              <w:bottom w:val="single" w:sz="4" w:space="0" w:color="000000"/>
              <w:right w:val="single" w:sz="4" w:space="0" w:color="000000"/>
            </w:tcBorders>
          </w:tcPr>
          <w:p w14:paraId="2D4DBBD1"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w:t>
            </w:r>
            <w:r w:rsidRPr="00B34F4F">
              <w:rPr>
                <w:rFonts w:cs="Arial"/>
                <w:spacing w:val="-6"/>
              </w:rPr>
              <w:t xml:space="preserve"> </w:t>
            </w:r>
            <w:r w:rsidRPr="00B34F4F">
              <w:rPr>
                <w:rFonts w:cs="Arial"/>
                <w:spacing w:val="-1"/>
              </w:rPr>
              <w:t>1)</w:t>
            </w:r>
          </w:p>
        </w:tc>
        <w:tc>
          <w:tcPr>
            <w:tcW w:w="2384" w:type="dxa"/>
            <w:tcBorders>
              <w:top w:val="single" w:sz="4" w:space="0" w:color="000000"/>
              <w:left w:val="single" w:sz="4" w:space="0" w:color="000000"/>
              <w:bottom w:val="single" w:sz="4" w:space="0" w:color="000000"/>
              <w:right w:val="single" w:sz="4" w:space="0" w:color="000000"/>
            </w:tcBorders>
          </w:tcPr>
          <w:p w14:paraId="1A2B1B71"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(-0.012,</w:t>
            </w:r>
            <w:r w:rsidRPr="00B34F4F">
              <w:rPr>
                <w:rFonts w:cs="Arial"/>
                <w:spacing w:val="-12"/>
              </w:rPr>
              <w:t xml:space="preserve"> </w:t>
            </w:r>
            <w:r w:rsidRPr="00B34F4F">
              <w:rPr>
                <w:rFonts w:cs="Arial"/>
                <w:spacing w:val="-1"/>
              </w:rPr>
              <w:t>0.995)</w:t>
            </w:r>
          </w:p>
        </w:tc>
        <w:tc>
          <w:tcPr>
            <w:tcW w:w="2384" w:type="dxa"/>
            <w:tcBorders>
              <w:top w:val="single" w:sz="4" w:space="0" w:color="000000"/>
              <w:left w:val="single" w:sz="4" w:space="0" w:color="000000"/>
              <w:bottom w:val="single" w:sz="4" w:space="0" w:color="000000"/>
              <w:right w:val="single" w:sz="4" w:space="0" w:color="000000"/>
            </w:tcBorders>
          </w:tcPr>
          <w:p w14:paraId="02C881B7"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(0.104,</w:t>
            </w:r>
            <w:r w:rsidRPr="00B34F4F">
              <w:rPr>
                <w:rFonts w:cs="Arial"/>
                <w:spacing w:val="-11"/>
              </w:rPr>
              <w:t xml:space="preserve"> </w:t>
            </w:r>
            <w:r w:rsidRPr="00B34F4F">
              <w:rPr>
                <w:rFonts w:cs="Arial"/>
                <w:spacing w:val="-1"/>
              </w:rPr>
              <w:t>1.076)</w:t>
            </w:r>
          </w:p>
        </w:tc>
      </w:tr>
      <w:tr w:rsidR="008027BA" w:rsidRPr="00C40456" w14:paraId="2ACD1E0B" w14:textId="77777777" w:rsidTr="00F874FA">
        <w:trPr>
          <w:cantSplit/>
          <w:trHeight w:hRule="exact" w:val="326"/>
          <w:tblHeader/>
        </w:trPr>
        <w:tc>
          <w:tcPr>
            <w:tcW w:w="2383" w:type="dxa"/>
            <w:tcBorders>
              <w:top w:val="single" w:sz="4" w:space="0" w:color="000000"/>
              <w:left w:val="single" w:sz="4" w:space="0" w:color="000000"/>
              <w:bottom w:val="single" w:sz="4" w:space="0" w:color="000000"/>
              <w:right w:val="single" w:sz="4" w:space="0" w:color="000000"/>
            </w:tcBorders>
          </w:tcPr>
          <w:p w14:paraId="6328B341" w14:textId="77777777" w:rsidR="008027BA" w:rsidRPr="00B34F4F" w:rsidRDefault="008027BA" w:rsidP="00A56D8C">
            <w:pPr>
              <w:kinsoku w:val="0"/>
              <w:overflowPunct w:val="0"/>
              <w:autoSpaceDE w:val="0"/>
              <w:autoSpaceDN w:val="0"/>
              <w:adjustRightInd w:val="0"/>
              <w:spacing w:after="0" w:line="240" w:lineRule="auto"/>
              <w:rPr>
                <w:rFonts w:cs="Arial"/>
                <w:spacing w:val="-1"/>
              </w:rPr>
            </w:pPr>
            <w:r w:rsidRPr="00B34F4F">
              <w:rPr>
                <w:rFonts w:cs="Arial"/>
                <w:spacing w:val="-1"/>
              </w:rPr>
              <w:t>Cardiorespiratory Cohort</w:t>
            </w:r>
          </w:p>
        </w:tc>
        <w:tc>
          <w:tcPr>
            <w:tcW w:w="2384" w:type="dxa"/>
            <w:tcBorders>
              <w:top w:val="single" w:sz="4" w:space="0" w:color="000000"/>
              <w:left w:val="single" w:sz="4" w:space="0" w:color="000000"/>
              <w:bottom w:val="single" w:sz="4" w:space="0" w:color="000000"/>
              <w:right w:val="single" w:sz="4" w:space="0" w:color="000000"/>
            </w:tcBorders>
          </w:tcPr>
          <w:p w14:paraId="2B71AE0A"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w:t>
            </w:r>
            <w:r w:rsidRPr="00B34F4F">
              <w:rPr>
                <w:rFonts w:cs="Arial"/>
                <w:spacing w:val="-6"/>
              </w:rPr>
              <w:t xml:space="preserve"> </w:t>
            </w:r>
            <w:r w:rsidRPr="00B34F4F">
              <w:rPr>
                <w:rFonts w:cs="Arial"/>
                <w:spacing w:val="-1"/>
              </w:rPr>
              <w:t>1)</w:t>
            </w:r>
          </w:p>
        </w:tc>
        <w:tc>
          <w:tcPr>
            <w:tcW w:w="2384" w:type="dxa"/>
            <w:tcBorders>
              <w:top w:val="single" w:sz="4" w:space="0" w:color="000000"/>
              <w:left w:val="single" w:sz="4" w:space="0" w:color="000000"/>
              <w:bottom w:val="single" w:sz="4" w:space="0" w:color="000000"/>
              <w:right w:val="single" w:sz="4" w:space="0" w:color="000000"/>
            </w:tcBorders>
          </w:tcPr>
          <w:p w14:paraId="432E7EEA"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(0.010,</w:t>
            </w:r>
            <w:r w:rsidRPr="00B34F4F">
              <w:rPr>
                <w:rFonts w:cs="Arial"/>
                <w:spacing w:val="-11"/>
              </w:rPr>
              <w:t xml:space="preserve"> </w:t>
            </w:r>
            <w:r w:rsidRPr="00B34F4F">
              <w:rPr>
                <w:rFonts w:cs="Arial"/>
                <w:spacing w:val="-1"/>
              </w:rPr>
              <w:t>1.006)</w:t>
            </w:r>
          </w:p>
        </w:tc>
        <w:tc>
          <w:tcPr>
            <w:tcW w:w="2384" w:type="dxa"/>
            <w:tcBorders>
              <w:top w:val="single" w:sz="4" w:space="0" w:color="000000"/>
              <w:left w:val="single" w:sz="4" w:space="0" w:color="000000"/>
              <w:bottom w:val="single" w:sz="4" w:space="0" w:color="000000"/>
              <w:right w:val="single" w:sz="4" w:space="0" w:color="000000"/>
            </w:tcBorders>
          </w:tcPr>
          <w:p w14:paraId="69C7A335"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(0.193,</w:t>
            </w:r>
            <w:r w:rsidRPr="00B34F4F">
              <w:rPr>
                <w:rFonts w:cs="Arial"/>
                <w:spacing w:val="-11"/>
              </w:rPr>
              <w:t xml:space="preserve"> </w:t>
            </w:r>
            <w:r w:rsidRPr="00B34F4F">
              <w:rPr>
                <w:rFonts w:cs="Arial"/>
                <w:spacing w:val="-1"/>
              </w:rPr>
              <w:t>1.184)</w:t>
            </w:r>
          </w:p>
        </w:tc>
      </w:tr>
      <w:tr w:rsidR="008027BA" w:rsidRPr="00C40456" w14:paraId="0C02E146" w14:textId="77777777" w:rsidTr="00F874FA">
        <w:trPr>
          <w:cantSplit/>
          <w:trHeight w:hRule="exact" w:val="326"/>
          <w:tblHeader/>
        </w:trPr>
        <w:tc>
          <w:tcPr>
            <w:tcW w:w="2383" w:type="dxa"/>
            <w:tcBorders>
              <w:top w:val="single" w:sz="4" w:space="0" w:color="000000"/>
              <w:left w:val="single" w:sz="4" w:space="0" w:color="000000"/>
              <w:bottom w:val="single" w:sz="4" w:space="0" w:color="000000"/>
              <w:right w:val="single" w:sz="4" w:space="0" w:color="000000"/>
            </w:tcBorders>
          </w:tcPr>
          <w:p w14:paraId="1A065428" w14:textId="77777777" w:rsidR="008027BA" w:rsidRPr="00B34F4F" w:rsidRDefault="008027BA" w:rsidP="00A56D8C">
            <w:pPr>
              <w:kinsoku w:val="0"/>
              <w:overflowPunct w:val="0"/>
              <w:autoSpaceDE w:val="0"/>
              <w:autoSpaceDN w:val="0"/>
              <w:adjustRightInd w:val="0"/>
              <w:spacing w:after="0" w:line="240" w:lineRule="auto"/>
              <w:rPr>
                <w:rFonts w:cs="Arial"/>
                <w:spacing w:val="-1"/>
              </w:rPr>
            </w:pPr>
            <w:r w:rsidRPr="00B34F4F">
              <w:rPr>
                <w:rFonts w:cs="Arial"/>
                <w:spacing w:val="-1"/>
              </w:rPr>
              <w:t>Cardiovascular Cohort</w:t>
            </w:r>
          </w:p>
        </w:tc>
        <w:tc>
          <w:tcPr>
            <w:tcW w:w="2384" w:type="dxa"/>
            <w:tcBorders>
              <w:top w:val="single" w:sz="4" w:space="0" w:color="000000"/>
              <w:left w:val="single" w:sz="4" w:space="0" w:color="000000"/>
              <w:bottom w:val="single" w:sz="4" w:space="0" w:color="000000"/>
              <w:right w:val="single" w:sz="4" w:space="0" w:color="000000"/>
            </w:tcBorders>
          </w:tcPr>
          <w:p w14:paraId="7FD732EE"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w:t>
            </w:r>
            <w:r w:rsidRPr="00B34F4F">
              <w:rPr>
                <w:rFonts w:cs="Arial"/>
                <w:spacing w:val="-6"/>
              </w:rPr>
              <w:t xml:space="preserve"> </w:t>
            </w:r>
            <w:r w:rsidRPr="00B34F4F">
              <w:rPr>
                <w:rFonts w:cs="Arial"/>
                <w:spacing w:val="-1"/>
              </w:rPr>
              <w:t>1)</w:t>
            </w:r>
          </w:p>
        </w:tc>
        <w:tc>
          <w:tcPr>
            <w:tcW w:w="2384" w:type="dxa"/>
            <w:tcBorders>
              <w:top w:val="single" w:sz="4" w:space="0" w:color="000000"/>
              <w:left w:val="single" w:sz="4" w:space="0" w:color="000000"/>
              <w:bottom w:val="single" w:sz="4" w:space="0" w:color="000000"/>
              <w:right w:val="single" w:sz="4" w:space="0" w:color="000000"/>
            </w:tcBorders>
          </w:tcPr>
          <w:p w14:paraId="7DC9E1B3"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(-0.019,</w:t>
            </w:r>
            <w:r w:rsidRPr="00B34F4F">
              <w:rPr>
                <w:rFonts w:cs="Arial"/>
                <w:spacing w:val="-12"/>
              </w:rPr>
              <w:t xml:space="preserve"> </w:t>
            </w:r>
            <w:r w:rsidRPr="00B34F4F">
              <w:rPr>
                <w:rFonts w:cs="Arial"/>
                <w:spacing w:val="-1"/>
              </w:rPr>
              <w:t>0.993)</w:t>
            </w:r>
          </w:p>
        </w:tc>
        <w:tc>
          <w:tcPr>
            <w:tcW w:w="2384" w:type="dxa"/>
            <w:tcBorders>
              <w:top w:val="single" w:sz="4" w:space="0" w:color="000000"/>
              <w:left w:val="single" w:sz="4" w:space="0" w:color="000000"/>
              <w:bottom w:val="single" w:sz="4" w:space="0" w:color="000000"/>
              <w:right w:val="single" w:sz="4" w:space="0" w:color="000000"/>
            </w:tcBorders>
          </w:tcPr>
          <w:p w14:paraId="44E47900"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cs="Arial"/>
                <w:spacing w:val="-1"/>
              </w:rPr>
              <w:t>(0.145,</w:t>
            </w:r>
            <w:r w:rsidRPr="00B34F4F">
              <w:rPr>
                <w:rFonts w:cs="Arial"/>
                <w:spacing w:val="-11"/>
              </w:rPr>
              <w:t xml:space="preserve"> </w:t>
            </w:r>
            <w:r w:rsidRPr="00B34F4F">
              <w:rPr>
                <w:rFonts w:cs="Arial"/>
                <w:spacing w:val="-1"/>
              </w:rPr>
              <w:t>1.109)</w:t>
            </w:r>
          </w:p>
        </w:tc>
      </w:tr>
      <w:tr w:rsidR="008027BA" w:rsidRPr="00C40456" w14:paraId="4B41A11B" w14:textId="77777777" w:rsidTr="00F874FA">
        <w:trPr>
          <w:cantSplit/>
          <w:trHeight w:hRule="exact" w:val="326"/>
          <w:tblHeader/>
        </w:trPr>
        <w:tc>
          <w:tcPr>
            <w:tcW w:w="2383" w:type="dxa"/>
            <w:tcBorders>
              <w:top w:val="single" w:sz="4" w:space="0" w:color="000000"/>
              <w:left w:val="single" w:sz="4" w:space="0" w:color="000000"/>
              <w:bottom w:val="single" w:sz="4" w:space="0" w:color="000000"/>
              <w:right w:val="single" w:sz="4" w:space="0" w:color="000000"/>
            </w:tcBorders>
          </w:tcPr>
          <w:p w14:paraId="6588FFF6" w14:textId="77777777" w:rsidR="008027BA" w:rsidRPr="00B34F4F" w:rsidRDefault="008027BA" w:rsidP="00A56D8C">
            <w:pPr>
              <w:kinsoku w:val="0"/>
              <w:overflowPunct w:val="0"/>
              <w:autoSpaceDE w:val="0"/>
              <w:autoSpaceDN w:val="0"/>
              <w:adjustRightInd w:val="0"/>
              <w:spacing w:after="0" w:line="240" w:lineRule="auto"/>
              <w:rPr>
                <w:rFonts w:cs="Arial"/>
                <w:spacing w:val="-1"/>
              </w:rPr>
            </w:pPr>
            <w:r w:rsidRPr="00B34F4F">
              <w:rPr>
                <w:rFonts w:cs="Arial"/>
                <w:spacing w:val="-1"/>
              </w:rPr>
              <w:t>Neurology Cohort</w:t>
            </w:r>
          </w:p>
        </w:tc>
        <w:tc>
          <w:tcPr>
            <w:tcW w:w="2384" w:type="dxa"/>
            <w:tcBorders>
              <w:top w:val="single" w:sz="4" w:space="0" w:color="000000"/>
              <w:left w:val="single" w:sz="4" w:space="0" w:color="000000"/>
              <w:bottom w:val="single" w:sz="4" w:space="0" w:color="000000"/>
              <w:right w:val="single" w:sz="4" w:space="0" w:color="000000"/>
            </w:tcBorders>
          </w:tcPr>
          <w:p w14:paraId="53D06FC9"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eastAsiaTheme="minorHAnsi"/>
                <w:spacing w:val="-1"/>
              </w:rPr>
              <w:t>(0,</w:t>
            </w:r>
            <w:r w:rsidRPr="00B34F4F">
              <w:rPr>
                <w:rFonts w:eastAsiaTheme="minorHAnsi"/>
                <w:spacing w:val="-6"/>
              </w:rPr>
              <w:t xml:space="preserve"> </w:t>
            </w:r>
            <w:r w:rsidRPr="00B34F4F">
              <w:rPr>
                <w:rFonts w:eastAsiaTheme="minorHAnsi"/>
                <w:spacing w:val="-1"/>
              </w:rPr>
              <w:t>1)</w:t>
            </w:r>
          </w:p>
        </w:tc>
        <w:tc>
          <w:tcPr>
            <w:tcW w:w="2384" w:type="dxa"/>
            <w:tcBorders>
              <w:top w:val="single" w:sz="4" w:space="0" w:color="000000"/>
              <w:left w:val="single" w:sz="4" w:space="0" w:color="000000"/>
              <w:bottom w:val="single" w:sz="4" w:space="0" w:color="000000"/>
              <w:right w:val="single" w:sz="4" w:space="0" w:color="000000"/>
            </w:tcBorders>
          </w:tcPr>
          <w:p w14:paraId="7E5D4FAD"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eastAsiaTheme="minorHAnsi"/>
                <w:spacing w:val="-1"/>
              </w:rPr>
              <w:t>(-0.036,</w:t>
            </w:r>
            <w:r w:rsidRPr="00B34F4F">
              <w:rPr>
                <w:rFonts w:eastAsiaTheme="minorHAnsi"/>
                <w:spacing w:val="-12"/>
              </w:rPr>
              <w:t xml:space="preserve"> </w:t>
            </w:r>
            <w:r w:rsidRPr="00B34F4F">
              <w:rPr>
                <w:rFonts w:eastAsiaTheme="minorHAnsi"/>
                <w:spacing w:val="-1"/>
              </w:rPr>
              <w:t>0.982)</w:t>
            </w:r>
          </w:p>
        </w:tc>
        <w:tc>
          <w:tcPr>
            <w:tcW w:w="2384" w:type="dxa"/>
            <w:tcBorders>
              <w:top w:val="single" w:sz="4" w:space="0" w:color="000000"/>
              <w:left w:val="single" w:sz="4" w:space="0" w:color="000000"/>
              <w:bottom w:val="single" w:sz="4" w:space="0" w:color="000000"/>
              <w:right w:val="single" w:sz="4" w:space="0" w:color="000000"/>
            </w:tcBorders>
          </w:tcPr>
          <w:p w14:paraId="5CC6A1FF" w14:textId="77777777" w:rsidR="008027BA" w:rsidRPr="00B34F4F" w:rsidRDefault="008027BA" w:rsidP="00A56D8C">
            <w:pPr>
              <w:kinsoku w:val="0"/>
              <w:overflowPunct w:val="0"/>
              <w:autoSpaceDE w:val="0"/>
              <w:autoSpaceDN w:val="0"/>
              <w:adjustRightInd w:val="0"/>
              <w:spacing w:after="0" w:line="240" w:lineRule="auto"/>
              <w:jc w:val="center"/>
              <w:rPr>
                <w:rFonts w:cs="Arial"/>
                <w:spacing w:val="-1"/>
              </w:rPr>
            </w:pPr>
            <w:r w:rsidRPr="00B34F4F">
              <w:rPr>
                <w:rFonts w:eastAsiaTheme="minorHAnsi"/>
                <w:spacing w:val="-1"/>
              </w:rPr>
              <w:t>(0.201,</w:t>
            </w:r>
            <w:r w:rsidRPr="00B34F4F">
              <w:rPr>
                <w:rFonts w:eastAsiaTheme="minorHAnsi"/>
                <w:spacing w:val="-11"/>
              </w:rPr>
              <w:t xml:space="preserve"> </w:t>
            </w:r>
            <w:r w:rsidRPr="00B34F4F">
              <w:rPr>
                <w:rFonts w:eastAsiaTheme="minorHAnsi"/>
                <w:spacing w:val="-1"/>
              </w:rPr>
              <w:t>1.163)</w:t>
            </w:r>
          </w:p>
        </w:tc>
      </w:tr>
    </w:tbl>
    <w:p w14:paraId="2999E685" w14:textId="77777777" w:rsidR="008027BA" w:rsidRDefault="008027BA" w:rsidP="00092566">
      <w:pPr>
        <w:autoSpaceDE w:val="0"/>
        <w:autoSpaceDN w:val="0"/>
        <w:adjustRightInd w:val="0"/>
        <w:spacing w:after="0" w:line="240" w:lineRule="auto"/>
        <w:rPr>
          <w:rFonts w:cstheme="minorHAnsi"/>
          <w:bCs/>
          <w:color w:val="FF0000"/>
          <w:highlight w:val="lightGray"/>
        </w:rPr>
      </w:pPr>
    </w:p>
    <w:p w14:paraId="6C0AEA0B" w14:textId="27FF8040" w:rsidR="00A56D8C" w:rsidRDefault="00A56D8C" w:rsidP="00092566">
      <w:pPr>
        <w:autoSpaceDE w:val="0"/>
        <w:autoSpaceDN w:val="0"/>
        <w:adjustRightInd w:val="0"/>
        <w:spacing w:after="0" w:line="240" w:lineRule="auto"/>
        <w:rPr>
          <w:rFonts w:cstheme="minorHAnsi"/>
          <w:bCs/>
          <w:color w:val="FF0000"/>
          <w:highlight w:val="lightGray"/>
        </w:rPr>
      </w:pPr>
    </w:p>
    <w:p w14:paraId="0FE7F031" w14:textId="77777777" w:rsidR="00206E72" w:rsidRDefault="00206E72" w:rsidP="00092566">
      <w:pPr>
        <w:autoSpaceDE w:val="0"/>
        <w:autoSpaceDN w:val="0"/>
        <w:adjustRightInd w:val="0"/>
        <w:spacing w:after="0" w:line="240" w:lineRule="auto"/>
        <w:rPr>
          <w:rFonts w:cstheme="minorHAnsi"/>
          <w:bCs/>
          <w:color w:val="FF0000"/>
          <w:highlight w:val="lightGray"/>
        </w:rPr>
      </w:pPr>
    </w:p>
    <w:p w14:paraId="35959740" w14:textId="77777777" w:rsidR="00A56D8C" w:rsidRDefault="00A56D8C" w:rsidP="00092566">
      <w:pPr>
        <w:autoSpaceDE w:val="0"/>
        <w:autoSpaceDN w:val="0"/>
        <w:adjustRightInd w:val="0"/>
        <w:spacing w:after="0" w:line="240" w:lineRule="auto"/>
        <w:rPr>
          <w:rFonts w:cstheme="minorHAnsi"/>
          <w:bCs/>
          <w:color w:val="FF0000"/>
          <w:highlight w:val="lightGray"/>
        </w:rPr>
      </w:pPr>
    </w:p>
    <w:p w14:paraId="3E6B3EA7" w14:textId="3AB1F8BA" w:rsidR="00A56D8C" w:rsidRPr="00CB13B7" w:rsidRDefault="00A56D8C" w:rsidP="00A56D8C">
      <w:pPr>
        <w:autoSpaceDE w:val="0"/>
        <w:autoSpaceDN w:val="0"/>
        <w:adjustRightInd w:val="0"/>
        <w:spacing w:after="0" w:line="240" w:lineRule="auto"/>
        <w:rPr>
          <w:rFonts w:cstheme="minorHAnsi"/>
          <w:b/>
          <w:bCs/>
          <w:color w:val="FF0000"/>
        </w:rPr>
      </w:pPr>
      <w:r w:rsidRPr="00CB13B7">
        <w:rPr>
          <w:rFonts w:cstheme="minorHAnsi"/>
          <w:b/>
          <w:bCs/>
          <w:color w:val="FF0000"/>
        </w:rPr>
        <w:t>The following results are for the ACR measure.</w:t>
      </w:r>
    </w:p>
    <w:p w14:paraId="69F1F147" w14:textId="77777777" w:rsidR="00A56D8C" w:rsidRPr="00CB13B7" w:rsidRDefault="00A56D8C" w:rsidP="00092566">
      <w:pPr>
        <w:autoSpaceDE w:val="0"/>
        <w:autoSpaceDN w:val="0"/>
        <w:adjustRightInd w:val="0"/>
        <w:spacing w:after="0" w:line="240" w:lineRule="auto"/>
        <w:rPr>
          <w:rFonts w:cstheme="minorHAnsi"/>
          <w:bCs/>
          <w:color w:val="FF0000"/>
          <w:highlight w:val="lightGray"/>
        </w:rPr>
      </w:pPr>
    </w:p>
    <w:tbl>
      <w:tblPr>
        <w:tblpPr w:leftFromText="180" w:rightFromText="180" w:vertAnchor="text" w:horzAnchor="margin" w:tblpY="-40"/>
        <w:tblW w:w="9535" w:type="dxa"/>
        <w:tblLayout w:type="fixed"/>
        <w:tblCellMar>
          <w:left w:w="0" w:type="dxa"/>
          <w:right w:w="0" w:type="dxa"/>
        </w:tblCellMar>
        <w:tblLook w:val="0000" w:firstRow="0" w:lastRow="0" w:firstColumn="0" w:lastColumn="0" w:noHBand="0" w:noVBand="0"/>
      </w:tblPr>
      <w:tblGrid>
        <w:gridCol w:w="3178"/>
        <w:gridCol w:w="3178"/>
        <w:gridCol w:w="3179"/>
      </w:tblGrid>
      <w:tr w:rsidR="00CB13B7" w:rsidRPr="00CB13B7" w14:paraId="1F048959" w14:textId="77777777" w:rsidTr="00A56D8C">
        <w:trPr>
          <w:cantSplit/>
          <w:trHeight w:hRule="exact" w:val="720"/>
          <w:tblHeader/>
        </w:trPr>
        <w:tc>
          <w:tcPr>
            <w:tcW w:w="317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76463CE" w14:textId="77777777" w:rsidR="00A56D8C" w:rsidRPr="00CB13B7" w:rsidRDefault="00A56D8C" w:rsidP="00206E72">
            <w:pPr>
              <w:kinsoku w:val="0"/>
              <w:overflowPunct w:val="0"/>
              <w:autoSpaceDE w:val="0"/>
              <w:autoSpaceDN w:val="0"/>
              <w:adjustRightInd w:val="0"/>
              <w:spacing w:before="166" w:after="0" w:line="240" w:lineRule="auto"/>
              <w:ind w:right="5"/>
              <w:jc w:val="center"/>
              <w:rPr>
                <w:rFonts w:cs="Times New Roman"/>
                <w:color w:val="FF0000"/>
              </w:rPr>
            </w:pPr>
            <w:r w:rsidRPr="00CB13B7">
              <w:rPr>
                <w:rFonts w:cs="Arial"/>
                <w:b/>
                <w:bCs/>
                <w:color w:val="FF0000"/>
                <w:spacing w:val="-1"/>
              </w:rPr>
              <w:lastRenderedPageBreak/>
              <w:t>Indices</w:t>
            </w:r>
          </w:p>
        </w:tc>
        <w:tc>
          <w:tcPr>
            <w:tcW w:w="317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0D9F9FD" w14:textId="77777777" w:rsidR="00A56D8C" w:rsidRPr="00CB13B7" w:rsidRDefault="00A56D8C" w:rsidP="00A56D8C">
            <w:pPr>
              <w:kinsoku w:val="0"/>
              <w:overflowPunct w:val="0"/>
              <w:autoSpaceDE w:val="0"/>
              <w:autoSpaceDN w:val="0"/>
              <w:adjustRightInd w:val="0"/>
              <w:spacing w:before="51" w:after="0" w:line="240" w:lineRule="auto"/>
              <w:ind w:right="5"/>
              <w:jc w:val="center"/>
              <w:rPr>
                <w:rFonts w:cs="Arial"/>
                <w:b/>
                <w:bCs/>
                <w:color w:val="FF0000"/>
                <w:spacing w:val="-1"/>
              </w:rPr>
            </w:pPr>
            <w:r w:rsidRPr="00CB13B7">
              <w:rPr>
                <w:rFonts w:cs="Arial"/>
                <w:b/>
                <w:bCs/>
                <w:color w:val="FF0000"/>
                <w:spacing w:val="-1"/>
              </w:rPr>
              <w:t>2014-2015</w:t>
            </w:r>
          </w:p>
          <w:p w14:paraId="6E684B3E" w14:textId="455804D3" w:rsidR="00A56D8C" w:rsidRPr="00CB13B7" w:rsidRDefault="00A56D8C" w:rsidP="00A56D8C">
            <w:pPr>
              <w:kinsoku w:val="0"/>
              <w:overflowPunct w:val="0"/>
              <w:autoSpaceDE w:val="0"/>
              <w:autoSpaceDN w:val="0"/>
              <w:adjustRightInd w:val="0"/>
              <w:spacing w:after="0" w:line="240" w:lineRule="auto"/>
              <w:ind w:right="5"/>
              <w:jc w:val="center"/>
              <w:rPr>
                <w:rFonts w:cs="Times New Roman"/>
                <w:color w:val="FF0000"/>
              </w:rPr>
            </w:pPr>
            <w:r w:rsidRPr="00CB13B7">
              <w:rPr>
                <w:rFonts w:cs="Arial"/>
                <w:b/>
                <w:bCs/>
                <w:color w:val="FF0000"/>
                <w:spacing w:val="-1"/>
              </w:rPr>
              <w:t>Development Sample</w:t>
            </w:r>
          </w:p>
        </w:tc>
        <w:tc>
          <w:tcPr>
            <w:tcW w:w="31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2746B5C" w14:textId="77777777" w:rsidR="00A56D8C" w:rsidRPr="00CB13B7" w:rsidRDefault="00A56D8C" w:rsidP="00A56D8C">
            <w:pPr>
              <w:kinsoku w:val="0"/>
              <w:overflowPunct w:val="0"/>
              <w:autoSpaceDE w:val="0"/>
              <w:autoSpaceDN w:val="0"/>
              <w:adjustRightInd w:val="0"/>
              <w:spacing w:before="51" w:after="0" w:line="240" w:lineRule="auto"/>
              <w:jc w:val="center"/>
              <w:rPr>
                <w:rFonts w:cs="Arial"/>
                <w:b/>
                <w:bCs/>
                <w:color w:val="FF0000"/>
                <w:spacing w:val="-1"/>
              </w:rPr>
            </w:pPr>
            <w:r w:rsidRPr="00CB13B7">
              <w:rPr>
                <w:rFonts w:cs="Arial"/>
                <w:b/>
                <w:bCs/>
                <w:color w:val="FF0000"/>
                <w:spacing w:val="-1"/>
              </w:rPr>
              <w:t>2014-2015</w:t>
            </w:r>
          </w:p>
          <w:p w14:paraId="658AF5CC" w14:textId="37477C7E" w:rsidR="00A56D8C" w:rsidRPr="00CB13B7" w:rsidRDefault="00A56D8C" w:rsidP="00A56D8C">
            <w:pPr>
              <w:kinsoku w:val="0"/>
              <w:overflowPunct w:val="0"/>
              <w:autoSpaceDE w:val="0"/>
              <w:autoSpaceDN w:val="0"/>
              <w:adjustRightInd w:val="0"/>
              <w:spacing w:after="0" w:line="240" w:lineRule="auto"/>
              <w:jc w:val="center"/>
              <w:rPr>
                <w:rFonts w:cs="Times New Roman"/>
                <w:color w:val="FF0000"/>
              </w:rPr>
            </w:pPr>
            <w:r w:rsidRPr="00CB13B7">
              <w:rPr>
                <w:rFonts w:cs="Arial"/>
                <w:b/>
                <w:bCs/>
                <w:color w:val="FF0000"/>
                <w:spacing w:val="-1"/>
              </w:rPr>
              <w:t>Validation Sample</w:t>
            </w:r>
          </w:p>
        </w:tc>
      </w:tr>
      <w:tr w:rsidR="00CB13B7" w:rsidRPr="00CB13B7" w14:paraId="6AC5DEEE" w14:textId="77777777" w:rsidTr="00A56D8C">
        <w:trPr>
          <w:cantSplit/>
          <w:trHeight w:hRule="exact" w:val="326"/>
          <w:tblHeader/>
        </w:trPr>
        <w:tc>
          <w:tcPr>
            <w:tcW w:w="3178" w:type="dxa"/>
            <w:tcBorders>
              <w:top w:val="single" w:sz="4" w:space="0" w:color="000000"/>
              <w:left w:val="single" w:sz="4" w:space="0" w:color="000000"/>
              <w:bottom w:val="single" w:sz="4" w:space="0" w:color="000000"/>
              <w:right w:val="single" w:sz="4" w:space="0" w:color="000000"/>
            </w:tcBorders>
          </w:tcPr>
          <w:p w14:paraId="0C15E6F0" w14:textId="77777777" w:rsidR="00A56D8C" w:rsidRPr="00CB13B7" w:rsidRDefault="00A56D8C" w:rsidP="00A56D8C">
            <w:pPr>
              <w:kinsoku w:val="0"/>
              <w:overflowPunct w:val="0"/>
              <w:autoSpaceDE w:val="0"/>
              <w:autoSpaceDN w:val="0"/>
              <w:adjustRightInd w:val="0"/>
              <w:spacing w:after="0" w:line="240" w:lineRule="auto"/>
              <w:rPr>
                <w:rFonts w:cs="Times New Roman"/>
                <w:color w:val="FF0000"/>
              </w:rPr>
            </w:pPr>
            <w:r w:rsidRPr="00CB13B7">
              <w:rPr>
                <w:rFonts w:cs="Arial"/>
                <w:color w:val="FF0000"/>
                <w:spacing w:val="-1"/>
              </w:rPr>
              <w:t>Medicine Cohort</w:t>
            </w:r>
          </w:p>
        </w:tc>
        <w:tc>
          <w:tcPr>
            <w:tcW w:w="3178" w:type="dxa"/>
            <w:tcBorders>
              <w:top w:val="single" w:sz="4" w:space="0" w:color="000000"/>
              <w:left w:val="single" w:sz="4" w:space="0" w:color="000000"/>
              <w:bottom w:val="single" w:sz="4" w:space="0" w:color="000000"/>
              <w:right w:val="single" w:sz="4" w:space="0" w:color="000000"/>
            </w:tcBorders>
          </w:tcPr>
          <w:p w14:paraId="3F49433A" w14:textId="77777777" w:rsidR="00A56D8C" w:rsidRPr="00CB13B7" w:rsidRDefault="00A56D8C" w:rsidP="00A56D8C">
            <w:pPr>
              <w:kinsoku w:val="0"/>
              <w:overflowPunct w:val="0"/>
              <w:autoSpaceDE w:val="0"/>
              <w:autoSpaceDN w:val="0"/>
              <w:adjustRightInd w:val="0"/>
              <w:spacing w:after="0" w:line="240" w:lineRule="auto"/>
              <w:jc w:val="center"/>
              <w:rPr>
                <w:rFonts w:cs="Times New Roman"/>
                <w:color w:val="FF0000"/>
              </w:rPr>
            </w:pPr>
            <w:r w:rsidRPr="00CB13B7">
              <w:rPr>
                <w:rFonts w:cs="Arial"/>
                <w:color w:val="FF0000"/>
                <w:spacing w:val="-1"/>
              </w:rPr>
              <w:t>(0,</w:t>
            </w:r>
            <w:r w:rsidRPr="00CB13B7">
              <w:rPr>
                <w:rFonts w:cs="Arial"/>
                <w:color w:val="FF0000"/>
                <w:spacing w:val="-6"/>
              </w:rPr>
              <w:t xml:space="preserve"> </w:t>
            </w:r>
            <w:r w:rsidRPr="00CB13B7">
              <w:rPr>
                <w:rFonts w:cs="Arial"/>
                <w:color w:val="FF0000"/>
                <w:spacing w:val="-1"/>
              </w:rPr>
              <w:t>1)</w:t>
            </w:r>
          </w:p>
        </w:tc>
        <w:tc>
          <w:tcPr>
            <w:tcW w:w="3179" w:type="dxa"/>
            <w:tcBorders>
              <w:top w:val="single" w:sz="4" w:space="0" w:color="000000"/>
              <w:left w:val="single" w:sz="4" w:space="0" w:color="000000"/>
              <w:bottom w:val="single" w:sz="4" w:space="0" w:color="000000"/>
              <w:right w:val="single" w:sz="4" w:space="0" w:color="000000"/>
            </w:tcBorders>
          </w:tcPr>
          <w:p w14:paraId="78A4F131" w14:textId="16784D3E" w:rsidR="00A56D8C" w:rsidRPr="00CB13B7" w:rsidRDefault="00A56D8C" w:rsidP="00A56D8C">
            <w:pPr>
              <w:kinsoku w:val="0"/>
              <w:overflowPunct w:val="0"/>
              <w:autoSpaceDE w:val="0"/>
              <w:autoSpaceDN w:val="0"/>
              <w:adjustRightInd w:val="0"/>
              <w:spacing w:after="0" w:line="240" w:lineRule="auto"/>
              <w:jc w:val="center"/>
              <w:rPr>
                <w:rFonts w:cs="Times New Roman"/>
                <w:color w:val="FF0000"/>
              </w:rPr>
            </w:pPr>
            <w:r w:rsidRPr="00CB13B7">
              <w:rPr>
                <w:color w:val="FF0000"/>
              </w:rPr>
              <w:t>(-0.026, 0.987)</w:t>
            </w:r>
          </w:p>
        </w:tc>
      </w:tr>
      <w:tr w:rsidR="00CB13B7" w:rsidRPr="00CB13B7" w14:paraId="7FA290EB" w14:textId="77777777" w:rsidTr="00A56D8C">
        <w:trPr>
          <w:cantSplit/>
          <w:trHeight w:hRule="exact" w:val="326"/>
          <w:tblHeader/>
        </w:trPr>
        <w:tc>
          <w:tcPr>
            <w:tcW w:w="3178" w:type="dxa"/>
            <w:tcBorders>
              <w:top w:val="single" w:sz="4" w:space="0" w:color="000000"/>
              <w:left w:val="single" w:sz="4" w:space="0" w:color="000000"/>
              <w:bottom w:val="single" w:sz="4" w:space="0" w:color="000000"/>
              <w:right w:val="single" w:sz="4" w:space="0" w:color="000000"/>
            </w:tcBorders>
          </w:tcPr>
          <w:p w14:paraId="440653A9" w14:textId="77777777" w:rsidR="00A56D8C" w:rsidRPr="00CB13B7" w:rsidRDefault="00A56D8C" w:rsidP="00A56D8C">
            <w:pPr>
              <w:kinsoku w:val="0"/>
              <w:overflowPunct w:val="0"/>
              <w:autoSpaceDE w:val="0"/>
              <w:autoSpaceDN w:val="0"/>
              <w:adjustRightInd w:val="0"/>
              <w:spacing w:after="0" w:line="240" w:lineRule="auto"/>
              <w:rPr>
                <w:rFonts w:cs="Arial"/>
                <w:color w:val="FF0000"/>
                <w:spacing w:val="-1"/>
              </w:rPr>
            </w:pPr>
            <w:r w:rsidRPr="00CB13B7">
              <w:rPr>
                <w:rFonts w:cs="Arial"/>
                <w:color w:val="FF0000"/>
                <w:spacing w:val="-1"/>
              </w:rPr>
              <w:t>Surgical Cohort</w:t>
            </w:r>
          </w:p>
        </w:tc>
        <w:tc>
          <w:tcPr>
            <w:tcW w:w="3178" w:type="dxa"/>
            <w:tcBorders>
              <w:top w:val="single" w:sz="4" w:space="0" w:color="000000"/>
              <w:left w:val="single" w:sz="4" w:space="0" w:color="000000"/>
              <w:bottom w:val="single" w:sz="4" w:space="0" w:color="000000"/>
              <w:right w:val="single" w:sz="4" w:space="0" w:color="000000"/>
            </w:tcBorders>
          </w:tcPr>
          <w:p w14:paraId="41C45655" w14:textId="77777777"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rFonts w:cs="Arial"/>
                <w:color w:val="FF0000"/>
                <w:spacing w:val="-1"/>
              </w:rPr>
              <w:t>(0,</w:t>
            </w:r>
            <w:r w:rsidRPr="00CB13B7">
              <w:rPr>
                <w:rFonts w:cs="Arial"/>
                <w:color w:val="FF0000"/>
                <w:spacing w:val="-6"/>
              </w:rPr>
              <w:t xml:space="preserve"> </w:t>
            </w:r>
            <w:r w:rsidRPr="00CB13B7">
              <w:rPr>
                <w:rFonts w:cs="Arial"/>
                <w:color w:val="FF0000"/>
                <w:spacing w:val="-1"/>
              </w:rPr>
              <w:t>1)</w:t>
            </w:r>
          </w:p>
        </w:tc>
        <w:tc>
          <w:tcPr>
            <w:tcW w:w="3179" w:type="dxa"/>
            <w:tcBorders>
              <w:top w:val="single" w:sz="4" w:space="0" w:color="000000"/>
              <w:left w:val="single" w:sz="4" w:space="0" w:color="000000"/>
              <w:bottom w:val="single" w:sz="4" w:space="0" w:color="000000"/>
              <w:right w:val="single" w:sz="4" w:space="0" w:color="000000"/>
            </w:tcBorders>
          </w:tcPr>
          <w:p w14:paraId="2430CFDA" w14:textId="22109E60"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color w:val="FF0000"/>
              </w:rPr>
              <w:t>(-0.024, 0.995)</w:t>
            </w:r>
          </w:p>
        </w:tc>
      </w:tr>
      <w:tr w:rsidR="00CB13B7" w:rsidRPr="00CB13B7" w14:paraId="25E1066F" w14:textId="77777777" w:rsidTr="00A56D8C">
        <w:trPr>
          <w:cantSplit/>
          <w:trHeight w:hRule="exact" w:val="326"/>
          <w:tblHeader/>
        </w:trPr>
        <w:tc>
          <w:tcPr>
            <w:tcW w:w="3178" w:type="dxa"/>
            <w:tcBorders>
              <w:top w:val="single" w:sz="4" w:space="0" w:color="000000"/>
              <w:left w:val="single" w:sz="4" w:space="0" w:color="000000"/>
              <w:bottom w:val="single" w:sz="4" w:space="0" w:color="000000"/>
              <w:right w:val="single" w:sz="4" w:space="0" w:color="000000"/>
            </w:tcBorders>
          </w:tcPr>
          <w:p w14:paraId="1A9E8674" w14:textId="77777777" w:rsidR="00A56D8C" w:rsidRPr="00CB13B7" w:rsidRDefault="00A56D8C" w:rsidP="00A56D8C">
            <w:pPr>
              <w:kinsoku w:val="0"/>
              <w:overflowPunct w:val="0"/>
              <w:autoSpaceDE w:val="0"/>
              <w:autoSpaceDN w:val="0"/>
              <w:adjustRightInd w:val="0"/>
              <w:spacing w:after="0" w:line="240" w:lineRule="auto"/>
              <w:rPr>
                <w:rFonts w:cs="Arial"/>
                <w:color w:val="FF0000"/>
                <w:spacing w:val="-1"/>
              </w:rPr>
            </w:pPr>
            <w:r w:rsidRPr="00CB13B7">
              <w:rPr>
                <w:rFonts w:cs="Arial"/>
                <w:color w:val="FF0000"/>
                <w:spacing w:val="-1"/>
              </w:rPr>
              <w:t>Cardiorespiratory Cohort</w:t>
            </w:r>
          </w:p>
        </w:tc>
        <w:tc>
          <w:tcPr>
            <w:tcW w:w="3178" w:type="dxa"/>
            <w:tcBorders>
              <w:top w:val="single" w:sz="4" w:space="0" w:color="000000"/>
              <w:left w:val="single" w:sz="4" w:space="0" w:color="000000"/>
              <w:bottom w:val="single" w:sz="4" w:space="0" w:color="000000"/>
              <w:right w:val="single" w:sz="4" w:space="0" w:color="000000"/>
            </w:tcBorders>
          </w:tcPr>
          <w:p w14:paraId="4E98C603" w14:textId="77777777"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rFonts w:cs="Arial"/>
                <w:color w:val="FF0000"/>
                <w:spacing w:val="-1"/>
              </w:rPr>
              <w:t>(0,</w:t>
            </w:r>
            <w:r w:rsidRPr="00CB13B7">
              <w:rPr>
                <w:rFonts w:cs="Arial"/>
                <w:color w:val="FF0000"/>
                <w:spacing w:val="-6"/>
              </w:rPr>
              <w:t xml:space="preserve"> </w:t>
            </w:r>
            <w:r w:rsidRPr="00CB13B7">
              <w:rPr>
                <w:rFonts w:cs="Arial"/>
                <w:color w:val="FF0000"/>
                <w:spacing w:val="-1"/>
              </w:rPr>
              <w:t>1)</w:t>
            </w:r>
          </w:p>
        </w:tc>
        <w:tc>
          <w:tcPr>
            <w:tcW w:w="3179" w:type="dxa"/>
            <w:tcBorders>
              <w:top w:val="single" w:sz="4" w:space="0" w:color="000000"/>
              <w:left w:val="single" w:sz="4" w:space="0" w:color="000000"/>
              <w:bottom w:val="single" w:sz="4" w:space="0" w:color="000000"/>
              <w:right w:val="single" w:sz="4" w:space="0" w:color="000000"/>
            </w:tcBorders>
          </w:tcPr>
          <w:p w14:paraId="55F151EE" w14:textId="61F53730"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color w:val="FF0000"/>
              </w:rPr>
              <w:t>(0.017, 1.008)</w:t>
            </w:r>
          </w:p>
        </w:tc>
      </w:tr>
      <w:tr w:rsidR="00CB13B7" w:rsidRPr="00CB13B7" w14:paraId="635C879E" w14:textId="77777777" w:rsidTr="00A56D8C">
        <w:trPr>
          <w:cantSplit/>
          <w:trHeight w:hRule="exact" w:val="326"/>
          <w:tblHeader/>
        </w:trPr>
        <w:tc>
          <w:tcPr>
            <w:tcW w:w="3178" w:type="dxa"/>
            <w:tcBorders>
              <w:top w:val="single" w:sz="4" w:space="0" w:color="000000"/>
              <w:left w:val="single" w:sz="4" w:space="0" w:color="000000"/>
              <w:bottom w:val="single" w:sz="4" w:space="0" w:color="000000"/>
              <w:right w:val="single" w:sz="4" w:space="0" w:color="000000"/>
            </w:tcBorders>
          </w:tcPr>
          <w:p w14:paraId="44C0842D" w14:textId="77777777" w:rsidR="00A56D8C" w:rsidRPr="00CB13B7" w:rsidRDefault="00A56D8C" w:rsidP="00A56D8C">
            <w:pPr>
              <w:kinsoku w:val="0"/>
              <w:overflowPunct w:val="0"/>
              <w:autoSpaceDE w:val="0"/>
              <w:autoSpaceDN w:val="0"/>
              <w:adjustRightInd w:val="0"/>
              <w:spacing w:after="0" w:line="240" w:lineRule="auto"/>
              <w:rPr>
                <w:rFonts w:cs="Arial"/>
                <w:color w:val="FF0000"/>
                <w:spacing w:val="-1"/>
              </w:rPr>
            </w:pPr>
            <w:r w:rsidRPr="00CB13B7">
              <w:rPr>
                <w:rFonts w:cs="Arial"/>
                <w:color w:val="FF0000"/>
                <w:spacing w:val="-1"/>
              </w:rPr>
              <w:t>Cardiovascular Cohort</w:t>
            </w:r>
          </w:p>
        </w:tc>
        <w:tc>
          <w:tcPr>
            <w:tcW w:w="3178" w:type="dxa"/>
            <w:tcBorders>
              <w:top w:val="single" w:sz="4" w:space="0" w:color="000000"/>
              <w:left w:val="single" w:sz="4" w:space="0" w:color="000000"/>
              <w:bottom w:val="single" w:sz="4" w:space="0" w:color="000000"/>
              <w:right w:val="single" w:sz="4" w:space="0" w:color="000000"/>
            </w:tcBorders>
          </w:tcPr>
          <w:p w14:paraId="289B8080" w14:textId="77777777"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rFonts w:cs="Arial"/>
                <w:color w:val="FF0000"/>
                <w:spacing w:val="-1"/>
              </w:rPr>
              <w:t>(0,</w:t>
            </w:r>
            <w:r w:rsidRPr="00CB13B7">
              <w:rPr>
                <w:rFonts w:cs="Arial"/>
                <w:color w:val="FF0000"/>
                <w:spacing w:val="-6"/>
              </w:rPr>
              <w:t xml:space="preserve"> </w:t>
            </w:r>
            <w:r w:rsidRPr="00CB13B7">
              <w:rPr>
                <w:rFonts w:cs="Arial"/>
                <w:color w:val="FF0000"/>
                <w:spacing w:val="-1"/>
              </w:rPr>
              <w:t>1)</w:t>
            </w:r>
          </w:p>
        </w:tc>
        <w:tc>
          <w:tcPr>
            <w:tcW w:w="3179" w:type="dxa"/>
            <w:tcBorders>
              <w:top w:val="single" w:sz="4" w:space="0" w:color="000000"/>
              <w:left w:val="single" w:sz="4" w:space="0" w:color="000000"/>
              <w:bottom w:val="single" w:sz="4" w:space="0" w:color="000000"/>
              <w:right w:val="single" w:sz="4" w:space="0" w:color="000000"/>
            </w:tcBorders>
          </w:tcPr>
          <w:p w14:paraId="709D7348" w14:textId="6B96F040"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color w:val="FF0000"/>
              </w:rPr>
              <w:t>(0.005, 0.995)</w:t>
            </w:r>
          </w:p>
        </w:tc>
      </w:tr>
      <w:tr w:rsidR="00CB13B7" w:rsidRPr="00CB13B7" w14:paraId="1C81F11E" w14:textId="77777777" w:rsidTr="00A56D8C">
        <w:trPr>
          <w:cantSplit/>
          <w:trHeight w:hRule="exact" w:val="326"/>
          <w:tblHeader/>
        </w:trPr>
        <w:tc>
          <w:tcPr>
            <w:tcW w:w="3178" w:type="dxa"/>
            <w:tcBorders>
              <w:top w:val="single" w:sz="4" w:space="0" w:color="000000"/>
              <w:left w:val="single" w:sz="4" w:space="0" w:color="000000"/>
              <w:bottom w:val="single" w:sz="4" w:space="0" w:color="000000"/>
              <w:right w:val="single" w:sz="4" w:space="0" w:color="000000"/>
            </w:tcBorders>
          </w:tcPr>
          <w:p w14:paraId="6FCB98FA" w14:textId="77777777" w:rsidR="00A56D8C" w:rsidRPr="00CB13B7" w:rsidRDefault="00A56D8C" w:rsidP="00A56D8C">
            <w:pPr>
              <w:kinsoku w:val="0"/>
              <w:overflowPunct w:val="0"/>
              <w:autoSpaceDE w:val="0"/>
              <w:autoSpaceDN w:val="0"/>
              <w:adjustRightInd w:val="0"/>
              <w:spacing w:after="0" w:line="240" w:lineRule="auto"/>
              <w:rPr>
                <w:rFonts w:cs="Arial"/>
                <w:color w:val="FF0000"/>
                <w:spacing w:val="-1"/>
              </w:rPr>
            </w:pPr>
            <w:r w:rsidRPr="00CB13B7">
              <w:rPr>
                <w:rFonts w:cs="Arial"/>
                <w:color w:val="FF0000"/>
                <w:spacing w:val="-1"/>
              </w:rPr>
              <w:t>Neurology Cohort</w:t>
            </w:r>
          </w:p>
        </w:tc>
        <w:tc>
          <w:tcPr>
            <w:tcW w:w="3178" w:type="dxa"/>
            <w:tcBorders>
              <w:top w:val="single" w:sz="4" w:space="0" w:color="000000"/>
              <w:left w:val="single" w:sz="4" w:space="0" w:color="000000"/>
              <w:bottom w:val="single" w:sz="4" w:space="0" w:color="000000"/>
              <w:right w:val="single" w:sz="4" w:space="0" w:color="000000"/>
            </w:tcBorders>
          </w:tcPr>
          <w:p w14:paraId="70B8B431" w14:textId="77777777"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rFonts w:eastAsiaTheme="minorHAnsi"/>
                <w:color w:val="FF0000"/>
                <w:spacing w:val="-1"/>
              </w:rPr>
              <w:t>(0,</w:t>
            </w:r>
            <w:r w:rsidRPr="00CB13B7">
              <w:rPr>
                <w:rFonts w:eastAsiaTheme="minorHAnsi"/>
                <w:color w:val="FF0000"/>
                <w:spacing w:val="-6"/>
              </w:rPr>
              <w:t xml:space="preserve"> </w:t>
            </w:r>
            <w:r w:rsidRPr="00CB13B7">
              <w:rPr>
                <w:rFonts w:eastAsiaTheme="minorHAnsi"/>
                <w:color w:val="FF0000"/>
                <w:spacing w:val="-1"/>
              </w:rPr>
              <w:t>1)</w:t>
            </w:r>
          </w:p>
        </w:tc>
        <w:tc>
          <w:tcPr>
            <w:tcW w:w="3179" w:type="dxa"/>
            <w:tcBorders>
              <w:top w:val="single" w:sz="4" w:space="0" w:color="000000"/>
              <w:left w:val="single" w:sz="4" w:space="0" w:color="000000"/>
              <w:bottom w:val="single" w:sz="4" w:space="0" w:color="000000"/>
              <w:right w:val="single" w:sz="4" w:space="0" w:color="000000"/>
            </w:tcBorders>
          </w:tcPr>
          <w:p w14:paraId="78E5A1ED" w14:textId="4244E35C" w:rsidR="00A56D8C" w:rsidRPr="00CB13B7" w:rsidRDefault="00A56D8C" w:rsidP="00A56D8C">
            <w:pPr>
              <w:kinsoku w:val="0"/>
              <w:overflowPunct w:val="0"/>
              <w:autoSpaceDE w:val="0"/>
              <w:autoSpaceDN w:val="0"/>
              <w:adjustRightInd w:val="0"/>
              <w:spacing w:after="0" w:line="240" w:lineRule="auto"/>
              <w:jc w:val="center"/>
              <w:rPr>
                <w:rFonts w:cs="Arial"/>
                <w:color w:val="FF0000"/>
                <w:spacing w:val="-1"/>
              </w:rPr>
            </w:pPr>
            <w:r w:rsidRPr="00CB13B7">
              <w:rPr>
                <w:color w:val="FF0000"/>
              </w:rPr>
              <w:t>(-0.031, 0.993)</w:t>
            </w:r>
          </w:p>
        </w:tc>
      </w:tr>
    </w:tbl>
    <w:p w14:paraId="78E47044" w14:textId="4A79C4FB" w:rsidR="008C6732" w:rsidRDefault="00743E46" w:rsidP="00092566">
      <w:pPr>
        <w:autoSpaceDE w:val="0"/>
        <w:autoSpaceDN w:val="0"/>
        <w:adjustRightInd w:val="0"/>
        <w:spacing w:after="0" w:line="240" w:lineRule="auto"/>
        <w:rPr>
          <w:rFonts w:cstheme="minorHAnsi"/>
          <w:bCs/>
        </w:rPr>
      </w:pPr>
      <w:r w:rsidRPr="002F2AE5">
        <w:rPr>
          <w:rFonts w:cstheme="minorHAnsi"/>
          <w:b/>
          <w:bCs/>
        </w:rPr>
        <w:t>2b4.8</w:t>
      </w:r>
      <w:r w:rsidR="00001D73" w:rsidRPr="002F2AE5">
        <w:rPr>
          <w:rFonts w:cstheme="minorHAnsi"/>
          <w:b/>
          <w:bCs/>
        </w:rPr>
        <w:t xml:space="preserve">. </w:t>
      </w:r>
      <w:r w:rsidRPr="002F2AE5">
        <w:rPr>
          <w:rFonts w:cstheme="minorHAnsi"/>
          <w:b/>
          <w:bCs/>
        </w:rPr>
        <w:t xml:space="preserve">Statistical </w:t>
      </w:r>
      <w:r w:rsidR="00092566" w:rsidRPr="002F2AE5">
        <w:rPr>
          <w:rFonts w:cstheme="minorHAnsi"/>
          <w:b/>
          <w:bCs/>
        </w:rPr>
        <w:t>Risk Model Calibration – Risk decile plots or calibration curves</w:t>
      </w:r>
      <w:r w:rsidR="00092566" w:rsidRPr="002F2AE5">
        <w:rPr>
          <w:rFonts w:cstheme="minorHAnsi"/>
          <w:bCs/>
        </w:rPr>
        <w:t>:</w:t>
      </w:r>
    </w:p>
    <w:p w14:paraId="2B37B2BD" w14:textId="77777777" w:rsidR="008027BA" w:rsidRDefault="008027BA" w:rsidP="008027BA">
      <w:pPr>
        <w:autoSpaceDE w:val="0"/>
        <w:autoSpaceDN w:val="0"/>
        <w:adjustRightInd w:val="0"/>
        <w:spacing w:after="0" w:line="240" w:lineRule="auto"/>
        <w:rPr>
          <w:rFonts w:cstheme="minorHAnsi"/>
          <w:bCs/>
        </w:rPr>
      </w:pPr>
    </w:p>
    <w:p w14:paraId="58A38382" w14:textId="077C0BF3" w:rsidR="00A56D8C" w:rsidRPr="00BC7CB0" w:rsidRDefault="00C90472" w:rsidP="008027BA">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b/>
          <w:bCs/>
          <w:u w:val="single"/>
        </w:rPr>
      </w:pPr>
      <w:r>
        <w:rPr>
          <w:rFonts w:cstheme="minorHAnsi"/>
          <w:b/>
          <w:bCs/>
          <w:u w:val="single"/>
        </w:rPr>
        <w:t>HWR</w:t>
      </w:r>
    </w:p>
    <w:p w14:paraId="12D0D3CE" w14:textId="5DAD6309"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rPr>
      </w:pPr>
      <w:r w:rsidRPr="008D2BD7">
        <w:rPr>
          <w:rFonts w:cstheme="minorHAnsi"/>
          <w:bCs/>
        </w:rPr>
        <w:t xml:space="preserve">The risk decile plot is a graphical depiction of the deciles calculated to measure predictive ability. </w:t>
      </w:r>
      <w:r w:rsidRPr="008D2BD7">
        <w:rPr>
          <w:rFonts w:cstheme="minorHAnsi"/>
        </w:rPr>
        <w:t xml:space="preserve">Below, we present the risk decile plot showing the distributions for Medicare FFS data </w:t>
      </w:r>
      <w:r w:rsidRPr="00DF0555">
        <w:rPr>
          <w:rFonts w:cstheme="minorHAnsi"/>
        </w:rPr>
        <w:t xml:space="preserve">from </w:t>
      </w:r>
      <w:r>
        <w:rPr>
          <w:rFonts w:cstheme="minorHAnsi"/>
        </w:rPr>
        <w:t>July 2013 to June 2014.</w:t>
      </w:r>
    </w:p>
    <w:p w14:paraId="705A42D3"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noProof/>
        </w:rPr>
        <w:drawing>
          <wp:inline distT="0" distB="0" distL="0" distR="0" wp14:anchorId="55614563" wp14:editId="0FAFCC0C">
            <wp:extent cx="2934031" cy="1996943"/>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97" cy="2024825"/>
                    </a:xfrm>
                    <a:prstGeom prst="rect">
                      <a:avLst/>
                    </a:prstGeom>
                    <a:noFill/>
                  </pic:spPr>
                </pic:pic>
              </a:graphicData>
            </a:graphic>
          </wp:inline>
        </w:drawing>
      </w:r>
      <w:r>
        <w:rPr>
          <w:noProof/>
        </w:rPr>
        <w:drawing>
          <wp:inline distT="0" distB="0" distL="0" distR="0" wp14:anchorId="66339D1B" wp14:editId="651F1037">
            <wp:extent cx="2932936" cy="1996199"/>
            <wp:effectExtent l="0" t="0" r="127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1027" cy="2001706"/>
                    </a:xfrm>
                    <a:prstGeom prst="rect">
                      <a:avLst/>
                    </a:prstGeom>
                    <a:noFill/>
                  </pic:spPr>
                </pic:pic>
              </a:graphicData>
            </a:graphic>
          </wp:inline>
        </w:drawing>
      </w:r>
    </w:p>
    <w:p w14:paraId="51C2934F"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noProof/>
        </w:rPr>
        <w:drawing>
          <wp:inline distT="0" distB="0" distL="0" distR="0" wp14:anchorId="73BDEE09" wp14:editId="5861CA3A">
            <wp:extent cx="2932318" cy="1995777"/>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2318" cy="1995777"/>
                    </a:xfrm>
                    <a:prstGeom prst="rect">
                      <a:avLst/>
                    </a:prstGeom>
                    <a:noFill/>
                  </pic:spPr>
                </pic:pic>
              </a:graphicData>
            </a:graphic>
          </wp:inline>
        </w:drawing>
      </w:r>
      <w:r>
        <w:rPr>
          <w:noProof/>
        </w:rPr>
        <w:drawing>
          <wp:inline distT="0" distB="0" distL="0" distR="0" wp14:anchorId="3A97EFC2" wp14:editId="71D5B366">
            <wp:extent cx="2932430" cy="1995855"/>
            <wp:effectExtent l="0" t="0" r="127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3682" cy="2017126"/>
                    </a:xfrm>
                    <a:prstGeom prst="rect">
                      <a:avLst/>
                    </a:prstGeom>
                    <a:noFill/>
                  </pic:spPr>
                </pic:pic>
              </a:graphicData>
            </a:graphic>
          </wp:inline>
        </w:drawing>
      </w:r>
    </w:p>
    <w:p w14:paraId="309A24E0"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noProof/>
        </w:rPr>
        <w:lastRenderedPageBreak/>
        <w:drawing>
          <wp:inline distT="0" distB="0" distL="0" distR="0" wp14:anchorId="2E504CA9" wp14:editId="5999CBEE">
            <wp:extent cx="2937698" cy="1999439"/>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4228" cy="2024302"/>
                    </a:xfrm>
                    <a:prstGeom prst="rect">
                      <a:avLst/>
                    </a:prstGeom>
                    <a:noFill/>
                  </pic:spPr>
                </pic:pic>
              </a:graphicData>
            </a:graphic>
          </wp:inline>
        </w:drawing>
      </w:r>
    </w:p>
    <w:p w14:paraId="5F9664E3" w14:textId="7C575AB2" w:rsidR="00956B12" w:rsidRDefault="00956B12" w:rsidP="008027BA">
      <w:pPr>
        <w:autoSpaceDE w:val="0"/>
        <w:autoSpaceDN w:val="0"/>
        <w:adjustRightInd w:val="0"/>
        <w:spacing w:after="0" w:line="240" w:lineRule="auto"/>
        <w:rPr>
          <w:rFonts w:cstheme="minorHAnsi"/>
          <w:bCs/>
        </w:rPr>
      </w:pPr>
    </w:p>
    <w:p w14:paraId="3E3F66F6" w14:textId="711173FF" w:rsidR="00956B12" w:rsidRDefault="00956B12" w:rsidP="008027BA">
      <w:pPr>
        <w:autoSpaceDE w:val="0"/>
        <w:autoSpaceDN w:val="0"/>
        <w:adjustRightInd w:val="0"/>
        <w:spacing w:after="0" w:line="240" w:lineRule="auto"/>
        <w:rPr>
          <w:rFonts w:cstheme="minorHAnsi"/>
          <w:bCs/>
        </w:rPr>
      </w:pPr>
    </w:p>
    <w:p w14:paraId="459BE783" w14:textId="04F3A1E6" w:rsidR="00956B12" w:rsidRDefault="00956B12" w:rsidP="008027BA">
      <w:pPr>
        <w:autoSpaceDE w:val="0"/>
        <w:autoSpaceDN w:val="0"/>
        <w:adjustRightInd w:val="0"/>
        <w:spacing w:after="0" w:line="240" w:lineRule="auto"/>
        <w:rPr>
          <w:rFonts w:cstheme="minorHAnsi"/>
          <w:bCs/>
        </w:rPr>
      </w:pPr>
    </w:p>
    <w:p w14:paraId="11969E4B" w14:textId="7730A985" w:rsidR="00956B12" w:rsidRDefault="00956B12" w:rsidP="008027BA">
      <w:pPr>
        <w:autoSpaceDE w:val="0"/>
        <w:autoSpaceDN w:val="0"/>
        <w:adjustRightInd w:val="0"/>
        <w:spacing w:after="0" w:line="240" w:lineRule="auto"/>
        <w:rPr>
          <w:rFonts w:cstheme="minorHAnsi"/>
          <w:bCs/>
        </w:rPr>
      </w:pPr>
    </w:p>
    <w:p w14:paraId="20E44C07" w14:textId="482AD4C5" w:rsidR="00956B12" w:rsidRDefault="00956B12" w:rsidP="008027BA">
      <w:pPr>
        <w:autoSpaceDE w:val="0"/>
        <w:autoSpaceDN w:val="0"/>
        <w:adjustRightInd w:val="0"/>
        <w:spacing w:after="0" w:line="240" w:lineRule="auto"/>
        <w:rPr>
          <w:rFonts w:cstheme="minorHAnsi"/>
          <w:bCs/>
        </w:rPr>
      </w:pPr>
    </w:p>
    <w:p w14:paraId="2E315BEA" w14:textId="7AF49820" w:rsidR="00956B12" w:rsidRDefault="00956B12" w:rsidP="008027BA">
      <w:pPr>
        <w:autoSpaceDE w:val="0"/>
        <w:autoSpaceDN w:val="0"/>
        <w:adjustRightInd w:val="0"/>
        <w:spacing w:after="0" w:line="240" w:lineRule="auto"/>
        <w:rPr>
          <w:rFonts w:cstheme="minorHAnsi"/>
          <w:bCs/>
        </w:rPr>
      </w:pPr>
    </w:p>
    <w:p w14:paraId="147D082D" w14:textId="7704B76F" w:rsidR="00956B12" w:rsidRDefault="00956B12" w:rsidP="008027BA">
      <w:pPr>
        <w:autoSpaceDE w:val="0"/>
        <w:autoSpaceDN w:val="0"/>
        <w:adjustRightInd w:val="0"/>
        <w:spacing w:after="0" w:line="240" w:lineRule="auto"/>
        <w:rPr>
          <w:rFonts w:cstheme="minorHAnsi"/>
          <w:bCs/>
        </w:rPr>
      </w:pPr>
    </w:p>
    <w:p w14:paraId="0AFE13B7" w14:textId="255FC5B5" w:rsidR="00956B12" w:rsidRDefault="00956B12" w:rsidP="008027BA">
      <w:pPr>
        <w:autoSpaceDE w:val="0"/>
        <w:autoSpaceDN w:val="0"/>
        <w:adjustRightInd w:val="0"/>
        <w:spacing w:after="0" w:line="240" w:lineRule="auto"/>
        <w:rPr>
          <w:rFonts w:cstheme="minorHAnsi"/>
          <w:bCs/>
        </w:rPr>
      </w:pPr>
    </w:p>
    <w:p w14:paraId="6630668D" w14:textId="523C9753" w:rsidR="00956B12" w:rsidRDefault="00956B12" w:rsidP="008027BA">
      <w:pPr>
        <w:autoSpaceDE w:val="0"/>
        <w:autoSpaceDN w:val="0"/>
        <w:adjustRightInd w:val="0"/>
        <w:spacing w:after="0" w:line="240" w:lineRule="auto"/>
        <w:rPr>
          <w:rFonts w:cstheme="minorHAnsi"/>
          <w:bCs/>
        </w:rPr>
      </w:pPr>
    </w:p>
    <w:p w14:paraId="79863579" w14:textId="76A0B922" w:rsidR="00956B12" w:rsidRDefault="00956B12" w:rsidP="008027BA">
      <w:pPr>
        <w:autoSpaceDE w:val="0"/>
        <w:autoSpaceDN w:val="0"/>
        <w:adjustRightInd w:val="0"/>
        <w:spacing w:after="0" w:line="240" w:lineRule="auto"/>
        <w:rPr>
          <w:rFonts w:cstheme="minorHAnsi"/>
          <w:bCs/>
        </w:rPr>
      </w:pPr>
    </w:p>
    <w:p w14:paraId="0EEB5427" w14:textId="0AE63C2F" w:rsidR="00956B12" w:rsidRDefault="00956B12" w:rsidP="008027BA">
      <w:pPr>
        <w:autoSpaceDE w:val="0"/>
        <w:autoSpaceDN w:val="0"/>
        <w:adjustRightInd w:val="0"/>
        <w:spacing w:after="0" w:line="240" w:lineRule="auto"/>
        <w:rPr>
          <w:rFonts w:cstheme="minorHAnsi"/>
          <w:bCs/>
        </w:rPr>
      </w:pPr>
    </w:p>
    <w:p w14:paraId="3D9F8BAD" w14:textId="65332FD1" w:rsidR="00956B12" w:rsidRDefault="00956B12" w:rsidP="008027BA">
      <w:pPr>
        <w:autoSpaceDE w:val="0"/>
        <w:autoSpaceDN w:val="0"/>
        <w:adjustRightInd w:val="0"/>
        <w:spacing w:after="0" w:line="240" w:lineRule="auto"/>
        <w:rPr>
          <w:rFonts w:cstheme="minorHAnsi"/>
          <w:bCs/>
        </w:rPr>
      </w:pPr>
    </w:p>
    <w:p w14:paraId="77BE5610" w14:textId="205B257A" w:rsidR="00956B12" w:rsidRDefault="00956B12" w:rsidP="008027BA">
      <w:pPr>
        <w:autoSpaceDE w:val="0"/>
        <w:autoSpaceDN w:val="0"/>
        <w:adjustRightInd w:val="0"/>
        <w:spacing w:after="0" w:line="240" w:lineRule="auto"/>
        <w:rPr>
          <w:rFonts w:cstheme="minorHAnsi"/>
          <w:bCs/>
        </w:rPr>
      </w:pPr>
    </w:p>
    <w:p w14:paraId="63B988F8" w14:textId="11BF14D8" w:rsidR="00956B12" w:rsidRDefault="00956B12" w:rsidP="008027BA">
      <w:pPr>
        <w:autoSpaceDE w:val="0"/>
        <w:autoSpaceDN w:val="0"/>
        <w:adjustRightInd w:val="0"/>
        <w:spacing w:after="0" w:line="240" w:lineRule="auto"/>
        <w:rPr>
          <w:rFonts w:cstheme="minorHAnsi"/>
          <w:bCs/>
        </w:rPr>
      </w:pPr>
    </w:p>
    <w:p w14:paraId="6A8F60BB" w14:textId="355276F2" w:rsidR="00956B12" w:rsidRDefault="00956B12" w:rsidP="008027BA">
      <w:pPr>
        <w:autoSpaceDE w:val="0"/>
        <w:autoSpaceDN w:val="0"/>
        <w:adjustRightInd w:val="0"/>
        <w:spacing w:after="0" w:line="240" w:lineRule="auto"/>
        <w:rPr>
          <w:rFonts w:cstheme="minorHAnsi"/>
          <w:bCs/>
        </w:rPr>
      </w:pPr>
    </w:p>
    <w:p w14:paraId="37A9FE9A" w14:textId="357B5797" w:rsidR="00956B12" w:rsidRDefault="00956B12" w:rsidP="008027BA">
      <w:pPr>
        <w:autoSpaceDE w:val="0"/>
        <w:autoSpaceDN w:val="0"/>
        <w:adjustRightInd w:val="0"/>
        <w:spacing w:after="0" w:line="240" w:lineRule="auto"/>
        <w:rPr>
          <w:rFonts w:cstheme="minorHAnsi"/>
          <w:bCs/>
        </w:rPr>
      </w:pPr>
    </w:p>
    <w:p w14:paraId="57DBFC25" w14:textId="58CE8C3A" w:rsidR="00956B12" w:rsidRDefault="00956B12" w:rsidP="008027BA">
      <w:pPr>
        <w:autoSpaceDE w:val="0"/>
        <w:autoSpaceDN w:val="0"/>
        <w:adjustRightInd w:val="0"/>
        <w:spacing w:after="0" w:line="240" w:lineRule="auto"/>
        <w:rPr>
          <w:rFonts w:cstheme="minorHAnsi"/>
          <w:bCs/>
        </w:rPr>
      </w:pPr>
    </w:p>
    <w:p w14:paraId="06E68050" w14:textId="2FDA8274" w:rsidR="00956B12" w:rsidRDefault="00956B12" w:rsidP="008027BA">
      <w:pPr>
        <w:autoSpaceDE w:val="0"/>
        <w:autoSpaceDN w:val="0"/>
        <w:adjustRightInd w:val="0"/>
        <w:spacing w:after="0" w:line="240" w:lineRule="auto"/>
        <w:rPr>
          <w:rFonts w:cstheme="minorHAnsi"/>
          <w:bCs/>
        </w:rPr>
      </w:pPr>
    </w:p>
    <w:p w14:paraId="6CCB626C" w14:textId="01F445FA" w:rsidR="00956B12" w:rsidRDefault="00956B12" w:rsidP="008027BA">
      <w:pPr>
        <w:autoSpaceDE w:val="0"/>
        <w:autoSpaceDN w:val="0"/>
        <w:adjustRightInd w:val="0"/>
        <w:spacing w:after="0" w:line="240" w:lineRule="auto"/>
        <w:rPr>
          <w:rFonts w:cstheme="minorHAnsi"/>
          <w:bCs/>
        </w:rPr>
      </w:pPr>
    </w:p>
    <w:p w14:paraId="132D3634" w14:textId="166ACC26" w:rsidR="00956B12" w:rsidRDefault="00956B12" w:rsidP="008027BA">
      <w:pPr>
        <w:autoSpaceDE w:val="0"/>
        <w:autoSpaceDN w:val="0"/>
        <w:adjustRightInd w:val="0"/>
        <w:spacing w:after="0" w:line="240" w:lineRule="auto"/>
        <w:rPr>
          <w:rFonts w:cstheme="minorHAnsi"/>
          <w:bCs/>
        </w:rPr>
      </w:pPr>
    </w:p>
    <w:p w14:paraId="1A269477" w14:textId="1CAAECA1" w:rsidR="00956B12" w:rsidRDefault="00956B12" w:rsidP="008027BA">
      <w:pPr>
        <w:autoSpaceDE w:val="0"/>
        <w:autoSpaceDN w:val="0"/>
        <w:adjustRightInd w:val="0"/>
        <w:spacing w:after="0" w:line="240" w:lineRule="auto"/>
        <w:rPr>
          <w:rFonts w:cstheme="minorHAnsi"/>
          <w:bCs/>
        </w:rPr>
      </w:pPr>
    </w:p>
    <w:p w14:paraId="64449EF3" w14:textId="6ABC4E49" w:rsidR="00956B12" w:rsidRDefault="00956B12" w:rsidP="008027BA">
      <w:pPr>
        <w:autoSpaceDE w:val="0"/>
        <w:autoSpaceDN w:val="0"/>
        <w:adjustRightInd w:val="0"/>
        <w:spacing w:after="0" w:line="240" w:lineRule="auto"/>
        <w:rPr>
          <w:rFonts w:cstheme="minorHAnsi"/>
          <w:bCs/>
        </w:rPr>
      </w:pPr>
    </w:p>
    <w:p w14:paraId="55143E54" w14:textId="3D116A32" w:rsidR="00956B12" w:rsidRDefault="00956B12" w:rsidP="008027BA">
      <w:pPr>
        <w:autoSpaceDE w:val="0"/>
        <w:autoSpaceDN w:val="0"/>
        <w:adjustRightInd w:val="0"/>
        <w:spacing w:after="0" w:line="240" w:lineRule="auto"/>
        <w:rPr>
          <w:rFonts w:cstheme="minorHAnsi"/>
          <w:bCs/>
        </w:rPr>
      </w:pPr>
    </w:p>
    <w:p w14:paraId="6023CD6A" w14:textId="345DE368" w:rsidR="00956B12" w:rsidRDefault="00956B12" w:rsidP="008027BA">
      <w:pPr>
        <w:autoSpaceDE w:val="0"/>
        <w:autoSpaceDN w:val="0"/>
        <w:adjustRightInd w:val="0"/>
        <w:spacing w:after="0" w:line="240" w:lineRule="auto"/>
        <w:rPr>
          <w:rFonts w:cstheme="minorHAnsi"/>
          <w:bCs/>
        </w:rPr>
      </w:pPr>
    </w:p>
    <w:p w14:paraId="10E9E905" w14:textId="1A619E5C" w:rsidR="00956B12" w:rsidRDefault="00956B12" w:rsidP="008027BA">
      <w:pPr>
        <w:autoSpaceDE w:val="0"/>
        <w:autoSpaceDN w:val="0"/>
        <w:adjustRightInd w:val="0"/>
        <w:spacing w:after="0" w:line="240" w:lineRule="auto"/>
        <w:rPr>
          <w:rFonts w:cstheme="minorHAnsi"/>
          <w:bCs/>
        </w:rPr>
      </w:pPr>
    </w:p>
    <w:p w14:paraId="2E04F2DC" w14:textId="7A6AC26C" w:rsidR="00956B12" w:rsidRDefault="00956B12" w:rsidP="008027BA">
      <w:pPr>
        <w:autoSpaceDE w:val="0"/>
        <w:autoSpaceDN w:val="0"/>
        <w:adjustRightInd w:val="0"/>
        <w:spacing w:after="0" w:line="240" w:lineRule="auto"/>
        <w:rPr>
          <w:rFonts w:cstheme="minorHAnsi"/>
          <w:bCs/>
        </w:rPr>
      </w:pPr>
    </w:p>
    <w:p w14:paraId="6CB1B47C" w14:textId="1E2DF7AF" w:rsidR="00956B12" w:rsidRDefault="00956B12" w:rsidP="008027BA">
      <w:pPr>
        <w:autoSpaceDE w:val="0"/>
        <w:autoSpaceDN w:val="0"/>
        <w:adjustRightInd w:val="0"/>
        <w:spacing w:after="0" w:line="240" w:lineRule="auto"/>
        <w:rPr>
          <w:rFonts w:cstheme="minorHAnsi"/>
          <w:bCs/>
        </w:rPr>
      </w:pPr>
    </w:p>
    <w:p w14:paraId="6483BC47" w14:textId="06CF82E1" w:rsidR="00956B12" w:rsidRDefault="00956B12" w:rsidP="008027BA">
      <w:pPr>
        <w:autoSpaceDE w:val="0"/>
        <w:autoSpaceDN w:val="0"/>
        <w:adjustRightInd w:val="0"/>
        <w:spacing w:after="0" w:line="240" w:lineRule="auto"/>
        <w:rPr>
          <w:rFonts w:cstheme="minorHAnsi"/>
          <w:bCs/>
        </w:rPr>
      </w:pPr>
    </w:p>
    <w:p w14:paraId="61DCA344" w14:textId="7D85FCB4" w:rsidR="00956B12" w:rsidRDefault="00956B12" w:rsidP="008027BA">
      <w:pPr>
        <w:autoSpaceDE w:val="0"/>
        <w:autoSpaceDN w:val="0"/>
        <w:adjustRightInd w:val="0"/>
        <w:spacing w:after="0" w:line="240" w:lineRule="auto"/>
        <w:rPr>
          <w:rFonts w:cstheme="minorHAnsi"/>
          <w:bCs/>
        </w:rPr>
      </w:pPr>
    </w:p>
    <w:p w14:paraId="183C92A2" w14:textId="3AF9B313" w:rsidR="00956B12" w:rsidRDefault="00956B12" w:rsidP="008027BA">
      <w:pPr>
        <w:autoSpaceDE w:val="0"/>
        <w:autoSpaceDN w:val="0"/>
        <w:adjustRightInd w:val="0"/>
        <w:spacing w:after="0" w:line="240" w:lineRule="auto"/>
        <w:rPr>
          <w:rFonts w:cstheme="minorHAnsi"/>
          <w:bCs/>
        </w:rPr>
      </w:pPr>
    </w:p>
    <w:p w14:paraId="1857C32F" w14:textId="2FBF6673" w:rsidR="00956B12" w:rsidRDefault="00956B12" w:rsidP="008027BA">
      <w:pPr>
        <w:autoSpaceDE w:val="0"/>
        <w:autoSpaceDN w:val="0"/>
        <w:adjustRightInd w:val="0"/>
        <w:spacing w:after="0" w:line="240" w:lineRule="auto"/>
        <w:rPr>
          <w:rFonts w:cstheme="minorHAnsi"/>
          <w:bCs/>
        </w:rPr>
      </w:pPr>
    </w:p>
    <w:p w14:paraId="5CCA09B1" w14:textId="6B8039BB" w:rsidR="00956B12" w:rsidRDefault="00956B12" w:rsidP="008027BA">
      <w:pPr>
        <w:autoSpaceDE w:val="0"/>
        <w:autoSpaceDN w:val="0"/>
        <w:adjustRightInd w:val="0"/>
        <w:spacing w:after="0" w:line="240" w:lineRule="auto"/>
        <w:rPr>
          <w:rFonts w:cstheme="minorHAnsi"/>
          <w:bCs/>
        </w:rPr>
      </w:pPr>
    </w:p>
    <w:p w14:paraId="3133B764" w14:textId="53B4DDEE" w:rsidR="00956B12" w:rsidRDefault="00956B12" w:rsidP="008027BA">
      <w:pPr>
        <w:autoSpaceDE w:val="0"/>
        <w:autoSpaceDN w:val="0"/>
        <w:adjustRightInd w:val="0"/>
        <w:spacing w:after="0" w:line="240" w:lineRule="auto"/>
        <w:rPr>
          <w:rFonts w:cstheme="minorHAnsi"/>
          <w:bCs/>
        </w:rPr>
      </w:pPr>
    </w:p>
    <w:p w14:paraId="5CB2D5FD" w14:textId="6E73C691" w:rsidR="00956B12" w:rsidRDefault="00956B12" w:rsidP="008027BA">
      <w:pPr>
        <w:autoSpaceDE w:val="0"/>
        <w:autoSpaceDN w:val="0"/>
        <w:adjustRightInd w:val="0"/>
        <w:spacing w:after="0" w:line="240" w:lineRule="auto"/>
        <w:rPr>
          <w:rFonts w:cstheme="minorHAnsi"/>
          <w:bCs/>
        </w:rPr>
      </w:pPr>
    </w:p>
    <w:p w14:paraId="6A95AD5F" w14:textId="77777777" w:rsidR="00956B12" w:rsidRPr="00A25024" w:rsidRDefault="00956B12" w:rsidP="008027BA">
      <w:pPr>
        <w:autoSpaceDE w:val="0"/>
        <w:autoSpaceDN w:val="0"/>
        <w:adjustRightInd w:val="0"/>
        <w:spacing w:after="0" w:line="240" w:lineRule="auto"/>
        <w:rPr>
          <w:rFonts w:cstheme="minorHAnsi"/>
          <w:bCs/>
        </w:rPr>
      </w:pPr>
    </w:p>
    <w:p w14:paraId="73AE95D0" w14:textId="77777777" w:rsidR="008027BA" w:rsidRPr="002F2AE5" w:rsidRDefault="008027BA" w:rsidP="00092566">
      <w:pPr>
        <w:autoSpaceDE w:val="0"/>
        <w:autoSpaceDN w:val="0"/>
        <w:adjustRightInd w:val="0"/>
        <w:spacing w:after="0" w:line="240" w:lineRule="auto"/>
        <w:rPr>
          <w:rFonts w:cstheme="minorHAnsi"/>
          <w:bCs/>
        </w:rPr>
      </w:pPr>
    </w:p>
    <w:p w14:paraId="0383FB38" w14:textId="3CE30EBE" w:rsidR="00A56D8C" w:rsidRPr="00CB13B7" w:rsidRDefault="003E7676"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r w:rsidRPr="00CB13B7">
        <w:rPr>
          <w:rFonts w:cstheme="minorHAnsi"/>
          <w:b/>
          <w:bCs/>
          <w:color w:val="FF0000"/>
          <w:u w:val="single"/>
        </w:rPr>
        <w:lastRenderedPageBreak/>
        <w:t>ACR</w:t>
      </w:r>
    </w:p>
    <w:p w14:paraId="195225CC" w14:textId="77777777" w:rsidR="00956B12" w:rsidRPr="00CB13B7" w:rsidRDefault="00956B12"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p>
    <w:p w14:paraId="7CFFC04D" w14:textId="6DB961F7" w:rsidR="00A3513B" w:rsidRPr="00CB13B7" w:rsidRDefault="00A3513B"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B13B7">
        <w:rPr>
          <w:rFonts w:cstheme="minorHAnsi"/>
          <w:bCs/>
          <w:color w:val="FF0000"/>
        </w:rPr>
        <w:t xml:space="preserve">The risk decile plot is a graphical depiction of the deciles calculated to measure </w:t>
      </w:r>
      <w:r w:rsidR="00933533" w:rsidRPr="00CB13B7">
        <w:rPr>
          <w:rFonts w:cstheme="minorHAnsi"/>
          <w:bCs/>
          <w:color w:val="FF0000"/>
        </w:rPr>
        <w:t>predictive</w:t>
      </w:r>
      <w:r w:rsidRPr="00CB13B7">
        <w:rPr>
          <w:rFonts w:cstheme="minorHAnsi"/>
          <w:bCs/>
          <w:color w:val="FF0000"/>
        </w:rPr>
        <w:t xml:space="preserve"> ability. Below, we present the risk decile plot showing the distributions for Medicare ACOs in 2015. The following results are for the ACR measure.</w:t>
      </w:r>
    </w:p>
    <w:p w14:paraId="529D0D34" w14:textId="2C8848FF" w:rsidR="00A56D8C" w:rsidRDefault="00A56D8C"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03651B68" w14:textId="4B1D70BD" w:rsidR="00A56D8C" w:rsidRPr="008027BA" w:rsidRDefault="00A56D8C"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2F2AE5">
        <w:rPr>
          <w:rFonts w:cstheme="minorHAnsi"/>
          <w:bCs/>
          <w:noProof/>
        </w:rPr>
        <w:drawing>
          <wp:inline distT="0" distB="0" distL="0" distR="0" wp14:anchorId="437AEF3B" wp14:editId="6F6C2572">
            <wp:extent cx="5943600" cy="6400800"/>
            <wp:effectExtent l="0" t="0" r="0" b="0"/>
            <wp:docPr id="13" name="Picture 13" descr="\\rtpnhip01\ssessasdata\0213195_ACO_Quality\HWR\NQF Reliability and Validity\Logistic\HWRRiskPlot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pnhip01\ssessasdata\0213195_ACO_Quality\HWR\NQF Reliability and Validity\Logistic\HWRRiskPlot2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6400800"/>
                    </a:xfrm>
                    <a:prstGeom prst="rect">
                      <a:avLst/>
                    </a:prstGeom>
                    <a:noFill/>
                    <a:ln>
                      <a:noFill/>
                    </a:ln>
                  </pic:spPr>
                </pic:pic>
              </a:graphicData>
            </a:graphic>
          </wp:inline>
        </w:drawing>
      </w:r>
    </w:p>
    <w:p w14:paraId="2AE9B19D" w14:textId="4BCF08C7" w:rsidR="00743E46" w:rsidRPr="002F2AE5" w:rsidRDefault="00743E46" w:rsidP="00092566">
      <w:pPr>
        <w:autoSpaceDE w:val="0"/>
        <w:autoSpaceDN w:val="0"/>
        <w:adjustRightInd w:val="0"/>
        <w:spacing w:after="0" w:line="240" w:lineRule="auto"/>
        <w:rPr>
          <w:rFonts w:cstheme="minorHAnsi"/>
          <w:b/>
        </w:rPr>
      </w:pPr>
    </w:p>
    <w:p w14:paraId="626B00F2" w14:textId="77777777" w:rsidR="00956B12" w:rsidRDefault="00956B12" w:rsidP="008027BA">
      <w:pPr>
        <w:autoSpaceDE w:val="0"/>
        <w:autoSpaceDN w:val="0"/>
        <w:adjustRightInd w:val="0"/>
        <w:spacing w:after="0" w:line="240" w:lineRule="auto"/>
        <w:rPr>
          <w:rFonts w:cstheme="minorHAnsi"/>
          <w:b/>
        </w:rPr>
      </w:pPr>
      <w:bookmarkStart w:id="12" w:name="question2b49"/>
      <w:bookmarkEnd w:id="12"/>
    </w:p>
    <w:p w14:paraId="1BAC9E23" w14:textId="77777777" w:rsidR="00956B12" w:rsidRDefault="00956B12" w:rsidP="008027BA">
      <w:pPr>
        <w:autoSpaceDE w:val="0"/>
        <w:autoSpaceDN w:val="0"/>
        <w:adjustRightInd w:val="0"/>
        <w:spacing w:after="0" w:line="240" w:lineRule="auto"/>
        <w:rPr>
          <w:rFonts w:cstheme="minorHAnsi"/>
          <w:b/>
        </w:rPr>
      </w:pPr>
    </w:p>
    <w:p w14:paraId="6C750CD8" w14:textId="77777777" w:rsidR="00956B12" w:rsidRDefault="00956B12" w:rsidP="008027BA">
      <w:pPr>
        <w:autoSpaceDE w:val="0"/>
        <w:autoSpaceDN w:val="0"/>
        <w:adjustRightInd w:val="0"/>
        <w:spacing w:after="0" w:line="240" w:lineRule="auto"/>
        <w:rPr>
          <w:rFonts w:cstheme="minorHAnsi"/>
          <w:b/>
        </w:rPr>
      </w:pPr>
    </w:p>
    <w:p w14:paraId="2AE9B19F" w14:textId="16F913B0" w:rsidR="00092566" w:rsidRDefault="00743E46" w:rsidP="008027BA">
      <w:pPr>
        <w:autoSpaceDE w:val="0"/>
        <w:autoSpaceDN w:val="0"/>
        <w:adjustRightInd w:val="0"/>
        <w:spacing w:after="0" w:line="240" w:lineRule="auto"/>
        <w:rPr>
          <w:rFonts w:cstheme="minorHAnsi"/>
          <w:bCs/>
        </w:rPr>
      </w:pPr>
      <w:r w:rsidRPr="002F2AE5">
        <w:rPr>
          <w:rFonts w:cstheme="minorHAnsi"/>
          <w:b/>
        </w:rPr>
        <w:lastRenderedPageBreak/>
        <w:t>2b4.9</w:t>
      </w:r>
      <w:r w:rsidR="00001D73" w:rsidRPr="002F2AE5">
        <w:rPr>
          <w:rFonts w:cstheme="minorHAnsi"/>
          <w:b/>
        </w:rPr>
        <w:t xml:space="preserve">. Results of </w:t>
      </w:r>
      <w:r w:rsidR="00092566" w:rsidRPr="002F2AE5">
        <w:rPr>
          <w:rFonts w:cstheme="minorHAnsi"/>
          <w:b/>
        </w:rPr>
        <w:t>Risk Stratification Analysis</w:t>
      </w:r>
      <w:r w:rsidR="00092566" w:rsidRPr="002F2AE5">
        <w:rPr>
          <w:rFonts w:cstheme="minorHAnsi"/>
        </w:rPr>
        <w:t xml:space="preserve">: </w:t>
      </w:r>
      <w:r w:rsidR="00092566" w:rsidRPr="002F2AE5">
        <w:rPr>
          <w:rFonts w:cstheme="minorHAnsi"/>
          <w:bCs/>
        </w:rPr>
        <w:t xml:space="preserve"> </w:t>
      </w:r>
    </w:p>
    <w:p w14:paraId="6B0617CA" w14:textId="77777777" w:rsidR="008027BA" w:rsidRPr="008027BA" w:rsidRDefault="008027BA" w:rsidP="008027BA">
      <w:pPr>
        <w:autoSpaceDE w:val="0"/>
        <w:autoSpaceDN w:val="0"/>
        <w:adjustRightInd w:val="0"/>
        <w:spacing w:after="0" w:line="240" w:lineRule="auto"/>
        <w:rPr>
          <w:rFonts w:cstheme="minorHAnsi"/>
          <w:bCs/>
        </w:rPr>
      </w:pPr>
    </w:p>
    <w:p w14:paraId="257563D3" w14:textId="0843553D"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rFonts w:cstheme="minorHAnsi"/>
          <w:bCs/>
        </w:rPr>
        <w:t>N/A</w:t>
      </w:r>
    </w:p>
    <w:p w14:paraId="682C71FC" w14:textId="77777777" w:rsidR="008027BA" w:rsidRDefault="008027BA" w:rsidP="00092566">
      <w:pPr>
        <w:autoSpaceDE w:val="0"/>
        <w:autoSpaceDN w:val="0"/>
        <w:adjustRightInd w:val="0"/>
        <w:spacing w:after="0" w:line="240" w:lineRule="auto"/>
        <w:rPr>
          <w:rFonts w:cstheme="minorHAnsi"/>
          <w:b/>
          <w:bCs/>
        </w:rPr>
      </w:pPr>
    </w:p>
    <w:p w14:paraId="167C2E30" w14:textId="6090A91C" w:rsidR="000D2C66" w:rsidRDefault="00743E46" w:rsidP="00092566">
      <w:pPr>
        <w:autoSpaceDE w:val="0"/>
        <w:autoSpaceDN w:val="0"/>
        <w:adjustRightInd w:val="0"/>
        <w:spacing w:after="0" w:line="240" w:lineRule="auto"/>
        <w:rPr>
          <w:rFonts w:cstheme="minorHAnsi"/>
          <w:b/>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41DD4513" w14:textId="7BF043DA" w:rsidR="00A56D8C" w:rsidRDefault="003E7676"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r>
        <w:rPr>
          <w:rFonts w:cstheme="minorHAnsi"/>
          <w:b/>
          <w:bCs/>
          <w:u w:val="single"/>
        </w:rPr>
        <w:t>HWR</w:t>
      </w:r>
    </w:p>
    <w:p w14:paraId="08430AD7" w14:textId="77777777" w:rsidR="00956B12" w:rsidRPr="003C4C06" w:rsidRDefault="00956B12"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p>
    <w:p w14:paraId="7EE9C7AF" w14:textId="23C7C500" w:rsidR="008027BA" w:rsidRPr="003C4C06"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3C4C06">
        <w:rPr>
          <w:rFonts w:cstheme="minorHAnsi"/>
          <w:bCs/>
          <w:i/>
        </w:rPr>
        <w:t>Discrimination Statistics</w:t>
      </w:r>
    </w:p>
    <w:p w14:paraId="699E7C02"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4D436C">
        <w:rPr>
          <w:rFonts w:cstheme="minorHAnsi"/>
          <w:bCs/>
        </w:rPr>
        <w:t xml:space="preserve">The </w:t>
      </w:r>
      <w:r>
        <w:rPr>
          <w:rFonts w:cstheme="minorHAnsi"/>
          <w:bCs/>
        </w:rPr>
        <w:t xml:space="preserve">C-statistics </w:t>
      </w:r>
      <w:r w:rsidRPr="006561F7">
        <w:rPr>
          <w:rFonts w:cstheme="minorHAnsi"/>
          <w:bCs/>
        </w:rPr>
        <w:t>indicate fair</w:t>
      </w:r>
      <w:r w:rsidRPr="00DE0767">
        <w:rPr>
          <w:rFonts w:cstheme="minorHAnsi"/>
          <w:bCs/>
        </w:rPr>
        <w:t xml:space="preserve"> </w:t>
      </w:r>
      <w:r w:rsidRPr="004D436C">
        <w:rPr>
          <w:rFonts w:cstheme="minorHAnsi"/>
          <w:bCs/>
        </w:rPr>
        <w:t>discrimination</w:t>
      </w:r>
      <w:r>
        <w:rPr>
          <w:rFonts w:cstheme="minorHAnsi"/>
          <w:bCs/>
        </w:rPr>
        <w:t xml:space="preserve"> for each of the models in </w:t>
      </w:r>
      <w:r w:rsidRPr="00DE0767">
        <w:rPr>
          <w:rFonts w:cstheme="minorHAnsi"/>
          <w:b/>
          <w:bCs/>
        </w:rPr>
        <w:t>Dataset</w:t>
      </w:r>
      <w:r>
        <w:rPr>
          <w:rFonts w:cstheme="minorHAnsi"/>
          <w:b/>
          <w:bCs/>
        </w:rPr>
        <w:t>s</w:t>
      </w:r>
      <w:r w:rsidRPr="00DE0767">
        <w:rPr>
          <w:rFonts w:cstheme="minorHAnsi"/>
          <w:b/>
          <w:bCs/>
        </w:rPr>
        <w:t xml:space="preserve"> 1</w:t>
      </w:r>
      <w:r>
        <w:rPr>
          <w:rFonts w:cstheme="minorHAnsi"/>
          <w:b/>
          <w:bCs/>
        </w:rPr>
        <w:t xml:space="preserve"> and 2</w:t>
      </w:r>
      <w:r>
        <w:rPr>
          <w:rFonts w:cstheme="minorHAnsi"/>
          <w:bCs/>
        </w:rPr>
        <w:t xml:space="preserve">. Each of the </w:t>
      </w:r>
      <w:r w:rsidRPr="005A6A0E">
        <w:rPr>
          <w:rFonts w:cstheme="minorHAnsi"/>
          <w:bCs/>
        </w:rPr>
        <w:t>model</w:t>
      </w:r>
      <w:r>
        <w:rPr>
          <w:rFonts w:cstheme="minorHAnsi"/>
          <w:bCs/>
        </w:rPr>
        <w:t>s</w:t>
      </w:r>
      <w:r w:rsidRPr="005A6A0E">
        <w:rPr>
          <w:rFonts w:cstheme="minorHAnsi"/>
          <w:bCs/>
        </w:rPr>
        <w:t xml:space="preserve"> indicated a wide range between the lowest decile and highest decile, indicating the ability to distinguish high-risk subjects from low-risk subjects.</w:t>
      </w:r>
    </w:p>
    <w:p w14:paraId="00084740" w14:textId="77777777"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8A212A7" w14:textId="77777777" w:rsidR="008027BA" w:rsidRPr="003C4C06" w:rsidRDefault="008027BA" w:rsidP="008027BA">
      <w:pPr>
        <w:pBdr>
          <w:top w:val="single" w:sz="4" w:space="1" w:color="auto"/>
          <w:left w:val="single" w:sz="4" w:space="4" w:color="auto"/>
          <w:bottom w:val="single" w:sz="4" w:space="1" w:color="auto"/>
          <w:right w:val="single" w:sz="4" w:space="4" w:color="auto"/>
        </w:pBdr>
        <w:spacing w:after="0" w:line="240" w:lineRule="auto"/>
        <w:rPr>
          <w:i/>
        </w:rPr>
      </w:pPr>
      <w:r w:rsidRPr="003C4C06">
        <w:rPr>
          <w:i/>
        </w:rPr>
        <w:t>Calibration Statistics</w:t>
      </w:r>
    </w:p>
    <w:p w14:paraId="5CB2778B" w14:textId="77777777" w:rsidR="008027BA" w:rsidRPr="0004218D" w:rsidRDefault="008027BA" w:rsidP="008027BA">
      <w:pPr>
        <w:pBdr>
          <w:top w:val="single" w:sz="4" w:space="1" w:color="auto"/>
          <w:left w:val="single" w:sz="4" w:space="4" w:color="auto"/>
          <w:bottom w:val="single" w:sz="4" w:space="1" w:color="auto"/>
          <w:right w:val="single" w:sz="4" w:space="4" w:color="auto"/>
        </w:pBdr>
        <w:spacing w:after="0" w:line="240" w:lineRule="auto"/>
        <w:rPr>
          <w:i/>
        </w:rPr>
      </w:pPr>
      <w:r w:rsidRPr="0004218D">
        <w:rPr>
          <w:bCs/>
          <w:i/>
        </w:rPr>
        <w:t xml:space="preserve">Over-fitting (Calibration γ0, γ1) </w:t>
      </w:r>
    </w:p>
    <w:p w14:paraId="45A10608" w14:textId="77777777" w:rsidR="008027BA" w:rsidRPr="0004218D" w:rsidRDefault="008027BA" w:rsidP="008027BA">
      <w:pPr>
        <w:pBdr>
          <w:top w:val="single" w:sz="4" w:space="1" w:color="auto"/>
          <w:left w:val="single" w:sz="4" w:space="4" w:color="auto"/>
          <w:bottom w:val="single" w:sz="4" w:space="1" w:color="auto"/>
          <w:right w:val="single" w:sz="4" w:space="4" w:color="auto"/>
        </w:pBdr>
        <w:spacing w:after="0" w:line="240" w:lineRule="auto"/>
        <w:rPr>
          <w:bCs/>
        </w:rPr>
      </w:pPr>
      <w:r w:rsidRPr="0004218D">
        <w:t xml:space="preserve">If the γ0 in the validation samples are substantially far from zero and the γ1 is substantially far from one, there is potential evidence of over-fitting. </w:t>
      </w:r>
      <w:r w:rsidRPr="0004218D">
        <w:rPr>
          <w:bCs/>
        </w:rPr>
        <w:t>The calibration value</w:t>
      </w:r>
      <w:r>
        <w:rPr>
          <w:bCs/>
        </w:rPr>
        <w:t>s</w:t>
      </w:r>
      <w:r w:rsidRPr="0004218D">
        <w:rPr>
          <w:bCs/>
        </w:rPr>
        <w:t xml:space="preserve"> close to 0 at one end and close to 1 to the other end indicate good calibration of</w:t>
      </w:r>
      <w:r>
        <w:rPr>
          <w:bCs/>
        </w:rPr>
        <w:t xml:space="preserve"> each of</w:t>
      </w:r>
      <w:r w:rsidRPr="0004218D">
        <w:rPr>
          <w:bCs/>
        </w:rPr>
        <w:t xml:space="preserve"> the model</w:t>
      </w:r>
      <w:r>
        <w:rPr>
          <w:bCs/>
        </w:rPr>
        <w:t>s</w:t>
      </w:r>
      <w:r w:rsidRPr="0004218D">
        <w:rPr>
          <w:bCs/>
        </w:rPr>
        <w:t xml:space="preserve">. </w:t>
      </w:r>
    </w:p>
    <w:p w14:paraId="4D714862" w14:textId="77777777" w:rsidR="008027BA" w:rsidRDefault="008027BA" w:rsidP="008027BA">
      <w:pPr>
        <w:pBdr>
          <w:top w:val="single" w:sz="4" w:space="1" w:color="auto"/>
          <w:left w:val="single" w:sz="4" w:space="4" w:color="auto"/>
          <w:bottom w:val="single" w:sz="4" w:space="1" w:color="auto"/>
          <w:right w:val="single" w:sz="4" w:space="4" w:color="auto"/>
        </w:pBdr>
        <w:spacing w:after="0" w:line="240" w:lineRule="auto"/>
        <w:rPr>
          <w:b/>
          <w:bCs/>
          <w:i/>
        </w:rPr>
      </w:pPr>
    </w:p>
    <w:p w14:paraId="0DF2AB86" w14:textId="77777777" w:rsidR="008027BA" w:rsidRPr="003C4C06"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sidRPr="003C4C06">
        <w:rPr>
          <w:rFonts w:cstheme="minorHAnsi"/>
          <w:bCs/>
          <w:i/>
        </w:rPr>
        <w:t>Risk Decile Plots</w:t>
      </w:r>
    </w:p>
    <w:p w14:paraId="31AAF7F1" w14:textId="77777777" w:rsidR="008027BA" w:rsidRDefault="008027BA" w:rsidP="008027BA">
      <w:pPr>
        <w:pBdr>
          <w:top w:val="single" w:sz="4" w:space="1" w:color="auto"/>
          <w:left w:val="single" w:sz="4" w:space="4" w:color="auto"/>
          <w:bottom w:val="single" w:sz="4" w:space="1" w:color="auto"/>
          <w:right w:val="single" w:sz="4" w:space="4" w:color="auto"/>
        </w:pBdr>
        <w:spacing w:after="0" w:line="240" w:lineRule="auto"/>
        <w:rPr>
          <w:bCs/>
        </w:rPr>
      </w:pPr>
      <w:r w:rsidRPr="0017650F">
        <w:rPr>
          <w:bCs/>
        </w:rPr>
        <w:t xml:space="preserve">Higher deciles of the predicted outcomes are associated with higher observed outcomes, which show a good calibration of the model. This plot indicates </w:t>
      </w:r>
      <w:r>
        <w:rPr>
          <w:bCs/>
        </w:rPr>
        <w:t>good</w:t>
      </w:r>
      <w:r w:rsidRPr="0017650F">
        <w:rPr>
          <w:bCs/>
        </w:rPr>
        <w:t xml:space="preserve"> discrimination of the model and good predictive ability.</w:t>
      </w:r>
    </w:p>
    <w:p w14:paraId="06F69E3D" w14:textId="77777777" w:rsidR="008027BA" w:rsidRPr="0017650F" w:rsidRDefault="008027BA" w:rsidP="008027BA">
      <w:pPr>
        <w:pBdr>
          <w:top w:val="single" w:sz="4" w:space="1" w:color="auto"/>
          <w:left w:val="single" w:sz="4" w:space="4" w:color="auto"/>
          <w:bottom w:val="single" w:sz="4" w:space="1" w:color="auto"/>
          <w:right w:val="single" w:sz="4" w:space="4" w:color="auto"/>
        </w:pBdr>
        <w:spacing w:after="0" w:line="240" w:lineRule="auto"/>
        <w:rPr>
          <w:bCs/>
        </w:rPr>
      </w:pPr>
    </w:p>
    <w:p w14:paraId="3E213ACA" w14:textId="77777777" w:rsidR="008027BA" w:rsidRPr="00A56D8C" w:rsidRDefault="008027BA" w:rsidP="008027BA">
      <w:pPr>
        <w:pBdr>
          <w:top w:val="single" w:sz="4" w:space="1" w:color="auto"/>
          <w:left w:val="single" w:sz="4" w:space="4" w:color="auto"/>
          <w:bottom w:val="single" w:sz="4" w:space="1" w:color="auto"/>
          <w:right w:val="single" w:sz="4" w:space="4" w:color="auto"/>
        </w:pBdr>
        <w:spacing w:after="0" w:line="240" w:lineRule="auto"/>
        <w:rPr>
          <w:i/>
        </w:rPr>
      </w:pPr>
      <w:r w:rsidRPr="003C4C06">
        <w:rPr>
          <w:bCs/>
          <w:i/>
        </w:rPr>
        <w:t xml:space="preserve">Overall Interpretation </w:t>
      </w:r>
    </w:p>
    <w:p w14:paraId="1BD92CCE" w14:textId="77777777" w:rsidR="008027BA" w:rsidRPr="0017650F" w:rsidRDefault="008027BA" w:rsidP="008027BA">
      <w:pPr>
        <w:pBdr>
          <w:top w:val="single" w:sz="4" w:space="1" w:color="auto"/>
          <w:left w:val="single" w:sz="4" w:space="4" w:color="auto"/>
          <w:bottom w:val="single" w:sz="4" w:space="1" w:color="auto"/>
          <w:right w:val="single" w:sz="4" w:space="4" w:color="auto"/>
        </w:pBdr>
        <w:spacing w:after="0" w:line="240" w:lineRule="auto"/>
      </w:pPr>
      <w:r w:rsidRPr="0004218D">
        <w:t>Interpreted together, our diagnostic results demonstrate</w:t>
      </w:r>
      <w:r>
        <w:t xml:space="preserve"> that</w:t>
      </w:r>
      <w:r w:rsidRPr="0004218D">
        <w:t xml:space="preserve"> the risk-adjustment model adequately controls for differences in patient characteristics (case mix).</w:t>
      </w:r>
    </w:p>
    <w:p w14:paraId="0CB1875A" w14:textId="084947E9" w:rsidR="008027BA" w:rsidRDefault="008027BA"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i/>
          <w:highlight w:val="lightGray"/>
        </w:rPr>
      </w:pPr>
    </w:p>
    <w:p w14:paraId="7E585B41" w14:textId="4B67FD9A" w:rsidR="00A56D8C" w:rsidRPr="00CB13B7" w:rsidRDefault="00397837"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r w:rsidRPr="00CB13B7">
        <w:rPr>
          <w:rFonts w:cstheme="minorHAnsi"/>
          <w:b/>
          <w:bCs/>
          <w:color w:val="FF0000"/>
          <w:u w:val="single"/>
        </w:rPr>
        <w:t>ACR</w:t>
      </w:r>
    </w:p>
    <w:p w14:paraId="7620D423" w14:textId="77777777" w:rsidR="00956B12" w:rsidRPr="00CB13B7" w:rsidRDefault="00956B12"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p>
    <w:p w14:paraId="30A7C6F0" w14:textId="5EA8CC46" w:rsidR="000D2C66" w:rsidRPr="00CB13B7" w:rsidRDefault="000D2C66"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color w:val="FF0000"/>
        </w:rPr>
      </w:pPr>
      <w:r w:rsidRPr="00CB13B7">
        <w:rPr>
          <w:rFonts w:cstheme="minorHAnsi"/>
          <w:bCs/>
          <w:i/>
          <w:color w:val="FF0000"/>
        </w:rPr>
        <w:t>Discrimination Statistics</w:t>
      </w:r>
    </w:p>
    <w:p w14:paraId="2F87AEEB" w14:textId="53CB491D" w:rsidR="000D2C66" w:rsidRPr="00CB13B7" w:rsidRDefault="000D2C66"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B13B7">
        <w:rPr>
          <w:rFonts w:cstheme="minorHAnsi"/>
          <w:bCs/>
          <w:color w:val="FF0000"/>
        </w:rPr>
        <w:t xml:space="preserve">The C-statistics indicate fair discrimination for each of the models in </w:t>
      </w:r>
      <w:r w:rsidR="00914B13" w:rsidRPr="00CB13B7">
        <w:rPr>
          <w:rFonts w:cstheme="minorHAnsi"/>
          <w:b/>
          <w:bCs/>
          <w:color w:val="FF0000"/>
        </w:rPr>
        <w:t xml:space="preserve">Development </w:t>
      </w:r>
      <w:r w:rsidRPr="00CB13B7">
        <w:rPr>
          <w:rFonts w:cstheme="minorHAnsi"/>
          <w:b/>
          <w:bCs/>
          <w:color w:val="FF0000"/>
        </w:rPr>
        <w:t xml:space="preserve">Sample and </w:t>
      </w:r>
      <w:r w:rsidR="00914B13" w:rsidRPr="00CB13B7">
        <w:rPr>
          <w:rFonts w:cstheme="minorHAnsi"/>
          <w:b/>
          <w:bCs/>
          <w:color w:val="FF0000"/>
        </w:rPr>
        <w:t xml:space="preserve">Validation </w:t>
      </w:r>
      <w:r w:rsidRPr="00CB13B7">
        <w:rPr>
          <w:rFonts w:cstheme="minorHAnsi"/>
          <w:b/>
          <w:bCs/>
          <w:color w:val="FF0000"/>
        </w:rPr>
        <w:t>Sample</w:t>
      </w:r>
      <w:r w:rsidRPr="00CB13B7">
        <w:rPr>
          <w:rFonts w:cstheme="minorHAnsi"/>
          <w:bCs/>
          <w:color w:val="FF0000"/>
        </w:rPr>
        <w:t>. Each of the models indicated a wide range between the lowest decile and highest decile, indicating the ability to distinguish high-risk subjects from low-risk subjects.</w:t>
      </w:r>
    </w:p>
    <w:p w14:paraId="034E3D06" w14:textId="77777777" w:rsidR="000D2C66" w:rsidRPr="00CB13B7" w:rsidRDefault="000D2C66"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6B87C5E0" w14:textId="77777777"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i/>
          <w:color w:val="FF0000"/>
        </w:rPr>
      </w:pPr>
      <w:r w:rsidRPr="00CB13B7">
        <w:rPr>
          <w:i/>
          <w:color w:val="FF0000"/>
        </w:rPr>
        <w:t>Calibration Statistics</w:t>
      </w:r>
    </w:p>
    <w:p w14:paraId="074E4B16" w14:textId="0806EDEE"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bCs/>
          <w:color w:val="FF0000"/>
        </w:rPr>
      </w:pPr>
      <w:r w:rsidRPr="00CB13B7">
        <w:rPr>
          <w:bCs/>
          <w:color w:val="FF0000"/>
        </w:rPr>
        <w:t xml:space="preserve">The calibration values close to 0 at one end and close to 1 to the other end indicate good calibration of each of the models. </w:t>
      </w:r>
    </w:p>
    <w:p w14:paraId="61A339E5" w14:textId="77777777"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b/>
          <w:bCs/>
          <w:i/>
          <w:color w:val="FF0000"/>
        </w:rPr>
      </w:pPr>
    </w:p>
    <w:p w14:paraId="4DF0FB27" w14:textId="77777777" w:rsidR="000D2C66" w:rsidRPr="00CB13B7" w:rsidRDefault="000D2C66"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color w:val="FF0000"/>
        </w:rPr>
      </w:pPr>
      <w:r w:rsidRPr="00CB13B7">
        <w:rPr>
          <w:rFonts w:cstheme="minorHAnsi"/>
          <w:bCs/>
          <w:i/>
          <w:color w:val="FF0000"/>
        </w:rPr>
        <w:t>Risk Decile Plots</w:t>
      </w:r>
    </w:p>
    <w:p w14:paraId="30DFF5C3" w14:textId="77777777"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bCs/>
          <w:color w:val="FF0000"/>
        </w:rPr>
      </w:pPr>
      <w:r w:rsidRPr="00CB13B7">
        <w:rPr>
          <w:bCs/>
          <w:color w:val="FF0000"/>
        </w:rPr>
        <w:t>Higher deciles of the predicted outcomes are associated with higher observed outcomes, which show a good calibration of the model. This plot indicates good discrimination of the model and good predictive ability.</w:t>
      </w:r>
    </w:p>
    <w:p w14:paraId="1AE41794" w14:textId="77777777"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bCs/>
          <w:color w:val="FF0000"/>
        </w:rPr>
      </w:pPr>
    </w:p>
    <w:p w14:paraId="3B694529" w14:textId="77777777"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i/>
          <w:color w:val="FF0000"/>
        </w:rPr>
      </w:pPr>
      <w:r w:rsidRPr="00CB13B7">
        <w:rPr>
          <w:bCs/>
          <w:i/>
          <w:color w:val="FF0000"/>
        </w:rPr>
        <w:t xml:space="preserve">Overall Interpretation </w:t>
      </w:r>
    </w:p>
    <w:p w14:paraId="508EF8CE" w14:textId="43E7D2D4" w:rsidR="000D2C66" w:rsidRPr="00CB13B7" w:rsidRDefault="000D2C66" w:rsidP="000D2C66">
      <w:pPr>
        <w:pBdr>
          <w:top w:val="single" w:sz="4" w:space="1" w:color="auto"/>
          <w:left w:val="single" w:sz="4" w:space="4" w:color="auto"/>
          <w:bottom w:val="single" w:sz="4" w:space="1" w:color="auto"/>
          <w:right w:val="single" w:sz="4" w:space="4" w:color="auto"/>
        </w:pBdr>
        <w:spacing w:after="0" w:line="240" w:lineRule="auto"/>
        <w:rPr>
          <w:color w:val="FF0000"/>
        </w:rPr>
      </w:pPr>
      <w:r w:rsidRPr="00CB13B7">
        <w:rPr>
          <w:color w:val="FF0000"/>
        </w:rPr>
        <w:lastRenderedPageBreak/>
        <w:t>Interpreted together, above diagnostic results demonstrate that the risk-adjustment model adequately controls for differences in patient characteristics (case mix).</w:t>
      </w:r>
    </w:p>
    <w:p w14:paraId="2A7DBAFB" w14:textId="77777777" w:rsidR="000D2C66" w:rsidRPr="008027BA" w:rsidRDefault="000D2C66" w:rsidP="000D2C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i/>
          <w:color w:val="FF0000"/>
        </w:rPr>
      </w:pPr>
    </w:p>
    <w:p w14:paraId="2AE9B1A1" w14:textId="77777777" w:rsidR="00092566" w:rsidRPr="00A25024" w:rsidRDefault="00092566" w:rsidP="00092566">
      <w:pPr>
        <w:spacing w:after="0" w:line="240" w:lineRule="auto"/>
        <w:rPr>
          <w:rFonts w:cstheme="minorHAnsi"/>
        </w:rPr>
      </w:pPr>
    </w:p>
    <w:p w14:paraId="2AE9B1A2" w14:textId="77777777" w:rsidR="00021170" w:rsidRPr="009B1A15" w:rsidRDefault="009B1A15" w:rsidP="009B1A15">
      <w:pPr>
        <w:spacing w:after="0" w:line="240" w:lineRule="auto"/>
        <w:rPr>
          <w:rFonts w:cstheme="minorHAnsi"/>
        </w:rPr>
      </w:pPr>
      <w:r w:rsidRPr="0087052B">
        <w:rPr>
          <w:rFonts w:cstheme="minorHAnsi"/>
          <w:b/>
        </w:rPr>
        <w:t>2b4.11.</w:t>
      </w:r>
      <w:r w:rsidRPr="0087052B">
        <w:rPr>
          <w:rFonts w:cstheme="minorHAnsi"/>
        </w:rPr>
        <w:t xml:space="preserve"> </w:t>
      </w:r>
      <w:r w:rsidR="00092566" w:rsidRPr="0087052B">
        <w:rPr>
          <w:rFonts w:cstheme="minorHAnsi"/>
          <w:b/>
        </w:rPr>
        <w:t>Optional</w:t>
      </w:r>
      <w:r w:rsidRPr="0087052B">
        <w:rPr>
          <w:rFonts w:cstheme="minorHAnsi"/>
          <w:b/>
        </w:rPr>
        <w:t xml:space="preserve"> Additional Testing</w:t>
      </w:r>
      <w:r w:rsidR="004756E1" w:rsidRPr="0087052B">
        <w:rPr>
          <w:rFonts w:cstheme="minorHAnsi"/>
          <w:b/>
        </w:rPr>
        <w:t xml:space="preserve"> for Risk Adjustment</w:t>
      </w:r>
      <w:r w:rsidR="00092566" w:rsidRPr="0087052B">
        <w:rPr>
          <w:rFonts w:cstheme="minorHAnsi"/>
          <w:b/>
        </w:rPr>
        <w:t xml:space="preserve"> </w:t>
      </w:r>
      <w:r w:rsidR="00092566" w:rsidRPr="0087052B">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2AE9B1A3" w14:textId="3499133B" w:rsidR="003755CB" w:rsidRDefault="003755CB" w:rsidP="00D61410">
      <w:pPr>
        <w:autoSpaceDE w:val="0"/>
        <w:autoSpaceDN w:val="0"/>
        <w:adjustRightInd w:val="0"/>
        <w:spacing w:after="0" w:line="240" w:lineRule="auto"/>
        <w:rPr>
          <w:rFonts w:cstheme="minorHAnsi"/>
          <w:b/>
          <w:bCs/>
        </w:rPr>
      </w:pPr>
    </w:p>
    <w:p w14:paraId="6C30ACAC" w14:textId="77777777" w:rsidR="008027BA" w:rsidRPr="008D2BD7"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Pr>
          <w:rFonts w:cstheme="minorHAnsi"/>
          <w:bCs/>
        </w:rPr>
        <w:t>N/A</w:t>
      </w:r>
    </w:p>
    <w:p w14:paraId="2AE9B1A4"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AE9B1A5"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3D3FAD2F" w14:textId="77777777" w:rsidR="00A400E3" w:rsidRDefault="00D61410" w:rsidP="00A400E3">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45B87FC8" w14:textId="77777777" w:rsidR="00A400E3" w:rsidRDefault="00A400E3" w:rsidP="00A400E3">
      <w:pPr>
        <w:autoSpaceDE w:val="0"/>
        <w:autoSpaceDN w:val="0"/>
        <w:adjustRightInd w:val="0"/>
        <w:spacing w:after="0" w:line="240" w:lineRule="auto"/>
        <w:rPr>
          <w:rFonts w:cstheme="minorHAnsi"/>
          <w:bCs/>
          <w:i/>
        </w:rPr>
      </w:pPr>
    </w:p>
    <w:p w14:paraId="701F74FC" w14:textId="6F78DD13" w:rsidR="00A56D8C" w:rsidRDefault="00DF72DF"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r>
        <w:rPr>
          <w:rFonts w:cstheme="minorHAnsi"/>
          <w:b/>
          <w:bCs/>
          <w:u w:val="single"/>
        </w:rPr>
        <w:t>HWR</w:t>
      </w:r>
    </w:p>
    <w:p w14:paraId="4E0A0171" w14:textId="77777777" w:rsidR="00956B12" w:rsidRPr="001E63F4" w:rsidRDefault="00956B12"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p>
    <w:p w14:paraId="2116F626" w14:textId="1693D910" w:rsidR="008027BA" w:rsidRPr="008D2BD7"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3509AD">
        <w:rPr>
          <w:rFonts w:cstheme="minorHAnsi"/>
          <w:bCs/>
        </w:rPr>
        <w:t xml:space="preserve">For public reporting of the measure, CMS characterizes the uncertainty associated with the RSRR by estimating the 95% interval estimate. This is similar to a 95% confidence interval but is calculated differently. If the RSRR’s interval estimate does not include the national observed readmission rate (is lower or higher than the rate), then CMS is confident that the hospital’s RSRR is different from the national rate, and describes the hospital on the Hospital Compare website as “better than the U.S. national rate” or “worse than the U.S. national rate.” If the interval includes the national rate, then CMS describes the hospital’s RSRR as “no different than the U.S. national rate” or “the difference is uncertain.” CMS does not classify performance for hospitals that have fewer than 25 cases in the </w:t>
      </w:r>
      <w:r>
        <w:rPr>
          <w:rFonts w:cstheme="minorHAnsi"/>
          <w:bCs/>
        </w:rPr>
        <w:t>one</w:t>
      </w:r>
      <w:r w:rsidRPr="003509AD">
        <w:rPr>
          <w:rFonts w:cstheme="minorHAnsi"/>
          <w:bCs/>
        </w:rPr>
        <w:t>-year period.</w:t>
      </w:r>
    </w:p>
    <w:p w14:paraId="36301AB5" w14:textId="3A861425" w:rsidR="008027BA" w:rsidRDefault="008027BA"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44BFA22A" w14:textId="0AC623D5" w:rsidR="00A56D8C" w:rsidRPr="00CC6F0E" w:rsidRDefault="00621CFD"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r w:rsidRPr="00CC6F0E">
        <w:rPr>
          <w:rFonts w:cstheme="minorHAnsi"/>
          <w:b/>
          <w:bCs/>
          <w:color w:val="FF0000"/>
          <w:u w:val="single"/>
        </w:rPr>
        <w:t>ACR</w:t>
      </w:r>
    </w:p>
    <w:p w14:paraId="3F24487E" w14:textId="77777777" w:rsidR="00956B12" w:rsidRPr="00CC6F0E" w:rsidRDefault="00956B12"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color w:val="FF0000"/>
          <w:u w:val="single"/>
        </w:rPr>
      </w:pPr>
    </w:p>
    <w:p w14:paraId="5C9A4112" w14:textId="4F866DBC" w:rsidR="00D268C0"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In order to be eligible to share in any savings generated, an ACO must meet the established quality performance standard that corresponds to its performance year. In the first performance year of their first agreement period, ACO</w:t>
      </w:r>
      <w:r w:rsidR="00F0113F">
        <w:rPr>
          <w:rFonts w:cstheme="minorHAnsi"/>
          <w:bCs/>
          <w:color w:val="FF0000"/>
        </w:rPr>
        <w:t>’</w:t>
      </w:r>
      <w:r w:rsidRPr="00CC6F0E">
        <w:rPr>
          <w:rFonts w:cstheme="minorHAnsi"/>
          <w:bCs/>
          <w:color w:val="FF0000"/>
        </w:rPr>
        <w:t xml:space="preserve">s satisfy the quality performance standard when they completely and accurately report on all quality measures (pay for reporting). </w:t>
      </w:r>
      <w:r w:rsidR="00D268C0" w:rsidRPr="00CC6F0E">
        <w:rPr>
          <w:rFonts w:cstheme="minorHAnsi"/>
          <w:bCs/>
          <w:color w:val="FF0000"/>
        </w:rPr>
        <w:t xml:space="preserve">The ACR measure is phased in to pay for performance in an ACO’s third performance year (i.e. the ACR is pay for reporting for the first two performance years). </w:t>
      </w:r>
    </w:p>
    <w:p w14:paraId="78C3F251" w14:textId="38E9E407" w:rsidR="00A400E3" w:rsidRPr="00CC6F0E" w:rsidRDefault="004C0AFB"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color w:val="FF0000"/>
        </w:rPr>
      </w:pPr>
      <w:r w:rsidRPr="00CC6F0E">
        <w:rPr>
          <w:rFonts w:cstheme="minorHAnsi"/>
          <w:bCs/>
          <w:color w:val="FF0000"/>
        </w:rPr>
        <w:br/>
      </w:r>
      <w:r w:rsidR="00A400E3" w:rsidRPr="00CC6F0E">
        <w:rPr>
          <w:color w:val="FF0000"/>
        </w:rPr>
        <w:t>For measures that are pay</w:t>
      </w:r>
      <w:r w:rsidR="00F0113F">
        <w:rPr>
          <w:color w:val="FF0000"/>
        </w:rPr>
        <w:t>-</w:t>
      </w:r>
      <w:r w:rsidR="00A400E3" w:rsidRPr="00CC6F0E">
        <w:rPr>
          <w:color w:val="FF0000"/>
        </w:rPr>
        <w:t>for</w:t>
      </w:r>
      <w:r w:rsidR="00F0113F">
        <w:rPr>
          <w:color w:val="FF0000"/>
        </w:rPr>
        <w:t>-</w:t>
      </w:r>
      <w:r w:rsidR="00A400E3" w:rsidRPr="00CC6F0E">
        <w:rPr>
          <w:color w:val="FF0000"/>
        </w:rPr>
        <w:t xml:space="preserve">performance, quality scoring will be based on the ACO’s level of performance on each measure compared to a benchmark. </w:t>
      </w:r>
      <w:r w:rsidR="00A400E3" w:rsidRPr="00CC6F0E">
        <w:rPr>
          <w:rFonts w:cstheme="minorHAnsi"/>
          <w:bCs/>
          <w:color w:val="FF0000"/>
        </w:rPr>
        <w:t xml:space="preserve">Centers for Medicare &amp; Medicaid Services (CMS) establishes quality performance benchmarks prior to the reporting period for which they apply and are set for 2 years. </w:t>
      </w:r>
      <w:r w:rsidR="00A400E3" w:rsidRPr="00CC6F0E">
        <w:rPr>
          <w:color w:val="FF0000"/>
        </w:rPr>
        <w:t>CMS established 2016/2017 benchmarks using all available and applicable 2012, 2013 and 2014 Medicare fee-for-service (FFS) data.</w:t>
      </w:r>
      <w:r w:rsidR="00D268C0" w:rsidRPr="00CC6F0E">
        <w:rPr>
          <w:color w:val="FF0000"/>
        </w:rPr>
        <w:t xml:space="preserve"> All of the quality measure benchmarks were calculated using ACO, group practice and individual physician data aggregated to the TIN level and included if there were at least 20 cases. Quality data for ACO</w:t>
      </w:r>
      <w:r w:rsidR="00F0113F">
        <w:rPr>
          <w:color w:val="FF0000"/>
        </w:rPr>
        <w:t>’</w:t>
      </w:r>
      <w:r w:rsidR="00D268C0" w:rsidRPr="00CC6F0E">
        <w:rPr>
          <w:color w:val="FF0000"/>
        </w:rPr>
        <w:t>s, providers or group practices that did not satisfy the reporting requirements of the Shared Savings Program or PQRS were not included in calculation of the benchmarks.</w:t>
      </w:r>
    </w:p>
    <w:p w14:paraId="06725090" w14:textId="5DCB8C30" w:rsidR="00D268C0" w:rsidRPr="00546B21"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64CDF117" w14:textId="0AFA13D6"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lastRenderedPageBreak/>
        <w:t>A quality performance benchmark is the performance rate an ACO must achieve to earn the corresponding quality points for each measure. Below, w</w:t>
      </w:r>
      <w:r w:rsidRPr="00CC6F0E">
        <w:rPr>
          <w:color w:val="FF0000"/>
        </w:rPr>
        <w:t>e show the ACR benchmarks for each percentile, starting with the 30th percentile (corresponding to the minimum attainment level) and ending with the 90th</w:t>
      </w:r>
      <w:r w:rsidRPr="00CC6F0E">
        <w:rPr>
          <w:color w:val="FF0000"/>
          <w:sz w:val="14"/>
          <w:szCs w:val="14"/>
        </w:rPr>
        <w:t xml:space="preserve"> </w:t>
      </w:r>
      <w:r w:rsidRPr="00CC6F0E">
        <w:rPr>
          <w:color w:val="FF0000"/>
        </w:rPr>
        <w:t>percentile (corresponding to the maximum attainment level). For measures that are pay</w:t>
      </w:r>
      <w:r w:rsidR="00F0113F">
        <w:rPr>
          <w:color w:val="FF0000"/>
        </w:rPr>
        <w:t>-</w:t>
      </w:r>
      <w:r w:rsidRPr="00CC6F0E">
        <w:rPr>
          <w:color w:val="FF0000"/>
        </w:rPr>
        <w:t>for</w:t>
      </w:r>
      <w:r w:rsidR="00F0113F">
        <w:rPr>
          <w:color w:val="FF0000"/>
        </w:rPr>
        <w:t>-</w:t>
      </w:r>
      <w:r w:rsidRPr="00CC6F0E">
        <w:rPr>
          <w:color w:val="FF0000"/>
        </w:rPr>
        <w:t>performance, quality scoring will be based on the ACO’s level of performance on each measure. After the second performance year of their first agreement period</w:t>
      </w:r>
      <w:r w:rsidR="00A55ED1" w:rsidRPr="00CC6F0E">
        <w:rPr>
          <w:color w:val="FF0000"/>
        </w:rPr>
        <w:t xml:space="preserve"> (i.e., the ACR is pay for reporting for the first two performance years)</w:t>
      </w:r>
      <w:r w:rsidRPr="00CC6F0E">
        <w:rPr>
          <w:color w:val="FF0000"/>
        </w:rPr>
        <w:t>, an ACO will earn quality points for the ACR measure on a sliding scale based on level of performance. Performance below the minimum attainment level (the 30th</w:t>
      </w:r>
      <w:r w:rsidRPr="00CC6F0E">
        <w:rPr>
          <w:color w:val="FF0000"/>
          <w:sz w:val="14"/>
          <w:szCs w:val="14"/>
        </w:rPr>
        <w:t xml:space="preserve"> </w:t>
      </w:r>
      <w:r w:rsidRPr="00CC6F0E">
        <w:rPr>
          <w:color w:val="FF0000"/>
        </w:rPr>
        <w:t>percentile) for a measure will receive zero points for that measure; performance at or above the 90th</w:t>
      </w:r>
      <w:r w:rsidRPr="00CC6F0E">
        <w:rPr>
          <w:color w:val="FF0000"/>
          <w:sz w:val="14"/>
          <w:szCs w:val="14"/>
        </w:rPr>
        <w:t xml:space="preserve"> </w:t>
      </w:r>
      <w:r w:rsidRPr="00CC6F0E">
        <w:rPr>
          <w:color w:val="FF0000"/>
        </w:rPr>
        <w:t xml:space="preserve">percentile of the quality performance benchmark earns the maximum points available for the measure. The sliding scale measure scoring approach is below. </w:t>
      </w:r>
    </w:p>
    <w:p w14:paraId="1033FFB2"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35E5034A"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2016/2017 Reporting Year ACO, Risk-Standardized, All-Condition Readmission Measure Benchmarks</w:t>
      </w:r>
    </w:p>
    <w:p w14:paraId="2DBC0D7E"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30</w:t>
      </w:r>
      <w:r w:rsidRPr="00CC6F0E">
        <w:rPr>
          <w:rFonts w:cstheme="minorHAnsi"/>
          <w:bCs/>
          <w:color w:val="FF0000"/>
          <w:vertAlign w:val="superscript"/>
        </w:rPr>
        <w:t>th</w:t>
      </w:r>
      <w:r w:rsidRPr="00CC6F0E">
        <w:rPr>
          <w:rFonts w:cstheme="minorHAnsi"/>
          <w:bCs/>
          <w:color w:val="FF0000"/>
        </w:rPr>
        <w:t xml:space="preserve"> perc. 15.32</w:t>
      </w:r>
    </w:p>
    <w:p w14:paraId="225E6BEC"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40</w:t>
      </w:r>
      <w:r w:rsidRPr="00CC6F0E">
        <w:rPr>
          <w:rFonts w:cstheme="minorHAnsi"/>
          <w:bCs/>
          <w:color w:val="FF0000"/>
          <w:vertAlign w:val="superscript"/>
        </w:rPr>
        <w:t>th</w:t>
      </w:r>
      <w:r w:rsidRPr="00CC6F0E">
        <w:rPr>
          <w:rFonts w:cstheme="minorHAnsi"/>
          <w:bCs/>
          <w:color w:val="FF0000"/>
        </w:rPr>
        <w:t xml:space="preserve"> perc. 15.19</w:t>
      </w:r>
    </w:p>
    <w:p w14:paraId="1B5F0BB6"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50</w:t>
      </w:r>
      <w:r w:rsidRPr="00CC6F0E">
        <w:rPr>
          <w:rFonts w:cstheme="minorHAnsi"/>
          <w:bCs/>
          <w:color w:val="FF0000"/>
          <w:vertAlign w:val="superscript"/>
        </w:rPr>
        <w:t>th</w:t>
      </w:r>
      <w:r w:rsidRPr="00CC6F0E">
        <w:rPr>
          <w:rFonts w:cstheme="minorHAnsi"/>
          <w:bCs/>
          <w:color w:val="FF0000"/>
        </w:rPr>
        <w:t xml:space="preserve"> perc. 15.07</w:t>
      </w:r>
    </w:p>
    <w:p w14:paraId="285109D4"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60</w:t>
      </w:r>
      <w:r w:rsidRPr="00CC6F0E">
        <w:rPr>
          <w:rFonts w:cstheme="minorHAnsi"/>
          <w:bCs/>
          <w:color w:val="FF0000"/>
          <w:vertAlign w:val="superscript"/>
        </w:rPr>
        <w:t>th</w:t>
      </w:r>
      <w:r w:rsidRPr="00CC6F0E">
        <w:rPr>
          <w:rFonts w:cstheme="minorHAnsi"/>
          <w:bCs/>
          <w:color w:val="FF0000"/>
        </w:rPr>
        <w:t xml:space="preserve"> perc. 14.97</w:t>
      </w:r>
    </w:p>
    <w:p w14:paraId="47F2D325"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70</w:t>
      </w:r>
      <w:r w:rsidRPr="00CC6F0E">
        <w:rPr>
          <w:rFonts w:cstheme="minorHAnsi"/>
          <w:bCs/>
          <w:color w:val="FF0000"/>
          <w:vertAlign w:val="superscript"/>
        </w:rPr>
        <w:t>th</w:t>
      </w:r>
      <w:r w:rsidRPr="00CC6F0E">
        <w:rPr>
          <w:rFonts w:cstheme="minorHAnsi"/>
          <w:bCs/>
          <w:color w:val="FF0000"/>
        </w:rPr>
        <w:t xml:space="preserve"> perc. 14.87</w:t>
      </w:r>
    </w:p>
    <w:p w14:paraId="499B1712"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80</w:t>
      </w:r>
      <w:r w:rsidRPr="00CC6F0E">
        <w:rPr>
          <w:rFonts w:cstheme="minorHAnsi"/>
          <w:bCs/>
          <w:color w:val="FF0000"/>
          <w:vertAlign w:val="superscript"/>
        </w:rPr>
        <w:t>th</w:t>
      </w:r>
      <w:r w:rsidRPr="00CC6F0E">
        <w:rPr>
          <w:rFonts w:cstheme="minorHAnsi"/>
          <w:bCs/>
          <w:color w:val="FF0000"/>
        </w:rPr>
        <w:t xml:space="preserve"> perc. 14.74</w:t>
      </w:r>
    </w:p>
    <w:p w14:paraId="5DD0E534" w14:textId="7777777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90</w:t>
      </w:r>
      <w:r w:rsidRPr="00CC6F0E">
        <w:rPr>
          <w:rFonts w:cstheme="minorHAnsi"/>
          <w:bCs/>
          <w:color w:val="FF0000"/>
          <w:vertAlign w:val="superscript"/>
        </w:rPr>
        <w:t>th</w:t>
      </w:r>
      <w:r w:rsidRPr="00CC6F0E">
        <w:rPr>
          <w:rFonts w:cstheme="minorHAnsi"/>
          <w:bCs/>
          <w:color w:val="FF0000"/>
        </w:rPr>
        <w:t xml:space="preserve"> perc. 14.54</w:t>
      </w:r>
    </w:p>
    <w:p w14:paraId="31F5E9A9" w14:textId="57186BE7" w:rsidR="00A400E3" w:rsidRPr="00CC6F0E" w:rsidRDefault="00A400E3"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239F5B75" w14:textId="77777777"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Sliding Scale Measure Scoring Approach</w:t>
      </w:r>
    </w:p>
    <w:p w14:paraId="33846C40" w14:textId="77777777"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ACO Performance Level Quality points</w:t>
      </w:r>
    </w:p>
    <w:p w14:paraId="7A39976E" w14:textId="483B139C"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90+ percentile benchmark: 2.00 points</w:t>
      </w:r>
    </w:p>
    <w:p w14:paraId="0E736268" w14:textId="19145A12"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80+ percentile benchmark: 1.85 points</w:t>
      </w:r>
    </w:p>
    <w:p w14:paraId="7B92E49A" w14:textId="5B11DE9D"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70+ percentile benchmark: 1.70 points</w:t>
      </w:r>
    </w:p>
    <w:p w14:paraId="4D58EA52" w14:textId="40F70DBF"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60+ percentile benchmark: 1.55 points</w:t>
      </w:r>
    </w:p>
    <w:p w14:paraId="672227B9" w14:textId="7E09C9FD"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50+ percentile benchmark: 1.40 points</w:t>
      </w:r>
    </w:p>
    <w:p w14:paraId="245ADF8A" w14:textId="560EF051"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40+ percentile benchmark:1.25 points</w:t>
      </w:r>
    </w:p>
    <w:p w14:paraId="4D3E8A39" w14:textId="35AF72A8"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30+ percentile benchmark: 1.10 point</w:t>
      </w:r>
    </w:p>
    <w:p w14:paraId="5EF0552F" w14:textId="7C636AFE" w:rsidR="00D268C0" w:rsidRPr="00CC6F0E" w:rsidRDefault="00D268C0"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&lt;30 percentile benchmark: No points</w:t>
      </w:r>
    </w:p>
    <w:p w14:paraId="590D38F4" w14:textId="390220F0" w:rsidR="00901C66" w:rsidRPr="00546B21" w:rsidRDefault="00901C66"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2E0F79D2" w14:textId="23AE2495" w:rsidR="000B6BA7" w:rsidRPr="00CC6F0E" w:rsidRDefault="00901C66"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color w:val="FF0000"/>
        </w:rPr>
        <w:t xml:space="preserve">To assess meaningful differences in performance, we present </w:t>
      </w:r>
      <w:r w:rsidR="00904CD6" w:rsidRPr="00CC6F0E">
        <w:rPr>
          <w:color w:val="FF0000"/>
        </w:rPr>
        <w:t xml:space="preserve">histograms of ACO performance in calendar years 2014 and 2015. </w:t>
      </w:r>
      <w:r w:rsidR="00986E7B" w:rsidRPr="00986E7B">
        <w:rPr>
          <w:color w:val="FF0000"/>
        </w:rPr>
        <w:t xml:space="preserve"> ACO</w:t>
      </w:r>
      <w:r w:rsidR="00986E7B">
        <w:rPr>
          <w:color w:val="FF0000"/>
        </w:rPr>
        <w:t>s may</w:t>
      </w:r>
      <w:r w:rsidR="00986E7B" w:rsidRPr="00986E7B">
        <w:rPr>
          <w:color w:val="FF0000"/>
        </w:rPr>
        <w:t xml:space="preserve"> receive bonus points on the </w:t>
      </w:r>
      <w:r w:rsidR="00B163A1">
        <w:rPr>
          <w:color w:val="FF0000"/>
        </w:rPr>
        <w:t xml:space="preserve">SSP </w:t>
      </w:r>
      <w:r w:rsidR="00986E7B" w:rsidRPr="00986E7B">
        <w:rPr>
          <w:color w:val="FF0000"/>
        </w:rPr>
        <w:t>care coordination domain</w:t>
      </w:r>
      <w:r w:rsidR="00B163A1">
        <w:rPr>
          <w:color w:val="FF0000"/>
        </w:rPr>
        <w:t>, which demonstrated</w:t>
      </w:r>
      <w:r w:rsidR="00986E7B" w:rsidRPr="00986E7B">
        <w:rPr>
          <w:color w:val="FF0000"/>
        </w:rPr>
        <w:t xml:space="preserve"> the second highest level of overall improvement</w:t>
      </w:r>
      <w:r w:rsidR="00B163A1">
        <w:rPr>
          <w:color w:val="FF0000"/>
        </w:rPr>
        <w:t>. This achievement</w:t>
      </w:r>
      <w:r w:rsidR="00986E7B" w:rsidRPr="00986E7B">
        <w:rPr>
          <w:color w:val="FF0000"/>
        </w:rPr>
        <w:t xml:space="preserve"> is significant given the difficulty of the</w:t>
      </w:r>
      <w:r w:rsidR="00B163A1">
        <w:rPr>
          <w:color w:val="FF0000"/>
        </w:rPr>
        <w:t xml:space="preserve">se measures.  Up to four improvement points </w:t>
      </w:r>
      <w:r w:rsidR="00986E7B" w:rsidRPr="00986E7B">
        <w:rPr>
          <w:color w:val="FF0000"/>
        </w:rPr>
        <w:t xml:space="preserve">are available for each domain.  </w:t>
      </w:r>
    </w:p>
    <w:p w14:paraId="1CE25CC2" w14:textId="402BD34B" w:rsidR="007B6D57" w:rsidRPr="00CC6F0E" w:rsidRDefault="007B6D57"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CC6F0E">
        <w:rPr>
          <w:rFonts w:cstheme="minorHAnsi"/>
          <w:bCs/>
          <w:color w:val="FF0000"/>
        </w:rPr>
        <w:t xml:space="preserve">For more details about </w:t>
      </w:r>
      <w:r w:rsidR="003758C7" w:rsidRPr="00CC6F0E">
        <w:rPr>
          <w:rFonts w:cstheme="minorHAnsi"/>
          <w:bCs/>
          <w:color w:val="FF0000"/>
        </w:rPr>
        <w:t xml:space="preserve">the </w:t>
      </w:r>
      <w:r w:rsidR="00605AED" w:rsidRPr="00CC6F0E">
        <w:rPr>
          <w:rFonts w:cstheme="minorHAnsi"/>
          <w:bCs/>
          <w:color w:val="FF0000"/>
        </w:rPr>
        <w:t>benchmarking methodology</w:t>
      </w:r>
      <w:r w:rsidRPr="00CC6F0E">
        <w:rPr>
          <w:rFonts w:cstheme="minorHAnsi"/>
          <w:bCs/>
          <w:color w:val="FF0000"/>
        </w:rPr>
        <w:t xml:space="preserve">, please review the Medicare Shared Savings Program Quality Measure Benchmarks for the 2016 and 2017 Reporting Years </w:t>
      </w:r>
      <w:hyperlink r:id="rId25" w:history="1">
        <w:r w:rsidRPr="00CC6F0E">
          <w:rPr>
            <w:rStyle w:val="Hyperlink"/>
            <w:rFonts w:cstheme="minorHAnsi"/>
            <w:bCs/>
            <w:color w:val="FF0000"/>
          </w:rPr>
          <w:t>https://www.cms.gov/Medicare/Medicare-Fee-for-Service-Payment/sharedsavingsprogram/Downloads/MSSP-QM-Benchmarks-2016.pdf</w:t>
        </w:r>
      </w:hyperlink>
      <w:r w:rsidR="007E1CE8" w:rsidRPr="00CC6F0E">
        <w:rPr>
          <w:rStyle w:val="Hyperlink"/>
          <w:rFonts w:cstheme="minorHAnsi"/>
          <w:bCs/>
          <w:color w:val="FF0000"/>
        </w:rPr>
        <w:t>.</w:t>
      </w:r>
      <w:r w:rsidRPr="00CC6F0E">
        <w:rPr>
          <w:rFonts w:cstheme="minorHAnsi"/>
          <w:bCs/>
          <w:color w:val="FF0000"/>
        </w:rPr>
        <w:t xml:space="preserve"> </w:t>
      </w:r>
    </w:p>
    <w:p w14:paraId="236A4DA9" w14:textId="77777777" w:rsidR="00A67038" w:rsidRPr="00CC6F0E" w:rsidRDefault="00A67038" w:rsidP="000F5AF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p>
    <w:p w14:paraId="69508406" w14:textId="77777777" w:rsidR="000F5AF2" w:rsidRDefault="000F5AF2" w:rsidP="00D61410">
      <w:pPr>
        <w:autoSpaceDE w:val="0"/>
        <w:autoSpaceDN w:val="0"/>
        <w:adjustRightInd w:val="0"/>
        <w:spacing w:after="0" w:line="240" w:lineRule="auto"/>
        <w:rPr>
          <w:rFonts w:cstheme="minorHAnsi"/>
          <w:b/>
          <w:bCs/>
        </w:rPr>
        <w:sectPr w:rsidR="000F5AF2" w:rsidSect="008505D1">
          <w:headerReference w:type="default" r:id="rId26"/>
          <w:footerReference w:type="default" r:id="rId27"/>
          <w:pgSz w:w="12240" w:h="15840"/>
          <w:pgMar w:top="1440" w:right="1440" w:bottom="1440" w:left="1440" w:header="720" w:footer="720" w:gutter="0"/>
          <w:cols w:space="720"/>
          <w:docGrid w:linePitch="360"/>
        </w:sectPr>
      </w:pPr>
    </w:p>
    <w:p w14:paraId="3B9B6359" w14:textId="5E5B22BD" w:rsidR="00FF1D5B" w:rsidRDefault="00D61410" w:rsidP="00D61410">
      <w:pPr>
        <w:autoSpaceDE w:val="0"/>
        <w:autoSpaceDN w:val="0"/>
        <w:adjustRightInd w:val="0"/>
        <w:spacing w:after="0" w:line="240" w:lineRule="auto"/>
        <w:rPr>
          <w:rFonts w:cstheme="minorHAnsi"/>
          <w:bCs/>
        </w:rPr>
      </w:pPr>
      <w:r>
        <w:rPr>
          <w:rFonts w:cstheme="minorHAnsi"/>
          <w:b/>
          <w:bCs/>
        </w:rPr>
        <w:lastRenderedPageBreak/>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00A67038">
        <w:rPr>
          <w:rFonts w:cstheme="minorHAnsi"/>
          <w:bCs/>
        </w:rPr>
        <w:t>)</w:t>
      </w:r>
    </w:p>
    <w:p w14:paraId="0CFC1E07" w14:textId="4810B6F4" w:rsidR="001E63F4" w:rsidRDefault="001E63F4" w:rsidP="001E63F4">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9350"/>
      </w:tblGrid>
      <w:tr w:rsidR="001E63F4" w14:paraId="506BE790" w14:textId="77777777" w:rsidTr="00206E72">
        <w:tc>
          <w:tcPr>
            <w:tcW w:w="9350" w:type="dxa"/>
          </w:tcPr>
          <w:p w14:paraId="3F18B647" w14:textId="7411864C" w:rsidR="001E63F4" w:rsidRDefault="00F25E95" w:rsidP="00206E72">
            <w:pPr>
              <w:autoSpaceDE w:val="0"/>
              <w:autoSpaceDN w:val="0"/>
              <w:adjustRightInd w:val="0"/>
              <w:rPr>
                <w:rFonts w:cstheme="minorHAnsi"/>
                <w:b/>
                <w:bCs/>
                <w:u w:val="single"/>
              </w:rPr>
            </w:pPr>
            <w:r>
              <w:rPr>
                <w:rFonts w:cstheme="minorHAnsi"/>
                <w:b/>
                <w:bCs/>
                <w:u w:val="single"/>
              </w:rPr>
              <w:t>HWR</w:t>
            </w:r>
          </w:p>
          <w:p w14:paraId="6D835313" w14:textId="77777777" w:rsidR="00956B12" w:rsidRPr="001E30AC" w:rsidRDefault="00956B12" w:rsidP="00206E72">
            <w:pPr>
              <w:autoSpaceDE w:val="0"/>
              <w:autoSpaceDN w:val="0"/>
              <w:adjustRightInd w:val="0"/>
              <w:rPr>
                <w:rFonts w:cstheme="minorHAnsi"/>
                <w:b/>
                <w:bCs/>
                <w:u w:val="single"/>
              </w:rPr>
            </w:pPr>
          </w:p>
          <w:p w14:paraId="3215A36D" w14:textId="77777777" w:rsidR="001E63F4" w:rsidRDefault="001E63F4" w:rsidP="00206E72">
            <w:pPr>
              <w:autoSpaceDE w:val="0"/>
              <w:autoSpaceDN w:val="0"/>
              <w:adjustRightInd w:val="0"/>
              <w:rPr>
                <w:rFonts w:cstheme="minorHAnsi"/>
                <w:bCs/>
              </w:rPr>
            </w:pPr>
            <w:r w:rsidRPr="001E63F4">
              <w:rPr>
                <w:rFonts w:cstheme="minorHAnsi"/>
                <w:bCs/>
              </w:rPr>
              <w:t>In the 2015 public reporting year (</w:t>
            </w:r>
            <w:r w:rsidRPr="001E63F4">
              <w:rPr>
                <w:rFonts w:cstheme="minorHAnsi"/>
                <w:b/>
                <w:bCs/>
              </w:rPr>
              <w:t>Dataset 1</w:t>
            </w:r>
            <w:r w:rsidRPr="001E63F4">
              <w:rPr>
                <w:rFonts w:cstheme="minorHAnsi"/>
                <w:bCs/>
              </w:rPr>
              <w:t>), out of 4,772 hospitals in the U.S., 178 performed “better than the U.S. national rate,” 4,078 performed “no different from the U.S. national rate,” and 337 performed “worse than the U.S. national rate.” One hundred and seventy-nine hospitals were classified as “number of cases too small” (fewer than 25) to reliably tell how well the hospital is performing.</w:t>
            </w:r>
          </w:p>
          <w:p w14:paraId="032B5A14" w14:textId="77777777" w:rsidR="001E63F4" w:rsidRPr="001E63F4" w:rsidRDefault="001E63F4" w:rsidP="00206E72">
            <w:pPr>
              <w:autoSpaceDE w:val="0"/>
              <w:autoSpaceDN w:val="0"/>
              <w:adjustRightInd w:val="0"/>
              <w:rPr>
                <w:rFonts w:cstheme="minorHAnsi"/>
                <w:bCs/>
              </w:rPr>
            </w:pPr>
          </w:p>
          <w:p w14:paraId="312B5DB3" w14:textId="77777777" w:rsidR="001E63F4" w:rsidRDefault="001E63F4" w:rsidP="00206E72">
            <w:pPr>
              <w:autoSpaceDE w:val="0"/>
              <w:autoSpaceDN w:val="0"/>
              <w:adjustRightInd w:val="0"/>
              <w:rPr>
                <w:rFonts w:cstheme="minorHAnsi"/>
                <w:bCs/>
              </w:rPr>
            </w:pPr>
            <w:r w:rsidRPr="001E63F4">
              <w:rPr>
                <w:rFonts w:cstheme="minorHAnsi"/>
                <w:bCs/>
              </w:rPr>
              <w:t>Note that this analysis included index admissions from July 2011 – June 2014 from the 2015 public reported data (</w:t>
            </w:r>
            <w:r w:rsidRPr="001E63F4">
              <w:rPr>
                <w:rFonts w:cstheme="minorHAnsi"/>
                <w:b/>
                <w:bCs/>
              </w:rPr>
              <w:t>Dataset 1</w:t>
            </w:r>
            <w:r w:rsidRPr="001E63F4">
              <w:rPr>
                <w:rFonts w:cstheme="minorHAnsi"/>
                <w:bCs/>
              </w:rPr>
              <w:t>). We used the planned readmission algorithm version 3.0 for measure calculation in these data. The planned readmission algorithm 4.0 will first be applied in the 2016 publically reported measure results.</w:t>
            </w:r>
          </w:p>
          <w:p w14:paraId="67B66ADA" w14:textId="77777777" w:rsidR="001E63F4" w:rsidRDefault="001E63F4" w:rsidP="00206E72">
            <w:pPr>
              <w:autoSpaceDE w:val="0"/>
              <w:autoSpaceDN w:val="0"/>
              <w:adjustRightInd w:val="0"/>
              <w:rPr>
                <w:rFonts w:cstheme="minorHAnsi"/>
                <w:bCs/>
              </w:rPr>
            </w:pPr>
          </w:p>
          <w:p w14:paraId="5C2E2155" w14:textId="5F5A06B9" w:rsidR="001E63F4" w:rsidRPr="00712166" w:rsidRDefault="00BB2DCE" w:rsidP="00206E72">
            <w:pPr>
              <w:autoSpaceDE w:val="0"/>
              <w:autoSpaceDN w:val="0"/>
              <w:adjustRightInd w:val="0"/>
              <w:rPr>
                <w:rFonts w:cstheme="minorHAnsi"/>
                <w:b/>
                <w:bCs/>
                <w:color w:val="FF0000"/>
                <w:u w:val="single"/>
              </w:rPr>
            </w:pPr>
            <w:r w:rsidRPr="00712166">
              <w:rPr>
                <w:rFonts w:cstheme="minorHAnsi"/>
                <w:b/>
                <w:bCs/>
                <w:color w:val="FF0000"/>
                <w:u w:val="single"/>
              </w:rPr>
              <w:t>ACR</w:t>
            </w:r>
          </w:p>
          <w:p w14:paraId="1D34BA99" w14:textId="77777777" w:rsidR="00956B12" w:rsidRPr="00712166" w:rsidRDefault="00956B12" w:rsidP="00206E72">
            <w:pPr>
              <w:autoSpaceDE w:val="0"/>
              <w:autoSpaceDN w:val="0"/>
              <w:adjustRightInd w:val="0"/>
              <w:rPr>
                <w:rFonts w:cstheme="minorHAnsi"/>
                <w:b/>
                <w:bCs/>
                <w:color w:val="FF0000"/>
                <w:u w:val="single"/>
              </w:rPr>
            </w:pPr>
          </w:p>
          <w:p w14:paraId="42CC5833" w14:textId="7828F666" w:rsidR="001E63F4" w:rsidRPr="00712166" w:rsidRDefault="001E63F4" w:rsidP="00206E72">
            <w:pPr>
              <w:autoSpaceDE w:val="0"/>
              <w:autoSpaceDN w:val="0"/>
              <w:adjustRightInd w:val="0"/>
              <w:rPr>
                <w:rFonts w:cstheme="minorHAnsi"/>
                <w:bCs/>
                <w:color w:val="FF0000"/>
              </w:rPr>
            </w:pPr>
            <w:r w:rsidRPr="00712166">
              <w:rPr>
                <w:rFonts w:cstheme="minorHAnsi"/>
                <w:bCs/>
                <w:color w:val="FF0000"/>
              </w:rPr>
              <w:t>The histograms below show ACO performance on the ACR measure in calendar years 2014 and 2015 using the 2014 and 2015 scoring datasets</w:t>
            </w:r>
            <w:r w:rsidR="00956B12" w:rsidRPr="00712166">
              <w:rPr>
                <w:rFonts w:cstheme="minorHAnsi"/>
                <w:bCs/>
                <w:color w:val="FF0000"/>
              </w:rPr>
              <w:t xml:space="preserve"> (</w:t>
            </w:r>
            <w:r w:rsidR="00956B12" w:rsidRPr="00712166">
              <w:rPr>
                <w:rFonts w:cstheme="minorHAnsi"/>
                <w:b/>
                <w:bCs/>
                <w:color w:val="FF0000"/>
              </w:rPr>
              <w:t xml:space="preserve">Dataset 5 </w:t>
            </w:r>
            <w:r w:rsidR="00956B12" w:rsidRPr="00712166">
              <w:rPr>
                <w:rFonts w:cstheme="minorHAnsi"/>
                <w:bCs/>
                <w:color w:val="FF0000"/>
              </w:rPr>
              <w:t xml:space="preserve">and </w:t>
            </w:r>
            <w:r w:rsidR="00956B12" w:rsidRPr="00712166">
              <w:rPr>
                <w:rFonts w:cstheme="minorHAnsi"/>
                <w:b/>
                <w:bCs/>
                <w:color w:val="FF0000"/>
              </w:rPr>
              <w:t>Dataset 6</w:t>
            </w:r>
            <w:r w:rsidR="00956B12" w:rsidRPr="00712166">
              <w:rPr>
                <w:rFonts w:cstheme="minorHAnsi"/>
                <w:bCs/>
                <w:color w:val="FF0000"/>
              </w:rPr>
              <w:t>)</w:t>
            </w:r>
            <w:r w:rsidRPr="00712166">
              <w:rPr>
                <w:rFonts w:cstheme="minorHAnsi"/>
                <w:bCs/>
                <w:color w:val="FF0000"/>
              </w:rPr>
              <w:t>.</w:t>
            </w:r>
          </w:p>
          <w:p w14:paraId="63E0A8D9" w14:textId="77777777" w:rsidR="001E63F4" w:rsidRPr="00712166" w:rsidRDefault="001E63F4" w:rsidP="00206E72">
            <w:pPr>
              <w:autoSpaceDE w:val="0"/>
              <w:autoSpaceDN w:val="0"/>
              <w:adjustRightInd w:val="0"/>
              <w:rPr>
                <w:rFonts w:cstheme="minorHAnsi"/>
                <w:bCs/>
                <w:color w:val="FF0000"/>
              </w:rPr>
            </w:pPr>
          </w:p>
          <w:p w14:paraId="0736FAEE" w14:textId="355F12D4" w:rsidR="001E63F4" w:rsidRPr="00712166" w:rsidRDefault="001E63F4" w:rsidP="00206E72">
            <w:pPr>
              <w:autoSpaceDE w:val="0"/>
              <w:autoSpaceDN w:val="0"/>
              <w:adjustRightInd w:val="0"/>
              <w:rPr>
                <w:rFonts w:cstheme="minorHAnsi"/>
                <w:bCs/>
                <w:color w:val="FF0000"/>
              </w:rPr>
            </w:pPr>
            <w:r w:rsidRPr="00712166">
              <w:rPr>
                <w:rFonts w:cstheme="minorHAnsi"/>
                <w:bCs/>
                <w:color w:val="FF0000"/>
              </w:rPr>
              <w:t>Distributions of ACR RSRRs</w:t>
            </w:r>
          </w:p>
          <w:tbl>
            <w:tblPr>
              <w:tblStyle w:val="TableGrid"/>
              <w:tblW w:w="0" w:type="auto"/>
              <w:tblLook w:val="04A0" w:firstRow="1" w:lastRow="0" w:firstColumn="1" w:lastColumn="0" w:noHBand="0" w:noVBand="1"/>
            </w:tblPr>
            <w:tblGrid>
              <w:gridCol w:w="4567"/>
              <w:gridCol w:w="4567"/>
            </w:tblGrid>
            <w:tr w:rsidR="001E63F4" w14:paraId="086827FF" w14:textId="77777777" w:rsidTr="001E63F4">
              <w:tc>
                <w:tcPr>
                  <w:tcW w:w="4562" w:type="dxa"/>
                  <w:tcBorders>
                    <w:top w:val="nil"/>
                    <w:left w:val="nil"/>
                    <w:bottom w:val="nil"/>
                    <w:right w:val="nil"/>
                  </w:tcBorders>
                </w:tcPr>
                <w:p w14:paraId="6C50133C" w14:textId="7559504B" w:rsidR="001E63F4" w:rsidRDefault="001E63F4" w:rsidP="00206E72">
                  <w:pPr>
                    <w:autoSpaceDE w:val="0"/>
                    <w:autoSpaceDN w:val="0"/>
                    <w:adjustRightInd w:val="0"/>
                    <w:rPr>
                      <w:rFonts w:cstheme="minorHAnsi"/>
                      <w:bCs/>
                      <w:color w:val="FF0000"/>
                    </w:rPr>
                  </w:pPr>
                  <w:r w:rsidRPr="0020167E">
                    <w:rPr>
                      <w:rFonts w:cstheme="minorHAnsi"/>
                      <w:bCs/>
                      <w:noProof/>
                    </w:rPr>
                    <w:drawing>
                      <wp:inline distT="0" distB="0" distL="0" distR="0" wp14:anchorId="7E6A450E" wp14:editId="4DE81502">
                        <wp:extent cx="2873991" cy="210312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73991" cy="2103120"/>
                                </a:xfrm>
                                <a:prstGeom prst="rect">
                                  <a:avLst/>
                                </a:prstGeom>
                                <a:noFill/>
                                <a:ln>
                                  <a:noFill/>
                                </a:ln>
                              </pic:spPr>
                            </pic:pic>
                          </a:graphicData>
                        </a:graphic>
                      </wp:inline>
                    </w:drawing>
                  </w:r>
                </w:p>
              </w:tc>
              <w:tc>
                <w:tcPr>
                  <w:tcW w:w="4562" w:type="dxa"/>
                  <w:tcBorders>
                    <w:top w:val="nil"/>
                    <w:left w:val="nil"/>
                    <w:bottom w:val="nil"/>
                    <w:right w:val="nil"/>
                  </w:tcBorders>
                </w:tcPr>
                <w:p w14:paraId="56FECF6B" w14:textId="7EEBDDA5" w:rsidR="001E63F4" w:rsidRDefault="001E63F4" w:rsidP="00206E72">
                  <w:pPr>
                    <w:autoSpaceDE w:val="0"/>
                    <w:autoSpaceDN w:val="0"/>
                    <w:adjustRightInd w:val="0"/>
                    <w:rPr>
                      <w:rFonts w:cstheme="minorHAnsi"/>
                      <w:bCs/>
                      <w:color w:val="FF0000"/>
                    </w:rPr>
                  </w:pPr>
                  <w:r w:rsidRPr="0020167E">
                    <w:rPr>
                      <w:rFonts w:cstheme="minorHAnsi"/>
                      <w:bCs/>
                      <w:noProof/>
                    </w:rPr>
                    <w:drawing>
                      <wp:inline distT="0" distB="0" distL="0" distR="0" wp14:anchorId="39A30937" wp14:editId="3EA549A3">
                        <wp:extent cx="2873991" cy="210312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73991" cy="2103120"/>
                                </a:xfrm>
                                <a:prstGeom prst="rect">
                                  <a:avLst/>
                                </a:prstGeom>
                                <a:noFill/>
                                <a:ln>
                                  <a:noFill/>
                                </a:ln>
                              </pic:spPr>
                            </pic:pic>
                          </a:graphicData>
                        </a:graphic>
                      </wp:inline>
                    </w:drawing>
                  </w:r>
                </w:p>
              </w:tc>
            </w:tr>
          </w:tbl>
          <w:p w14:paraId="70C1A88C" w14:textId="0DF4B7C9" w:rsidR="001E63F4" w:rsidRDefault="001E63F4" w:rsidP="00206E72">
            <w:pPr>
              <w:autoSpaceDE w:val="0"/>
              <w:autoSpaceDN w:val="0"/>
              <w:adjustRightInd w:val="0"/>
              <w:rPr>
                <w:rFonts w:cstheme="minorHAnsi"/>
                <w:bCs/>
              </w:rPr>
            </w:pPr>
          </w:p>
        </w:tc>
      </w:tr>
    </w:tbl>
    <w:p w14:paraId="03213AAD" w14:textId="3494B3E5" w:rsidR="00F65472" w:rsidRDefault="00F65472" w:rsidP="00D61410">
      <w:pPr>
        <w:autoSpaceDE w:val="0"/>
        <w:autoSpaceDN w:val="0"/>
        <w:adjustRightInd w:val="0"/>
        <w:spacing w:after="0" w:line="240" w:lineRule="auto"/>
        <w:rPr>
          <w:rFonts w:cstheme="minorHAnsi"/>
          <w:bCs/>
        </w:rPr>
      </w:pPr>
    </w:p>
    <w:p w14:paraId="3F753CCC" w14:textId="77777777" w:rsidR="001E63F4" w:rsidDel="001E63F4" w:rsidRDefault="00D61410" w:rsidP="001E63F4">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tbl>
      <w:tblPr>
        <w:tblStyle w:val="TableGrid"/>
        <w:tblW w:w="0" w:type="auto"/>
        <w:tblLook w:val="04A0" w:firstRow="1" w:lastRow="0" w:firstColumn="1" w:lastColumn="0" w:noHBand="0" w:noVBand="1"/>
      </w:tblPr>
      <w:tblGrid>
        <w:gridCol w:w="9350"/>
      </w:tblGrid>
      <w:tr w:rsidR="001E63F4" w14:paraId="471901B0" w14:textId="77777777" w:rsidTr="00EC7E11">
        <w:trPr>
          <w:trHeight w:val="2129"/>
        </w:trPr>
        <w:tc>
          <w:tcPr>
            <w:tcW w:w="9350" w:type="dxa"/>
          </w:tcPr>
          <w:p w14:paraId="007C57DA" w14:textId="0572208C" w:rsidR="001E63F4" w:rsidRPr="00C40B2C" w:rsidRDefault="001E63F4" w:rsidP="001E63F4">
            <w:pPr>
              <w:autoSpaceDE w:val="0"/>
              <w:autoSpaceDN w:val="0"/>
              <w:adjustRightInd w:val="0"/>
              <w:rPr>
                <w:rFonts w:cstheme="minorHAnsi"/>
                <w:bCs/>
                <w:color w:val="FF0000"/>
              </w:rPr>
            </w:pPr>
            <w:r w:rsidRPr="00C40B2C">
              <w:rPr>
                <w:rFonts w:cstheme="minorHAnsi"/>
                <w:bCs/>
                <w:color w:val="FF0000"/>
              </w:rPr>
              <w:lastRenderedPageBreak/>
              <w:t>The variation in rates and number of performance outliers suggests that differences in the quality of care received across hospitals</w:t>
            </w:r>
            <w:r w:rsidR="00956B12" w:rsidRPr="00C40B2C">
              <w:rPr>
                <w:rFonts w:cstheme="minorHAnsi"/>
                <w:bCs/>
                <w:color w:val="FF0000"/>
              </w:rPr>
              <w:t xml:space="preserve"> </w:t>
            </w:r>
            <w:r w:rsidRPr="00C40B2C">
              <w:rPr>
                <w:rFonts w:cstheme="minorHAnsi"/>
                <w:bCs/>
                <w:color w:val="FF0000"/>
              </w:rPr>
              <w:t xml:space="preserve">for the </w:t>
            </w:r>
            <w:r w:rsidR="007B2C15" w:rsidRPr="00C40B2C">
              <w:rPr>
                <w:rFonts w:cstheme="minorHAnsi"/>
                <w:bCs/>
                <w:color w:val="FF0000"/>
              </w:rPr>
              <w:t>HWR</w:t>
            </w:r>
            <w:r w:rsidRPr="00C40B2C">
              <w:rPr>
                <w:rFonts w:cstheme="minorHAnsi"/>
                <w:bCs/>
                <w:color w:val="FF0000"/>
              </w:rPr>
              <w:t xml:space="preserve"> measure remain, which support continued measurement in order to reduce variation.</w:t>
            </w:r>
          </w:p>
          <w:p w14:paraId="31253C6D" w14:textId="77777777" w:rsidR="00EC7E11" w:rsidRPr="00546B21" w:rsidRDefault="00EC7E11" w:rsidP="001E63F4">
            <w:pPr>
              <w:autoSpaceDE w:val="0"/>
              <w:autoSpaceDN w:val="0"/>
              <w:adjustRightInd w:val="0"/>
              <w:rPr>
                <w:rFonts w:cstheme="minorHAnsi"/>
                <w:bCs/>
              </w:rPr>
            </w:pPr>
          </w:p>
          <w:p w14:paraId="67A104F3" w14:textId="611BBF77" w:rsidR="00BE38C6" w:rsidRPr="00546B21" w:rsidRDefault="007B2C15" w:rsidP="001E63F4">
            <w:pPr>
              <w:autoSpaceDE w:val="0"/>
              <w:autoSpaceDN w:val="0"/>
              <w:adjustRightInd w:val="0"/>
              <w:rPr>
                <w:rFonts w:cstheme="minorHAnsi"/>
                <w:bCs/>
              </w:rPr>
            </w:pPr>
            <w:r w:rsidRPr="00546B21">
              <w:rPr>
                <w:rFonts w:cstheme="minorHAnsi"/>
                <w:bCs/>
              </w:rPr>
              <w:t>Likewise, the variation in rates and number of performance outliers suggests that differences in the quality of care received across ACOs for the ACR measure remain</w:t>
            </w:r>
            <w:r w:rsidR="00EA349E" w:rsidRPr="00546B21">
              <w:rPr>
                <w:rFonts w:cstheme="minorHAnsi"/>
                <w:bCs/>
              </w:rPr>
              <w:t>s</w:t>
            </w:r>
            <w:r w:rsidRPr="00546B21">
              <w:rPr>
                <w:rFonts w:cstheme="minorHAnsi"/>
                <w:bCs/>
              </w:rPr>
              <w:t>, which support</w:t>
            </w:r>
            <w:r w:rsidR="00EA349E" w:rsidRPr="00546B21">
              <w:rPr>
                <w:rFonts w:cstheme="minorHAnsi"/>
                <w:bCs/>
              </w:rPr>
              <w:t>s</w:t>
            </w:r>
            <w:r w:rsidRPr="00546B21">
              <w:rPr>
                <w:rFonts w:cstheme="minorHAnsi"/>
                <w:bCs/>
              </w:rPr>
              <w:t xml:space="preserve"> continued measurement in order to reduce variation</w:t>
            </w:r>
          </w:p>
          <w:p w14:paraId="0EFAD062" w14:textId="1D00EEEE" w:rsidR="00BE38C6" w:rsidRPr="00136B11" w:rsidRDefault="00BE38C6" w:rsidP="001E63F4">
            <w:pPr>
              <w:autoSpaceDE w:val="0"/>
              <w:autoSpaceDN w:val="0"/>
              <w:adjustRightInd w:val="0"/>
              <w:rPr>
                <w:rFonts w:cstheme="minorHAnsi"/>
                <w:bCs/>
                <w:color w:val="FF0000"/>
              </w:rPr>
            </w:pPr>
          </w:p>
        </w:tc>
      </w:tr>
    </w:tbl>
    <w:p w14:paraId="054B5A8E" w14:textId="77777777" w:rsidR="001E63F4" w:rsidRDefault="001E63F4" w:rsidP="00136B11">
      <w:pPr>
        <w:autoSpaceDE w:val="0"/>
        <w:autoSpaceDN w:val="0"/>
        <w:adjustRightInd w:val="0"/>
        <w:spacing w:after="0" w:line="240" w:lineRule="auto"/>
      </w:pPr>
    </w:p>
    <w:p w14:paraId="2AE9B1AB" w14:textId="77777777" w:rsidR="0086464B" w:rsidRDefault="0086464B" w:rsidP="0086464B">
      <w:pPr>
        <w:spacing w:after="0" w:line="240" w:lineRule="auto"/>
        <w:rPr>
          <w:rFonts w:cstheme="minorHAnsi"/>
          <w:b/>
          <w:bCs/>
        </w:rPr>
      </w:pPr>
      <w:r>
        <w:rPr>
          <w:rFonts w:cstheme="minorHAnsi"/>
          <w:b/>
          <w:bCs/>
        </w:rPr>
        <w:t>_______________________________________</w:t>
      </w:r>
    </w:p>
    <w:p w14:paraId="2AE9B1AC" w14:textId="77777777" w:rsidR="004B1BA0" w:rsidRPr="003C72E6" w:rsidRDefault="00021170" w:rsidP="00DB3627">
      <w:pPr>
        <w:autoSpaceDE w:val="0"/>
        <w:autoSpaceDN w:val="0"/>
        <w:adjustRightInd w:val="0"/>
        <w:spacing w:after="0" w:line="240" w:lineRule="auto"/>
        <w:rPr>
          <w:rFonts w:cstheme="minorHAnsi"/>
          <w:b/>
          <w:bCs/>
        </w:rPr>
      </w:pPr>
      <w:r w:rsidRPr="003C72E6">
        <w:rPr>
          <w:rFonts w:cstheme="minorHAnsi"/>
          <w:b/>
          <w:bCs/>
        </w:rPr>
        <w:t>2</w:t>
      </w:r>
      <w:r w:rsidR="00EA5F47" w:rsidRPr="003C72E6">
        <w:rPr>
          <w:rFonts w:cstheme="minorHAnsi"/>
          <w:b/>
          <w:bCs/>
        </w:rPr>
        <w:t>b</w:t>
      </w:r>
      <w:r w:rsidRPr="003C72E6">
        <w:rPr>
          <w:rFonts w:cstheme="minorHAnsi"/>
          <w:b/>
          <w:bCs/>
        </w:rPr>
        <w:t xml:space="preserve">6. COMPARABILITY OF PERFORMANCE SCORES </w:t>
      </w:r>
      <w:r w:rsidR="004C498F" w:rsidRPr="003C72E6">
        <w:rPr>
          <w:rFonts w:cstheme="minorHAnsi"/>
          <w:b/>
          <w:bCs/>
        </w:rPr>
        <w:t>WHEN</w:t>
      </w:r>
      <w:r w:rsidR="002B2116" w:rsidRPr="003C72E6">
        <w:rPr>
          <w:rFonts w:cstheme="minorHAnsi"/>
          <w:b/>
          <w:bCs/>
        </w:rPr>
        <w:t xml:space="preserve"> MORE THAN ONE SET OF SPECIFICATIONS </w:t>
      </w:r>
    </w:p>
    <w:p w14:paraId="2AE9B1AD" w14:textId="77777777" w:rsidR="00567D12" w:rsidRPr="0086464B" w:rsidRDefault="00567D12" w:rsidP="00567D12">
      <w:pPr>
        <w:spacing w:after="0" w:line="240" w:lineRule="auto"/>
        <w:rPr>
          <w:rFonts w:cstheme="minorHAnsi"/>
          <w:b/>
          <w:bCs/>
        </w:rPr>
      </w:pPr>
      <w:r w:rsidRPr="003C72E6">
        <w:rPr>
          <w:rFonts w:cstheme="minorHAnsi"/>
          <w:b/>
          <w:bCs/>
          <w:i/>
        </w:rPr>
        <w:t xml:space="preserve">If only one set of specifications, this section can be </w:t>
      </w:r>
      <w:r w:rsidR="00BE592D" w:rsidRPr="003C72E6">
        <w:rPr>
          <w:rFonts w:cstheme="minorHAnsi"/>
          <w:b/>
          <w:bCs/>
          <w:i/>
        </w:rPr>
        <w:t>skipped.</w:t>
      </w:r>
    </w:p>
    <w:p w14:paraId="2AE9B1AE" w14:textId="77777777" w:rsidR="00567D12" w:rsidRPr="00A25024" w:rsidRDefault="00567D12" w:rsidP="00DB3627">
      <w:pPr>
        <w:autoSpaceDE w:val="0"/>
        <w:autoSpaceDN w:val="0"/>
        <w:adjustRightInd w:val="0"/>
        <w:spacing w:after="0" w:line="240" w:lineRule="auto"/>
        <w:rPr>
          <w:rFonts w:cstheme="minorHAnsi"/>
          <w:b/>
          <w:bCs/>
        </w:rPr>
      </w:pPr>
    </w:p>
    <w:p w14:paraId="2AE9B1A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AE9B1B0" w14:textId="77777777" w:rsidR="000F06B5" w:rsidRPr="00A25024" w:rsidRDefault="000F06B5" w:rsidP="00DB3627">
      <w:pPr>
        <w:autoSpaceDE w:val="0"/>
        <w:autoSpaceDN w:val="0"/>
        <w:adjustRightInd w:val="0"/>
        <w:spacing w:after="0" w:line="240" w:lineRule="auto"/>
        <w:rPr>
          <w:rFonts w:cstheme="minorHAnsi"/>
          <w:bCs/>
        </w:rPr>
      </w:pPr>
    </w:p>
    <w:p w14:paraId="25668007" w14:textId="77777777" w:rsidR="008027BA"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5B694670" w14:textId="77777777" w:rsidR="008027BA" w:rsidRDefault="008027BA" w:rsidP="00DB3627">
      <w:pPr>
        <w:autoSpaceDE w:val="0"/>
        <w:autoSpaceDN w:val="0"/>
        <w:adjustRightInd w:val="0"/>
        <w:spacing w:after="0" w:line="240" w:lineRule="auto"/>
        <w:rPr>
          <w:rFonts w:cstheme="minorHAnsi"/>
          <w:bCs/>
        </w:rPr>
      </w:pPr>
    </w:p>
    <w:p w14:paraId="0C0B62F2" w14:textId="77777777" w:rsidR="008027BA" w:rsidRPr="00E42F69"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E42F69">
        <w:rPr>
          <w:rFonts w:cstheme="minorHAnsi"/>
          <w:bCs/>
        </w:rPr>
        <w:t>N/A</w:t>
      </w:r>
    </w:p>
    <w:p w14:paraId="2AE9B1B1" w14:textId="02A07557" w:rsidR="000F06B5" w:rsidRPr="009D3882" w:rsidRDefault="000F06B5" w:rsidP="00DB3627">
      <w:pPr>
        <w:autoSpaceDE w:val="0"/>
        <w:autoSpaceDN w:val="0"/>
        <w:adjustRightInd w:val="0"/>
        <w:spacing w:after="0" w:line="240" w:lineRule="auto"/>
        <w:rPr>
          <w:rFonts w:cstheme="minorHAnsi"/>
          <w:bCs/>
          <w:sz w:val="14"/>
        </w:rPr>
      </w:pPr>
    </w:p>
    <w:p w14:paraId="2AE9B1B3" w14:textId="1B3E801B"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47C55816" w14:textId="4D30655A" w:rsid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E42F69">
        <w:rPr>
          <w:rFonts w:cstheme="minorHAnsi"/>
          <w:bCs/>
        </w:rPr>
        <w:t>N/A</w:t>
      </w:r>
    </w:p>
    <w:p w14:paraId="798B8ED6" w14:textId="77777777" w:rsidR="008027BA" w:rsidRDefault="008027BA" w:rsidP="00E1508F">
      <w:pPr>
        <w:autoSpaceDE w:val="0"/>
        <w:autoSpaceDN w:val="0"/>
        <w:adjustRightInd w:val="0"/>
        <w:spacing w:after="0" w:line="240" w:lineRule="auto"/>
        <w:rPr>
          <w:rFonts w:cstheme="minorHAnsi"/>
          <w:bCs/>
        </w:rPr>
      </w:pPr>
    </w:p>
    <w:p w14:paraId="2AE9B1B5" w14:textId="05CDC30E"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6DC7C34" w14:textId="77777777" w:rsidR="008027BA" w:rsidRPr="00E42F69"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E42F69">
        <w:rPr>
          <w:rFonts w:cstheme="minorHAnsi"/>
          <w:bCs/>
        </w:rPr>
        <w:t>N/A</w:t>
      </w:r>
    </w:p>
    <w:p w14:paraId="2AE9B1B6" w14:textId="432F08D5" w:rsidR="008F7E67" w:rsidRDefault="008F7E67" w:rsidP="008F7E67">
      <w:pPr>
        <w:spacing w:after="0" w:line="240" w:lineRule="auto"/>
        <w:rPr>
          <w:rFonts w:cstheme="minorHAnsi"/>
          <w:b/>
          <w:bCs/>
        </w:rPr>
      </w:pPr>
      <w:r>
        <w:rPr>
          <w:rFonts w:cstheme="minorHAnsi"/>
          <w:b/>
          <w:bCs/>
        </w:rPr>
        <w:t>_____________________________________</w:t>
      </w:r>
    </w:p>
    <w:p w14:paraId="2AE9B1B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AE9B1B8" w14:textId="77777777" w:rsidR="008F7E67" w:rsidRDefault="008F7E67" w:rsidP="008F7E67">
      <w:pPr>
        <w:autoSpaceDE w:val="0"/>
        <w:autoSpaceDN w:val="0"/>
        <w:adjustRightInd w:val="0"/>
        <w:spacing w:after="0" w:line="240" w:lineRule="auto"/>
        <w:rPr>
          <w:rFonts w:cstheme="minorHAnsi"/>
          <w:bCs/>
        </w:rPr>
      </w:pPr>
    </w:p>
    <w:p w14:paraId="7C0FE68E" w14:textId="160FE0C6" w:rsidR="0012474E" w:rsidRDefault="008F7E67" w:rsidP="008027BA">
      <w:pPr>
        <w:spacing w:line="240" w:lineRule="auto"/>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8027BA">
        <w:rPr>
          <w:rFonts w:cstheme="minorHAnsi"/>
          <w:bCs/>
        </w:rPr>
        <w:t>)</w:t>
      </w:r>
    </w:p>
    <w:p w14:paraId="63B2B5F7" w14:textId="3050C05B" w:rsidR="008027BA" w:rsidRPr="00E85A92" w:rsidRDefault="00E85A92"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color w:val="FF0000"/>
        </w:rPr>
      </w:pPr>
      <w:r w:rsidRPr="00E85A92">
        <w:rPr>
          <w:rFonts w:cstheme="minorHAnsi"/>
          <w:bCs/>
          <w:color w:val="FF0000"/>
        </w:rPr>
        <w:lastRenderedPageBreak/>
        <w:t xml:space="preserve">Our measures are calculated with claims data; because submission and completion of claims is tied to </w:t>
      </w:r>
      <w:bookmarkStart w:id="14" w:name="_GoBack"/>
      <w:r w:rsidRPr="00E85A92">
        <w:rPr>
          <w:rFonts w:cstheme="minorHAnsi"/>
          <w:bCs/>
          <w:color w:val="FF0000"/>
        </w:rPr>
        <w:t xml:space="preserve">hospital reimbursement, missing data is rare. Consequently, we do not perform any formal missing data </w:t>
      </w:r>
      <w:bookmarkEnd w:id="14"/>
      <w:r w:rsidRPr="00E85A92">
        <w:rPr>
          <w:rFonts w:cstheme="minorHAnsi"/>
          <w:bCs/>
          <w:color w:val="FF0000"/>
        </w:rPr>
        <w:t>analyses.</w:t>
      </w:r>
    </w:p>
    <w:p w14:paraId="2AE9B1BA"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6380BC3A" w14:textId="50A62760" w:rsidR="0012474E" w:rsidRDefault="008F7E67" w:rsidP="008027BA">
      <w:pPr>
        <w:spacing w:line="240" w:lineRule="auto"/>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w:t>
      </w:r>
      <w:r w:rsidR="000F5AF2">
        <w:rPr>
          <w:rFonts w:cstheme="minorHAnsi"/>
          <w:bCs/>
          <w:i/>
        </w:rPr>
        <w:t xml:space="preserve"> </w:t>
      </w:r>
      <w:r w:rsidR="00145D4F" w:rsidRPr="00FC5DE1">
        <w:rPr>
          <w:rFonts w:cstheme="minorHAnsi"/>
          <w:bCs/>
          <w:i/>
        </w:rPr>
        <w:t>for handling missing data that were considered and pros and cons of each</w:t>
      </w:r>
      <w:r w:rsidR="008027BA">
        <w:rPr>
          <w:rFonts w:cstheme="minorHAnsi"/>
          <w:bCs/>
        </w:rPr>
        <w:t>)</w:t>
      </w:r>
    </w:p>
    <w:p w14:paraId="79CC014D" w14:textId="214D1D9B" w:rsidR="008027BA" w:rsidRPr="008027BA"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E42F69">
        <w:rPr>
          <w:rFonts w:cstheme="minorHAnsi"/>
          <w:bCs/>
        </w:rPr>
        <w:t>N/A</w:t>
      </w:r>
    </w:p>
    <w:p w14:paraId="68C02633" w14:textId="77777777" w:rsidR="008027BA" w:rsidRDefault="008027BA" w:rsidP="008027BA">
      <w:pPr>
        <w:autoSpaceDE w:val="0"/>
        <w:autoSpaceDN w:val="0"/>
        <w:adjustRightInd w:val="0"/>
        <w:spacing w:after="0" w:line="240" w:lineRule="auto"/>
        <w:rPr>
          <w:rFonts w:cstheme="minorHAnsi"/>
          <w:b/>
          <w:bCs/>
        </w:rPr>
      </w:pPr>
    </w:p>
    <w:p w14:paraId="2AE9B1BD" w14:textId="4E247C44" w:rsidR="008B604D" w:rsidRDefault="008F7E67" w:rsidP="008027BA">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AE9B1BE" w14:textId="18AF5D20" w:rsidR="00BA053B" w:rsidRDefault="00BA053B">
      <w:pPr>
        <w:autoSpaceDE w:val="0"/>
        <w:autoSpaceDN w:val="0"/>
        <w:adjustRightInd w:val="0"/>
        <w:spacing w:after="0" w:line="240" w:lineRule="auto"/>
        <w:rPr>
          <w:rFonts w:cstheme="minorHAnsi"/>
          <w:bCs/>
        </w:rPr>
      </w:pPr>
    </w:p>
    <w:p w14:paraId="5E9020C4" w14:textId="77777777" w:rsidR="008027BA" w:rsidRPr="00E42F69" w:rsidRDefault="008027BA" w:rsidP="008027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E42F69">
        <w:rPr>
          <w:rFonts w:cstheme="minorHAnsi"/>
          <w:bCs/>
        </w:rPr>
        <w:t>N/A</w:t>
      </w:r>
    </w:p>
    <w:p w14:paraId="1A944BB3" w14:textId="77777777" w:rsidR="0012474E" w:rsidRPr="005560E7" w:rsidRDefault="0012474E">
      <w:pPr>
        <w:autoSpaceDE w:val="0"/>
        <w:autoSpaceDN w:val="0"/>
        <w:adjustRightInd w:val="0"/>
        <w:spacing w:after="0" w:line="240" w:lineRule="auto"/>
        <w:rPr>
          <w:rFonts w:cstheme="minorHAnsi"/>
          <w:bCs/>
        </w:rPr>
      </w:pPr>
    </w:p>
    <w:sectPr w:rsidR="0012474E" w:rsidRPr="005560E7" w:rsidSect="00850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6E6A9" w14:textId="77777777" w:rsidR="005778FA" w:rsidRDefault="005778FA" w:rsidP="005C73CA">
      <w:pPr>
        <w:spacing w:after="0" w:line="240" w:lineRule="auto"/>
      </w:pPr>
      <w:r>
        <w:separator/>
      </w:r>
    </w:p>
  </w:endnote>
  <w:endnote w:type="continuationSeparator" w:id="0">
    <w:p w14:paraId="7AAD0B41" w14:textId="77777777" w:rsidR="005778FA" w:rsidRDefault="005778FA" w:rsidP="005C73CA">
      <w:pPr>
        <w:spacing w:after="0" w:line="240" w:lineRule="auto"/>
      </w:pPr>
      <w:r>
        <w:continuationSeparator/>
      </w:r>
    </w:p>
  </w:endnote>
  <w:endnote w:type="continuationNotice" w:id="1">
    <w:p w14:paraId="174ED425" w14:textId="77777777" w:rsidR="005778FA" w:rsidRDefault="0057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B1C4" w14:textId="319D6828" w:rsidR="008729DE" w:rsidRDefault="008729DE">
    <w:pPr>
      <w:pStyle w:val="Footer"/>
    </w:pPr>
    <w:r>
      <w:t>Version 8/25/2017</w:t>
    </w:r>
    <w:r>
      <w:ptab w:relativeTo="margin" w:alignment="right" w:leader="none"/>
    </w:r>
    <w:r>
      <w:fldChar w:fldCharType="begin"/>
    </w:r>
    <w:r>
      <w:instrText xml:space="preserve"> PAGE   \* MERGEFORMAT </w:instrText>
    </w:r>
    <w:r>
      <w:fldChar w:fldCharType="separate"/>
    </w:r>
    <w:r w:rsidR="00E85A92">
      <w:rPr>
        <w:noProof/>
      </w:rPr>
      <w:t>47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D4E6B" w14:textId="77777777" w:rsidR="005778FA" w:rsidRDefault="005778FA" w:rsidP="005C73CA">
      <w:pPr>
        <w:spacing w:after="0" w:line="240" w:lineRule="auto"/>
      </w:pPr>
      <w:r>
        <w:separator/>
      </w:r>
    </w:p>
  </w:footnote>
  <w:footnote w:type="continuationSeparator" w:id="0">
    <w:p w14:paraId="5C2C2FB8" w14:textId="77777777" w:rsidR="005778FA" w:rsidRDefault="005778FA" w:rsidP="005C73CA">
      <w:pPr>
        <w:spacing w:after="0" w:line="240" w:lineRule="auto"/>
      </w:pPr>
      <w:r>
        <w:continuationSeparator/>
      </w:r>
    </w:p>
  </w:footnote>
  <w:footnote w:type="continuationNotice" w:id="1">
    <w:p w14:paraId="06A1357E" w14:textId="77777777" w:rsidR="005778FA" w:rsidRDefault="005778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B1C3" w14:textId="77777777" w:rsidR="008729DE" w:rsidRPr="00105D8B" w:rsidRDefault="008729DE"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57CB3"/>
    <w:multiLevelType w:val="hybridMultilevel"/>
    <w:tmpl w:val="8496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5E1981"/>
    <w:multiLevelType w:val="hybridMultilevel"/>
    <w:tmpl w:val="B23AC8BA"/>
    <w:lvl w:ilvl="0" w:tplc="37F4D41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8"/>
  </w:num>
  <w:num w:numId="11">
    <w:abstractNumId w:val="13"/>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29"/>
  </w:num>
  <w:num w:numId="27">
    <w:abstractNumId w:val="0"/>
  </w:num>
  <w:num w:numId="28">
    <w:abstractNumId w:val="10"/>
  </w:num>
  <w:num w:numId="29">
    <w:abstractNumId w:val="18"/>
  </w:num>
  <w:num w:numId="30">
    <w:abstractNumId w:val="2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4B4"/>
    <w:rsid w:val="00001D73"/>
    <w:rsid w:val="00001D96"/>
    <w:rsid w:val="00003469"/>
    <w:rsid w:val="00004A88"/>
    <w:rsid w:val="00005C29"/>
    <w:rsid w:val="0000736B"/>
    <w:rsid w:val="0001094F"/>
    <w:rsid w:val="00011B90"/>
    <w:rsid w:val="00021170"/>
    <w:rsid w:val="0002128B"/>
    <w:rsid w:val="00024DFD"/>
    <w:rsid w:val="00027AB8"/>
    <w:rsid w:val="000309DD"/>
    <w:rsid w:val="00031414"/>
    <w:rsid w:val="00033038"/>
    <w:rsid w:val="00033D63"/>
    <w:rsid w:val="000342FA"/>
    <w:rsid w:val="0003436F"/>
    <w:rsid w:val="00040E1C"/>
    <w:rsid w:val="000414E8"/>
    <w:rsid w:val="000432EC"/>
    <w:rsid w:val="0004551E"/>
    <w:rsid w:val="0004593A"/>
    <w:rsid w:val="000464FA"/>
    <w:rsid w:val="00050A3E"/>
    <w:rsid w:val="00052A6F"/>
    <w:rsid w:val="00053BD7"/>
    <w:rsid w:val="00053F02"/>
    <w:rsid w:val="00055F29"/>
    <w:rsid w:val="0005612B"/>
    <w:rsid w:val="000574AB"/>
    <w:rsid w:val="0006147A"/>
    <w:rsid w:val="0006234F"/>
    <w:rsid w:val="00066472"/>
    <w:rsid w:val="00076C82"/>
    <w:rsid w:val="000775F8"/>
    <w:rsid w:val="000805DE"/>
    <w:rsid w:val="00080CF7"/>
    <w:rsid w:val="00084C83"/>
    <w:rsid w:val="00084E1A"/>
    <w:rsid w:val="000851B2"/>
    <w:rsid w:val="00085BBC"/>
    <w:rsid w:val="00086C26"/>
    <w:rsid w:val="00087689"/>
    <w:rsid w:val="0009000A"/>
    <w:rsid w:val="00090E94"/>
    <w:rsid w:val="00092566"/>
    <w:rsid w:val="000968F8"/>
    <w:rsid w:val="00096A8B"/>
    <w:rsid w:val="00097012"/>
    <w:rsid w:val="000979EB"/>
    <w:rsid w:val="000A0467"/>
    <w:rsid w:val="000A1106"/>
    <w:rsid w:val="000A1357"/>
    <w:rsid w:val="000A4994"/>
    <w:rsid w:val="000A5541"/>
    <w:rsid w:val="000A6057"/>
    <w:rsid w:val="000B01E6"/>
    <w:rsid w:val="000B032A"/>
    <w:rsid w:val="000B2DF7"/>
    <w:rsid w:val="000B2ED5"/>
    <w:rsid w:val="000B3880"/>
    <w:rsid w:val="000B4E6F"/>
    <w:rsid w:val="000B6BA7"/>
    <w:rsid w:val="000B7D57"/>
    <w:rsid w:val="000C0FF8"/>
    <w:rsid w:val="000C12EE"/>
    <w:rsid w:val="000C2083"/>
    <w:rsid w:val="000C3C0C"/>
    <w:rsid w:val="000C3C72"/>
    <w:rsid w:val="000C770F"/>
    <w:rsid w:val="000D04D9"/>
    <w:rsid w:val="000D2722"/>
    <w:rsid w:val="000D2725"/>
    <w:rsid w:val="000D2C66"/>
    <w:rsid w:val="000D2FCC"/>
    <w:rsid w:val="000D3D1B"/>
    <w:rsid w:val="000D5D82"/>
    <w:rsid w:val="000D7948"/>
    <w:rsid w:val="000D7C84"/>
    <w:rsid w:val="000E4E13"/>
    <w:rsid w:val="000E78F6"/>
    <w:rsid w:val="000F034A"/>
    <w:rsid w:val="000F06B5"/>
    <w:rsid w:val="000F3633"/>
    <w:rsid w:val="000F39E9"/>
    <w:rsid w:val="000F5AF2"/>
    <w:rsid w:val="000F6D6D"/>
    <w:rsid w:val="00103378"/>
    <w:rsid w:val="00104B45"/>
    <w:rsid w:val="00105D8B"/>
    <w:rsid w:val="001069D1"/>
    <w:rsid w:val="00107335"/>
    <w:rsid w:val="001129C4"/>
    <w:rsid w:val="0011342F"/>
    <w:rsid w:val="00114741"/>
    <w:rsid w:val="00115DEC"/>
    <w:rsid w:val="001202E9"/>
    <w:rsid w:val="00120541"/>
    <w:rsid w:val="00122055"/>
    <w:rsid w:val="00123A3D"/>
    <w:rsid w:val="0012454F"/>
    <w:rsid w:val="0012474E"/>
    <w:rsid w:val="00125273"/>
    <w:rsid w:val="0012575E"/>
    <w:rsid w:val="00127C06"/>
    <w:rsid w:val="00127F1C"/>
    <w:rsid w:val="001342D2"/>
    <w:rsid w:val="00134690"/>
    <w:rsid w:val="00135428"/>
    <w:rsid w:val="00135972"/>
    <w:rsid w:val="0013669B"/>
    <w:rsid w:val="00136B11"/>
    <w:rsid w:val="0013762B"/>
    <w:rsid w:val="00143A4D"/>
    <w:rsid w:val="00145149"/>
    <w:rsid w:val="00145D4F"/>
    <w:rsid w:val="001462CC"/>
    <w:rsid w:val="0014773C"/>
    <w:rsid w:val="00150465"/>
    <w:rsid w:val="00150D69"/>
    <w:rsid w:val="00153B81"/>
    <w:rsid w:val="001544C6"/>
    <w:rsid w:val="0015451D"/>
    <w:rsid w:val="0016304C"/>
    <w:rsid w:val="0017472A"/>
    <w:rsid w:val="0017696D"/>
    <w:rsid w:val="001803FB"/>
    <w:rsid w:val="001848FC"/>
    <w:rsid w:val="0018742E"/>
    <w:rsid w:val="00193F21"/>
    <w:rsid w:val="001969C5"/>
    <w:rsid w:val="001A6CDD"/>
    <w:rsid w:val="001B0D10"/>
    <w:rsid w:val="001B4FCB"/>
    <w:rsid w:val="001B555C"/>
    <w:rsid w:val="001B74DA"/>
    <w:rsid w:val="001C12EE"/>
    <w:rsid w:val="001C2366"/>
    <w:rsid w:val="001C7B02"/>
    <w:rsid w:val="001D5F2A"/>
    <w:rsid w:val="001D6C42"/>
    <w:rsid w:val="001E018B"/>
    <w:rsid w:val="001E273E"/>
    <w:rsid w:val="001E30AC"/>
    <w:rsid w:val="001E4DD4"/>
    <w:rsid w:val="001E63F4"/>
    <w:rsid w:val="001E65D2"/>
    <w:rsid w:val="001E69DC"/>
    <w:rsid w:val="001E7AE0"/>
    <w:rsid w:val="001F0571"/>
    <w:rsid w:val="001F169D"/>
    <w:rsid w:val="001F1DA1"/>
    <w:rsid w:val="001F2CD0"/>
    <w:rsid w:val="001F390E"/>
    <w:rsid w:val="001F6F93"/>
    <w:rsid w:val="001F7A20"/>
    <w:rsid w:val="0020167E"/>
    <w:rsid w:val="00202731"/>
    <w:rsid w:val="002049E8"/>
    <w:rsid w:val="00206E72"/>
    <w:rsid w:val="00207675"/>
    <w:rsid w:val="0021054A"/>
    <w:rsid w:val="0021195A"/>
    <w:rsid w:val="00213383"/>
    <w:rsid w:val="00220250"/>
    <w:rsid w:val="00222444"/>
    <w:rsid w:val="0022691B"/>
    <w:rsid w:val="00232163"/>
    <w:rsid w:val="00234668"/>
    <w:rsid w:val="002376F8"/>
    <w:rsid w:val="002408E4"/>
    <w:rsid w:val="00241591"/>
    <w:rsid w:val="002451EB"/>
    <w:rsid w:val="00250B4F"/>
    <w:rsid w:val="0025246F"/>
    <w:rsid w:val="0025250C"/>
    <w:rsid w:val="0025473D"/>
    <w:rsid w:val="0025561C"/>
    <w:rsid w:val="0025762F"/>
    <w:rsid w:val="00266875"/>
    <w:rsid w:val="00272BEF"/>
    <w:rsid w:val="00274BA1"/>
    <w:rsid w:val="002802CA"/>
    <w:rsid w:val="0028114D"/>
    <w:rsid w:val="00286BFF"/>
    <w:rsid w:val="00287649"/>
    <w:rsid w:val="00287E84"/>
    <w:rsid w:val="00290107"/>
    <w:rsid w:val="0029281F"/>
    <w:rsid w:val="0029286C"/>
    <w:rsid w:val="0029300E"/>
    <w:rsid w:val="00293E80"/>
    <w:rsid w:val="002A35E0"/>
    <w:rsid w:val="002A653D"/>
    <w:rsid w:val="002A6580"/>
    <w:rsid w:val="002B0C3A"/>
    <w:rsid w:val="002B1E55"/>
    <w:rsid w:val="002B2116"/>
    <w:rsid w:val="002B2D9B"/>
    <w:rsid w:val="002B5016"/>
    <w:rsid w:val="002B72C4"/>
    <w:rsid w:val="002B742C"/>
    <w:rsid w:val="002B7865"/>
    <w:rsid w:val="002B7F4D"/>
    <w:rsid w:val="002C285C"/>
    <w:rsid w:val="002C3C0B"/>
    <w:rsid w:val="002C4B0F"/>
    <w:rsid w:val="002C68A4"/>
    <w:rsid w:val="002C6D82"/>
    <w:rsid w:val="002C7BE4"/>
    <w:rsid w:val="002D2F90"/>
    <w:rsid w:val="002D417D"/>
    <w:rsid w:val="002D4770"/>
    <w:rsid w:val="002D55D5"/>
    <w:rsid w:val="002D5E5D"/>
    <w:rsid w:val="002D62E1"/>
    <w:rsid w:val="002E0227"/>
    <w:rsid w:val="002E27BA"/>
    <w:rsid w:val="002E78A0"/>
    <w:rsid w:val="002F22CF"/>
    <w:rsid w:val="002F2687"/>
    <w:rsid w:val="002F2AE5"/>
    <w:rsid w:val="002F2EF9"/>
    <w:rsid w:val="002F48E1"/>
    <w:rsid w:val="002F4F3B"/>
    <w:rsid w:val="00304C86"/>
    <w:rsid w:val="003059EB"/>
    <w:rsid w:val="00307B45"/>
    <w:rsid w:val="003116AC"/>
    <w:rsid w:val="00314E76"/>
    <w:rsid w:val="00315567"/>
    <w:rsid w:val="003224E1"/>
    <w:rsid w:val="003255F6"/>
    <w:rsid w:val="00330144"/>
    <w:rsid w:val="00332075"/>
    <w:rsid w:val="00332AA0"/>
    <w:rsid w:val="0033795B"/>
    <w:rsid w:val="00340DDF"/>
    <w:rsid w:val="00344149"/>
    <w:rsid w:val="00345CBA"/>
    <w:rsid w:val="003460C3"/>
    <w:rsid w:val="00346245"/>
    <w:rsid w:val="00351535"/>
    <w:rsid w:val="00351676"/>
    <w:rsid w:val="00354CA4"/>
    <w:rsid w:val="00355048"/>
    <w:rsid w:val="00355AF9"/>
    <w:rsid w:val="00356267"/>
    <w:rsid w:val="003565A2"/>
    <w:rsid w:val="00356BAD"/>
    <w:rsid w:val="003605B4"/>
    <w:rsid w:val="003627AC"/>
    <w:rsid w:val="00366914"/>
    <w:rsid w:val="00372FE3"/>
    <w:rsid w:val="003755CB"/>
    <w:rsid w:val="003758C7"/>
    <w:rsid w:val="003771FA"/>
    <w:rsid w:val="00383F85"/>
    <w:rsid w:val="00387BA1"/>
    <w:rsid w:val="003924CC"/>
    <w:rsid w:val="00393AF3"/>
    <w:rsid w:val="00393FC0"/>
    <w:rsid w:val="00394211"/>
    <w:rsid w:val="00397837"/>
    <w:rsid w:val="003A306C"/>
    <w:rsid w:val="003A6460"/>
    <w:rsid w:val="003A69D0"/>
    <w:rsid w:val="003A7DE7"/>
    <w:rsid w:val="003B1006"/>
    <w:rsid w:val="003C297F"/>
    <w:rsid w:val="003C2C96"/>
    <w:rsid w:val="003C4C06"/>
    <w:rsid w:val="003C5E6D"/>
    <w:rsid w:val="003C5F11"/>
    <w:rsid w:val="003C72E6"/>
    <w:rsid w:val="003D02E6"/>
    <w:rsid w:val="003D294B"/>
    <w:rsid w:val="003D4DCA"/>
    <w:rsid w:val="003D6401"/>
    <w:rsid w:val="003D6ACD"/>
    <w:rsid w:val="003E1863"/>
    <w:rsid w:val="003E3CBF"/>
    <w:rsid w:val="003E7676"/>
    <w:rsid w:val="003F4530"/>
    <w:rsid w:val="003F6179"/>
    <w:rsid w:val="004011E1"/>
    <w:rsid w:val="00407231"/>
    <w:rsid w:val="00410DC3"/>
    <w:rsid w:val="00411282"/>
    <w:rsid w:val="0041303F"/>
    <w:rsid w:val="00414A7B"/>
    <w:rsid w:val="0041606D"/>
    <w:rsid w:val="00416962"/>
    <w:rsid w:val="004205F9"/>
    <w:rsid w:val="004206A8"/>
    <w:rsid w:val="00422FC7"/>
    <w:rsid w:val="004272C2"/>
    <w:rsid w:val="004348CC"/>
    <w:rsid w:val="00436C38"/>
    <w:rsid w:val="00436D87"/>
    <w:rsid w:val="00437D54"/>
    <w:rsid w:val="00440D68"/>
    <w:rsid w:val="00441049"/>
    <w:rsid w:val="00443635"/>
    <w:rsid w:val="00450C58"/>
    <w:rsid w:val="00456E74"/>
    <w:rsid w:val="00461642"/>
    <w:rsid w:val="004658FF"/>
    <w:rsid w:val="00466298"/>
    <w:rsid w:val="004722EE"/>
    <w:rsid w:val="00474546"/>
    <w:rsid w:val="004745DE"/>
    <w:rsid w:val="00474ED7"/>
    <w:rsid w:val="004756E1"/>
    <w:rsid w:val="0048008A"/>
    <w:rsid w:val="00481A0D"/>
    <w:rsid w:val="0048255B"/>
    <w:rsid w:val="00483E94"/>
    <w:rsid w:val="00484120"/>
    <w:rsid w:val="00484B8E"/>
    <w:rsid w:val="004853A0"/>
    <w:rsid w:val="00485C54"/>
    <w:rsid w:val="00495856"/>
    <w:rsid w:val="00495F70"/>
    <w:rsid w:val="00496B5F"/>
    <w:rsid w:val="004A25B3"/>
    <w:rsid w:val="004A2E10"/>
    <w:rsid w:val="004A69EA"/>
    <w:rsid w:val="004B0129"/>
    <w:rsid w:val="004B0AF6"/>
    <w:rsid w:val="004B17FF"/>
    <w:rsid w:val="004B1BA0"/>
    <w:rsid w:val="004B4D89"/>
    <w:rsid w:val="004B6CEE"/>
    <w:rsid w:val="004C09A5"/>
    <w:rsid w:val="004C0AFB"/>
    <w:rsid w:val="004C2443"/>
    <w:rsid w:val="004C41D4"/>
    <w:rsid w:val="004C44C6"/>
    <w:rsid w:val="004C498F"/>
    <w:rsid w:val="004C5D29"/>
    <w:rsid w:val="004C681A"/>
    <w:rsid w:val="004D1F7E"/>
    <w:rsid w:val="004D23E5"/>
    <w:rsid w:val="004D4D8A"/>
    <w:rsid w:val="004D5DF7"/>
    <w:rsid w:val="004E02CF"/>
    <w:rsid w:val="004E7E10"/>
    <w:rsid w:val="004F3065"/>
    <w:rsid w:val="004F5754"/>
    <w:rsid w:val="004F68EE"/>
    <w:rsid w:val="004F6CDF"/>
    <w:rsid w:val="0050349E"/>
    <w:rsid w:val="005038D5"/>
    <w:rsid w:val="00507472"/>
    <w:rsid w:val="00511BA4"/>
    <w:rsid w:val="005149E7"/>
    <w:rsid w:val="00516E8A"/>
    <w:rsid w:val="005177B9"/>
    <w:rsid w:val="00521132"/>
    <w:rsid w:val="005232D6"/>
    <w:rsid w:val="005260F5"/>
    <w:rsid w:val="00527C57"/>
    <w:rsid w:val="005333CC"/>
    <w:rsid w:val="005363F1"/>
    <w:rsid w:val="00537C1B"/>
    <w:rsid w:val="005406C6"/>
    <w:rsid w:val="005414A3"/>
    <w:rsid w:val="00546B21"/>
    <w:rsid w:val="0055007C"/>
    <w:rsid w:val="00551ED4"/>
    <w:rsid w:val="00554922"/>
    <w:rsid w:val="00555282"/>
    <w:rsid w:val="005560E7"/>
    <w:rsid w:val="00556353"/>
    <w:rsid w:val="005612CC"/>
    <w:rsid w:val="00561C34"/>
    <w:rsid w:val="00563029"/>
    <w:rsid w:val="00567D12"/>
    <w:rsid w:val="00571F1A"/>
    <w:rsid w:val="00575EE3"/>
    <w:rsid w:val="00576062"/>
    <w:rsid w:val="005778FA"/>
    <w:rsid w:val="00582340"/>
    <w:rsid w:val="005850B5"/>
    <w:rsid w:val="00586D8D"/>
    <w:rsid w:val="00587C34"/>
    <w:rsid w:val="0059559F"/>
    <w:rsid w:val="005A49FF"/>
    <w:rsid w:val="005A7634"/>
    <w:rsid w:val="005B0815"/>
    <w:rsid w:val="005B6894"/>
    <w:rsid w:val="005B6F04"/>
    <w:rsid w:val="005B7DC1"/>
    <w:rsid w:val="005C0447"/>
    <w:rsid w:val="005C1AA1"/>
    <w:rsid w:val="005C34F5"/>
    <w:rsid w:val="005C624F"/>
    <w:rsid w:val="005C739F"/>
    <w:rsid w:val="005C73CA"/>
    <w:rsid w:val="005C74B6"/>
    <w:rsid w:val="005D0632"/>
    <w:rsid w:val="005D4768"/>
    <w:rsid w:val="005D5277"/>
    <w:rsid w:val="005D5B85"/>
    <w:rsid w:val="005E2CAB"/>
    <w:rsid w:val="005E365E"/>
    <w:rsid w:val="005E429E"/>
    <w:rsid w:val="005E4506"/>
    <w:rsid w:val="005F0083"/>
    <w:rsid w:val="005F29E3"/>
    <w:rsid w:val="005F3BBA"/>
    <w:rsid w:val="00601ED4"/>
    <w:rsid w:val="00602CFE"/>
    <w:rsid w:val="00602E4C"/>
    <w:rsid w:val="006030BC"/>
    <w:rsid w:val="00605AED"/>
    <w:rsid w:val="00605F36"/>
    <w:rsid w:val="006122E8"/>
    <w:rsid w:val="00612866"/>
    <w:rsid w:val="00613180"/>
    <w:rsid w:val="00616EB5"/>
    <w:rsid w:val="00621B3F"/>
    <w:rsid w:val="00621CFD"/>
    <w:rsid w:val="00624C35"/>
    <w:rsid w:val="00624CEB"/>
    <w:rsid w:val="006269D4"/>
    <w:rsid w:val="00627794"/>
    <w:rsid w:val="006305E1"/>
    <w:rsid w:val="006324AE"/>
    <w:rsid w:val="006327D8"/>
    <w:rsid w:val="0064070A"/>
    <w:rsid w:val="00642EF1"/>
    <w:rsid w:val="00643A01"/>
    <w:rsid w:val="00643E54"/>
    <w:rsid w:val="00644C46"/>
    <w:rsid w:val="00654DE9"/>
    <w:rsid w:val="006574D2"/>
    <w:rsid w:val="00662BC1"/>
    <w:rsid w:val="00663563"/>
    <w:rsid w:val="006659E0"/>
    <w:rsid w:val="006676D4"/>
    <w:rsid w:val="006705E6"/>
    <w:rsid w:val="00670CB6"/>
    <w:rsid w:val="00675535"/>
    <w:rsid w:val="00680EC0"/>
    <w:rsid w:val="00681359"/>
    <w:rsid w:val="00681633"/>
    <w:rsid w:val="00682370"/>
    <w:rsid w:val="006849F2"/>
    <w:rsid w:val="00685E74"/>
    <w:rsid w:val="0069157C"/>
    <w:rsid w:val="00694852"/>
    <w:rsid w:val="00696262"/>
    <w:rsid w:val="006A096D"/>
    <w:rsid w:val="006A6AC3"/>
    <w:rsid w:val="006B04C8"/>
    <w:rsid w:val="006B090C"/>
    <w:rsid w:val="006C117E"/>
    <w:rsid w:val="006C2C26"/>
    <w:rsid w:val="006C3024"/>
    <w:rsid w:val="006C3A4F"/>
    <w:rsid w:val="006C4662"/>
    <w:rsid w:val="006C4845"/>
    <w:rsid w:val="006D6BC1"/>
    <w:rsid w:val="006E00CB"/>
    <w:rsid w:val="006E2BFC"/>
    <w:rsid w:val="006E377C"/>
    <w:rsid w:val="006E5C57"/>
    <w:rsid w:val="006E758B"/>
    <w:rsid w:val="006F12F3"/>
    <w:rsid w:val="006F22A5"/>
    <w:rsid w:val="006F5D4F"/>
    <w:rsid w:val="006F728D"/>
    <w:rsid w:val="00702C73"/>
    <w:rsid w:val="007036FE"/>
    <w:rsid w:val="0070466E"/>
    <w:rsid w:val="00712166"/>
    <w:rsid w:val="00713394"/>
    <w:rsid w:val="0072000B"/>
    <w:rsid w:val="007227D5"/>
    <w:rsid w:val="00722D19"/>
    <w:rsid w:val="00724048"/>
    <w:rsid w:val="007240DC"/>
    <w:rsid w:val="00724677"/>
    <w:rsid w:val="00724EFB"/>
    <w:rsid w:val="007251AA"/>
    <w:rsid w:val="00725AC2"/>
    <w:rsid w:val="00731566"/>
    <w:rsid w:val="00731E1B"/>
    <w:rsid w:val="00732880"/>
    <w:rsid w:val="00736A19"/>
    <w:rsid w:val="007404A5"/>
    <w:rsid w:val="007416B9"/>
    <w:rsid w:val="007422FD"/>
    <w:rsid w:val="00743E46"/>
    <w:rsid w:val="007451A3"/>
    <w:rsid w:val="00746078"/>
    <w:rsid w:val="00747C45"/>
    <w:rsid w:val="007508E4"/>
    <w:rsid w:val="00750F92"/>
    <w:rsid w:val="00756220"/>
    <w:rsid w:val="00756FDB"/>
    <w:rsid w:val="007629B6"/>
    <w:rsid w:val="00765A88"/>
    <w:rsid w:val="007665BF"/>
    <w:rsid w:val="007701CD"/>
    <w:rsid w:val="00771B2A"/>
    <w:rsid w:val="00773192"/>
    <w:rsid w:val="00773808"/>
    <w:rsid w:val="00773896"/>
    <w:rsid w:val="00773DDB"/>
    <w:rsid w:val="00773E89"/>
    <w:rsid w:val="007757CE"/>
    <w:rsid w:val="00775800"/>
    <w:rsid w:val="00780F68"/>
    <w:rsid w:val="00786DB5"/>
    <w:rsid w:val="0079180E"/>
    <w:rsid w:val="007950CC"/>
    <w:rsid w:val="0079538B"/>
    <w:rsid w:val="007961B8"/>
    <w:rsid w:val="007974F0"/>
    <w:rsid w:val="00797624"/>
    <w:rsid w:val="007A17E5"/>
    <w:rsid w:val="007A18C9"/>
    <w:rsid w:val="007A4828"/>
    <w:rsid w:val="007A56E9"/>
    <w:rsid w:val="007A6647"/>
    <w:rsid w:val="007B01B8"/>
    <w:rsid w:val="007B093D"/>
    <w:rsid w:val="007B0C02"/>
    <w:rsid w:val="007B2069"/>
    <w:rsid w:val="007B2C15"/>
    <w:rsid w:val="007B6D57"/>
    <w:rsid w:val="007C04A1"/>
    <w:rsid w:val="007C21FA"/>
    <w:rsid w:val="007C5D35"/>
    <w:rsid w:val="007D13B1"/>
    <w:rsid w:val="007D4351"/>
    <w:rsid w:val="007D487D"/>
    <w:rsid w:val="007D50A7"/>
    <w:rsid w:val="007D6198"/>
    <w:rsid w:val="007D7019"/>
    <w:rsid w:val="007E18DB"/>
    <w:rsid w:val="007E1CE8"/>
    <w:rsid w:val="007E6F1C"/>
    <w:rsid w:val="007E7D5B"/>
    <w:rsid w:val="007F0CF2"/>
    <w:rsid w:val="007F5AC7"/>
    <w:rsid w:val="007F78A4"/>
    <w:rsid w:val="008027BA"/>
    <w:rsid w:val="008034C0"/>
    <w:rsid w:val="00803E84"/>
    <w:rsid w:val="00804C69"/>
    <w:rsid w:val="0080711D"/>
    <w:rsid w:val="0081068C"/>
    <w:rsid w:val="00814C8A"/>
    <w:rsid w:val="00814DAA"/>
    <w:rsid w:val="008155CD"/>
    <w:rsid w:val="00820D7A"/>
    <w:rsid w:val="00824A8A"/>
    <w:rsid w:val="00831693"/>
    <w:rsid w:val="00831ABF"/>
    <w:rsid w:val="00831BB6"/>
    <w:rsid w:val="00833325"/>
    <w:rsid w:val="00833918"/>
    <w:rsid w:val="00835F20"/>
    <w:rsid w:val="00837D83"/>
    <w:rsid w:val="00840A41"/>
    <w:rsid w:val="008425D3"/>
    <w:rsid w:val="00842F3C"/>
    <w:rsid w:val="00844F4A"/>
    <w:rsid w:val="008505D1"/>
    <w:rsid w:val="00854E88"/>
    <w:rsid w:val="00855158"/>
    <w:rsid w:val="00857EE8"/>
    <w:rsid w:val="0086238E"/>
    <w:rsid w:val="0086464B"/>
    <w:rsid w:val="008647FC"/>
    <w:rsid w:val="00864CA8"/>
    <w:rsid w:val="00865E2D"/>
    <w:rsid w:val="00866629"/>
    <w:rsid w:val="0087052B"/>
    <w:rsid w:val="00870E6C"/>
    <w:rsid w:val="008729DE"/>
    <w:rsid w:val="00872E84"/>
    <w:rsid w:val="00875846"/>
    <w:rsid w:val="0088040B"/>
    <w:rsid w:val="00884486"/>
    <w:rsid w:val="008871A9"/>
    <w:rsid w:val="008916BA"/>
    <w:rsid w:val="00892176"/>
    <w:rsid w:val="0089263A"/>
    <w:rsid w:val="008954B4"/>
    <w:rsid w:val="008A0611"/>
    <w:rsid w:val="008A1DB7"/>
    <w:rsid w:val="008A285C"/>
    <w:rsid w:val="008A2C50"/>
    <w:rsid w:val="008A3FEC"/>
    <w:rsid w:val="008A403A"/>
    <w:rsid w:val="008A4C13"/>
    <w:rsid w:val="008B0793"/>
    <w:rsid w:val="008B0823"/>
    <w:rsid w:val="008B17E1"/>
    <w:rsid w:val="008B1A2E"/>
    <w:rsid w:val="008B604D"/>
    <w:rsid w:val="008C4888"/>
    <w:rsid w:val="008C54A9"/>
    <w:rsid w:val="008C552A"/>
    <w:rsid w:val="008C6732"/>
    <w:rsid w:val="008E3DAC"/>
    <w:rsid w:val="008E4E8B"/>
    <w:rsid w:val="008E5156"/>
    <w:rsid w:val="008E67C3"/>
    <w:rsid w:val="008E6C9D"/>
    <w:rsid w:val="008F1751"/>
    <w:rsid w:val="008F2CDA"/>
    <w:rsid w:val="008F39F0"/>
    <w:rsid w:val="008F4691"/>
    <w:rsid w:val="008F589F"/>
    <w:rsid w:val="008F76A9"/>
    <w:rsid w:val="008F7E67"/>
    <w:rsid w:val="00900DBF"/>
    <w:rsid w:val="00901C66"/>
    <w:rsid w:val="009048B9"/>
    <w:rsid w:val="00904CD6"/>
    <w:rsid w:val="00904E91"/>
    <w:rsid w:val="009057CC"/>
    <w:rsid w:val="00906C03"/>
    <w:rsid w:val="00910296"/>
    <w:rsid w:val="00912D1D"/>
    <w:rsid w:val="00914B13"/>
    <w:rsid w:val="00915736"/>
    <w:rsid w:val="00915886"/>
    <w:rsid w:val="00916755"/>
    <w:rsid w:val="009214DC"/>
    <w:rsid w:val="009232B7"/>
    <w:rsid w:val="00924476"/>
    <w:rsid w:val="0092555D"/>
    <w:rsid w:val="00927027"/>
    <w:rsid w:val="0093050A"/>
    <w:rsid w:val="00933533"/>
    <w:rsid w:val="009344BA"/>
    <w:rsid w:val="0093627C"/>
    <w:rsid w:val="00946E61"/>
    <w:rsid w:val="00947F78"/>
    <w:rsid w:val="0095237F"/>
    <w:rsid w:val="00953234"/>
    <w:rsid w:val="00956B12"/>
    <w:rsid w:val="0096035A"/>
    <w:rsid w:val="00961A16"/>
    <w:rsid w:val="00961EAF"/>
    <w:rsid w:val="0096278F"/>
    <w:rsid w:val="00967599"/>
    <w:rsid w:val="00971A87"/>
    <w:rsid w:val="009720DC"/>
    <w:rsid w:val="009726E1"/>
    <w:rsid w:val="00972A04"/>
    <w:rsid w:val="00972F44"/>
    <w:rsid w:val="00977591"/>
    <w:rsid w:val="00980E75"/>
    <w:rsid w:val="00984EA7"/>
    <w:rsid w:val="00985EC9"/>
    <w:rsid w:val="00986E7B"/>
    <w:rsid w:val="00987323"/>
    <w:rsid w:val="00987B93"/>
    <w:rsid w:val="00994BE0"/>
    <w:rsid w:val="009A25B1"/>
    <w:rsid w:val="009A4608"/>
    <w:rsid w:val="009A481B"/>
    <w:rsid w:val="009A60B1"/>
    <w:rsid w:val="009A697C"/>
    <w:rsid w:val="009A6A57"/>
    <w:rsid w:val="009A70BF"/>
    <w:rsid w:val="009B0EFB"/>
    <w:rsid w:val="009B1A15"/>
    <w:rsid w:val="009B33C0"/>
    <w:rsid w:val="009B35AD"/>
    <w:rsid w:val="009B5795"/>
    <w:rsid w:val="009B69C8"/>
    <w:rsid w:val="009C02EE"/>
    <w:rsid w:val="009C0852"/>
    <w:rsid w:val="009C0D60"/>
    <w:rsid w:val="009C0E67"/>
    <w:rsid w:val="009C13CA"/>
    <w:rsid w:val="009C32C6"/>
    <w:rsid w:val="009C5FDB"/>
    <w:rsid w:val="009C665F"/>
    <w:rsid w:val="009D3882"/>
    <w:rsid w:val="009D787C"/>
    <w:rsid w:val="009D7E38"/>
    <w:rsid w:val="009E095B"/>
    <w:rsid w:val="009E1846"/>
    <w:rsid w:val="009E68A7"/>
    <w:rsid w:val="009E78FF"/>
    <w:rsid w:val="009F0FC8"/>
    <w:rsid w:val="00A01494"/>
    <w:rsid w:val="00A02CBE"/>
    <w:rsid w:val="00A03C2E"/>
    <w:rsid w:val="00A06BDA"/>
    <w:rsid w:val="00A12B11"/>
    <w:rsid w:val="00A14C1F"/>
    <w:rsid w:val="00A21F41"/>
    <w:rsid w:val="00A22FA9"/>
    <w:rsid w:val="00A25024"/>
    <w:rsid w:val="00A26DA7"/>
    <w:rsid w:val="00A31DA2"/>
    <w:rsid w:val="00A329B7"/>
    <w:rsid w:val="00A33755"/>
    <w:rsid w:val="00A3513B"/>
    <w:rsid w:val="00A35F8F"/>
    <w:rsid w:val="00A400E3"/>
    <w:rsid w:val="00A41214"/>
    <w:rsid w:val="00A41377"/>
    <w:rsid w:val="00A4263D"/>
    <w:rsid w:val="00A453E2"/>
    <w:rsid w:val="00A509B8"/>
    <w:rsid w:val="00A52AB9"/>
    <w:rsid w:val="00A53652"/>
    <w:rsid w:val="00A55ED1"/>
    <w:rsid w:val="00A56D8C"/>
    <w:rsid w:val="00A57881"/>
    <w:rsid w:val="00A6210B"/>
    <w:rsid w:val="00A62146"/>
    <w:rsid w:val="00A6263E"/>
    <w:rsid w:val="00A63A8D"/>
    <w:rsid w:val="00A63F8A"/>
    <w:rsid w:val="00A64EBF"/>
    <w:rsid w:val="00A6522A"/>
    <w:rsid w:val="00A67038"/>
    <w:rsid w:val="00A674BC"/>
    <w:rsid w:val="00A67526"/>
    <w:rsid w:val="00A71200"/>
    <w:rsid w:val="00A7323A"/>
    <w:rsid w:val="00A768D7"/>
    <w:rsid w:val="00A77147"/>
    <w:rsid w:val="00A772BC"/>
    <w:rsid w:val="00A831B4"/>
    <w:rsid w:val="00A832DC"/>
    <w:rsid w:val="00A837F4"/>
    <w:rsid w:val="00A841AB"/>
    <w:rsid w:val="00A857AB"/>
    <w:rsid w:val="00A927CD"/>
    <w:rsid w:val="00A9660E"/>
    <w:rsid w:val="00A97798"/>
    <w:rsid w:val="00AA5213"/>
    <w:rsid w:val="00AA65A6"/>
    <w:rsid w:val="00AB1DD3"/>
    <w:rsid w:val="00AB34D0"/>
    <w:rsid w:val="00AB4C29"/>
    <w:rsid w:val="00AC1D8E"/>
    <w:rsid w:val="00AC48FA"/>
    <w:rsid w:val="00AD0240"/>
    <w:rsid w:val="00AD3E48"/>
    <w:rsid w:val="00AD4137"/>
    <w:rsid w:val="00AD4F74"/>
    <w:rsid w:val="00AD6F59"/>
    <w:rsid w:val="00AD78EF"/>
    <w:rsid w:val="00AE3976"/>
    <w:rsid w:val="00AE73FB"/>
    <w:rsid w:val="00AF1F5D"/>
    <w:rsid w:val="00AF476F"/>
    <w:rsid w:val="00AF690D"/>
    <w:rsid w:val="00AF694F"/>
    <w:rsid w:val="00B037BA"/>
    <w:rsid w:val="00B1207E"/>
    <w:rsid w:val="00B15339"/>
    <w:rsid w:val="00B16100"/>
    <w:rsid w:val="00B163A1"/>
    <w:rsid w:val="00B20139"/>
    <w:rsid w:val="00B218DA"/>
    <w:rsid w:val="00B32431"/>
    <w:rsid w:val="00B3292D"/>
    <w:rsid w:val="00B3296C"/>
    <w:rsid w:val="00B32A95"/>
    <w:rsid w:val="00B342FA"/>
    <w:rsid w:val="00B36169"/>
    <w:rsid w:val="00B47F4C"/>
    <w:rsid w:val="00B53E8B"/>
    <w:rsid w:val="00B5481F"/>
    <w:rsid w:val="00B56F17"/>
    <w:rsid w:val="00B62549"/>
    <w:rsid w:val="00B774D2"/>
    <w:rsid w:val="00B8015A"/>
    <w:rsid w:val="00B82A57"/>
    <w:rsid w:val="00B82F19"/>
    <w:rsid w:val="00B830DC"/>
    <w:rsid w:val="00B86072"/>
    <w:rsid w:val="00B9154C"/>
    <w:rsid w:val="00B917BA"/>
    <w:rsid w:val="00B96B4D"/>
    <w:rsid w:val="00BA053B"/>
    <w:rsid w:val="00BA15E0"/>
    <w:rsid w:val="00BA2C95"/>
    <w:rsid w:val="00BA511E"/>
    <w:rsid w:val="00BA657F"/>
    <w:rsid w:val="00BB0469"/>
    <w:rsid w:val="00BB1678"/>
    <w:rsid w:val="00BB2DCE"/>
    <w:rsid w:val="00BB35AE"/>
    <w:rsid w:val="00BB5E5E"/>
    <w:rsid w:val="00BB6D2E"/>
    <w:rsid w:val="00BC03A1"/>
    <w:rsid w:val="00BC0D25"/>
    <w:rsid w:val="00BC2FEE"/>
    <w:rsid w:val="00BC4962"/>
    <w:rsid w:val="00BC7CB0"/>
    <w:rsid w:val="00BD0D24"/>
    <w:rsid w:val="00BD2505"/>
    <w:rsid w:val="00BD2FA1"/>
    <w:rsid w:val="00BD378E"/>
    <w:rsid w:val="00BD3C4C"/>
    <w:rsid w:val="00BE12D4"/>
    <w:rsid w:val="00BE2FAF"/>
    <w:rsid w:val="00BE38C6"/>
    <w:rsid w:val="00BE592D"/>
    <w:rsid w:val="00BF5153"/>
    <w:rsid w:val="00BF52B0"/>
    <w:rsid w:val="00BF536D"/>
    <w:rsid w:val="00BF5697"/>
    <w:rsid w:val="00BF5B8D"/>
    <w:rsid w:val="00C0079F"/>
    <w:rsid w:val="00C03296"/>
    <w:rsid w:val="00C07A85"/>
    <w:rsid w:val="00C11C3B"/>
    <w:rsid w:val="00C14CCC"/>
    <w:rsid w:val="00C168E9"/>
    <w:rsid w:val="00C1695E"/>
    <w:rsid w:val="00C2256F"/>
    <w:rsid w:val="00C22C1C"/>
    <w:rsid w:val="00C23C1B"/>
    <w:rsid w:val="00C32809"/>
    <w:rsid w:val="00C33F2E"/>
    <w:rsid w:val="00C34665"/>
    <w:rsid w:val="00C34936"/>
    <w:rsid w:val="00C34A84"/>
    <w:rsid w:val="00C34C14"/>
    <w:rsid w:val="00C355B9"/>
    <w:rsid w:val="00C3655F"/>
    <w:rsid w:val="00C3746E"/>
    <w:rsid w:val="00C37EF1"/>
    <w:rsid w:val="00C401C4"/>
    <w:rsid w:val="00C40B2C"/>
    <w:rsid w:val="00C41680"/>
    <w:rsid w:val="00C4349A"/>
    <w:rsid w:val="00C45D68"/>
    <w:rsid w:val="00C47659"/>
    <w:rsid w:val="00C5594B"/>
    <w:rsid w:val="00C568E9"/>
    <w:rsid w:val="00C56B7D"/>
    <w:rsid w:val="00C60A25"/>
    <w:rsid w:val="00C63ADC"/>
    <w:rsid w:val="00C63EFB"/>
    <w:rsid w:val="00C65C34"/>
    <w:rsid w:val="00C70A5A"/>
    <w:rsid w:val="00C765C5"/>
    <w:rsid w:val="00C813E1"/>
    <w:rsid w:val="00C82479"/>
    <w:rsid w:val="00C867F0"/>
    <w:rsid w:val="00C90472"/>
    <w:rsid w:val="00C926A1"/>
    <w:rsid w:val="00C939DA"/>
    <w:rsid w:val="00C967C0"/>
    <w:rsid w:val="00CA06D8"/>
    <w:rsid w:val="00CA1FB0"/>
    <w:rsid w:val="00CA3359"/>
    <w:rsid w:val="00CA345A"/>
    <w:rsid w:val="00CB13B7"/>
    <w:rsid w:val="00CB49FF"/>
    <w:rsid w:val="00CB5DCE"/>
    <w:rsid w:val="00CB6A79"/>
    <w:rsid w:val="00CB7812"/>
    <w:rsid w:val="00CC02CF"/>
    <w:rsid w:val="00CC086A"/>
    <w:rsid w:val="00CC117C"/>
    <w:rsid w:val="00CC5128"/>
    <w:rsid w:val="00CC6F0E"/>
    <w:rsid w:val="00CD0F66"/>
    <w:rsid w:val="00CD364B"/>
    <w:rsid w:val="00CE23B8"/>
    <w:rsid w:val="00CE284E"/>
    <w:rsid w:val="00CE4A0A"/>
    <w:rsid w:val="00CE50D7"/>
    <w:rsid w:val="00CE7774"/>
    <w:rsid w:val="00CF0126"/>
    <w:rsid w:val="00CF4CBE"/>
    <w:rsid w:val="00D00344"/>
    <w:rsid w:val="00D02596"/>
    <w:rsid w:val="00D06D8A"/>
    <w:rsid w:val="00D1516B"/>
    <w:rsid w:val="00D152F6"/>
    <w:rsid w:val="00D1754D"/>
    <w:rsid w:val="00D20CCA"/>
    <w:rsid w:val="00D2223F"/>
    <w:rsid w:val="00D23682"/>
    <w:rsid w:val="00D25991"/>
    <w:rsid w:val="00D268C0"/>
    <w:rsid w:val="00D26D5E"/>
    <w:rsid w:val="00D274A4"/>
    <w:rsid w:val="00D277AF"/>
    <w:rsid w:val="00D3084B"/>
    <w:rsid w:val="00D31163"/>
    <w:rsid w:val="00D320B1"/>
    <w:rsid w:val="00D325EC"/>
    <w:rsid w:val="00D33281"/>
    <w:rsid w:val="00D33AFD"/>
    <w:rsid w:val="00D34B4B"/>
    <w:rsid w:val="00D36489"/>
    <w:rsid w:val="00D42195"/>
    <w:rsid w:val="00D42E28"/>
    <w:rsid w:val="00D464BF"/>
    <w:rsid w:val="00D50704"/>
    <w:rsid w:val="00D54388"/>
    <w:rsid w:val="00D5672F"/>
    <w:rsid w:val="00D56858"/>
    <w:rsid w:val="00D5760A"/>
    <w:rsid w:val="00D61410"/>
    <w:rsid w:val="00D67887"/>
    <w:rsid w:val="00D8181D"/>
    <w:rsid w:val="00D82D21"/>
    <w:rsid w:val="00D84ACB"/>
    <w:rsid w:val="00D8737D"/>
    <w:rsid w:val="00D93B32"/>
    <w:rsid w:val="00D968D8"/>
    <w:rsid w:val="00D97F6D"/>
    <w:rsid w:val="00DA36E7"/>
    <w:rsid w:val="00DA4A1E"/>
    <w:rsid w:val="00DA563D"/>
    <w:rsid w:val="00DA7277"/>
    <w:rsid w:val="00DB0387"/>
    <w:rsid w:val="00DB0B0B"/>
    <w:rsid w:val="00DB3627"/>
    <w:rsid w:val="00DB3F49"/>
    <w:rsid w:val="00DB4724"/>
    <w:rsid w:val="00DB4CD4"/>
    <w:rsid w:val="00DB6944"/>
    <w:rsid w:val="00DC0AB1"/>
    <w:rsid w:val="00DC4746"/>
    <w:rsid w:val="00DD37BC"/>
    <w:rsid w:val="00DD414D"/>
    <w:rsid w:val="00DD57EA"/>
    <w:rsid w:val="00DD5F11"/>
    <w:rsid w:val="00DD64FD"/>
    <w:rsid w:val="00DE2A4C"/>
    <w:rsid w:val="00DE5484"/>
    <w:rsid w:val="00DE7149"/>
    <w:rsid w:val="00DF72DF"/>
    <w:rsid w:val="00E0235C"/>
    <w:rsid w:val="00E0314C"/>
    <w:rsid w:val="00E04AA2"/>
    <w:rsid w:val="00E05E9E"/>
    <w:rsid w:val="00E141A5"/>
    <w:rsid w:val="00E1508F"/>
    <w:rsid w:val="00E172CA"/>
    <w:rsid w:val="00E20E0F"/>
    <w:rsid w:val="00E24936"/>
    <w:rsid w:val="00E261DF"/>
    <w:rsid w:val="00E27240"/>
    <w:rsid w:val="00E27EDD"/>
    <w:rsid w:val="00E30584"/>
    <w:rsid w:val="00E310B9"/>
    <w:rsid w:val="00E33C5B"/>
    <w:rsid w:val="00E349F2"/>
    <w:rsid w:val="00E34A06"/>
    <w:rsid w:val="00E37E1B"/>
    <w:rsid w:val="00E5023B"/>
    <w:rsid w:val="00E55AB9"/>
    <w:rsid w:val="00E562C0"/>
    <w:rsid w:val="00E57FAF"/>
    <w:rsid w:val="00E672D6"/>
    <w:rsid w:val="00E76024"/>
    <w:rsid w:val="00E819F1"/>
    <w:rsid w:val="00E856A2"/>
    <w:rsid w:val="00E85A92"/>
    <w:rsid w:val="00E95EA0"/>
    <w:rsid w:val="00E967AD"/>
    <w:rsid w:val="00E96884"/>
    <w:rsid w:val="00EA22A4"/>
    <w:rsid w:val="00EA349E"/>
    <w:rsid w:val="00EA5435"/>
    <w:rsid w:val="00EA5F47"/>
    <w:rsid w:val="00EA7E22"/>
    <w:rsid w:val="00EB217C"/>
    <w:rsid w:val="00EB455E"/>
    <w:rsid w:val="00EB514F"/>
    <w:rsid w:val="00EB5DCA"/>
    <w:rsid w:val="00EC305E"/>
    <w:rsid w:val="00EC452F"/>
    <w:rsid w:val="00EC5625"/>
    <w:rsid w:val="00EC79DE"/>
    <w:rsid w:val="00EC7E11"/>
    <w:rsid w:val="00ED0A10"/>
    <w:rsid w:val="00ED3666"/>
    <w:rsid w:val="00ED4ACE"/>
    <w:rsid w:val="00EE4D35"/>
    <w:rsid w:val="00EF2DA7"/>
    <w:rsid w:val="00EF48FE"/>
    <w:rsid w:val="00F0113F"/>
    <w:rsid w:val="00F0294F"/>
    <w:rsid w:val="00F03803"/>
    <w:rsid w:val="00F0777E"/>
    <w:rsid w:val="00F115F3"/>
    <w:rsid w:val="00F11739"/>
    <w:rsid w:val="00F1412B"/>
    <w:rsid w:val="00F15BFA"/>
    <w:rsid w:val="00F20841"/>
    <w:rsid w:val="00F24CEB"/>
    <w:rsid w:val="00F25342"/>
    <w:rsid w:val="00F25E95"/>
    <w:rsid w:val="00F34FAB"/>
    <w:rsid w:val="00F402FA"/>
    <w:rsid w:val="00F435AA"/>
    <w:rsid w:val="00F5738A"/>
    <w:rsid w:val="00F60F76"/>
    <w:rsid w:val="00F612D4"/>
    <w:rsid w:val="00F65472"/>
    <w:rsid w:val="00F66F9C"/>
    <w:rsid w:val="00F70AE1"/>
    <w:rsid w:val="00F77F1D"/>
    <w:rsid w:val="00F81B57"/>
    <w:rsid w:val="00F83038"/>
    <w:rsid w:val="00F84835"/>
    <w:rsid w:val="00F85A63"/>
    <w:rsid w:val="00F87201"/>
    <w:rsid w:val="00F874FA"/>
    <w:rsid w:val="00F87CCB"/>
    <w:rsid w:val="00F91B90"/>
    <w:rsid w:val="00F91F9A"/>
    <w:rsid w:val="00F97069"/>
    <w:rsid w:val="00F97482"/>
    <w:rsid w:val="00FA48C7"/>
    <w:rsid w:val="00FA568B"/>
    <w:rsid w:val="00FA76D0"/>
    <w:rsid w:val="00FB51FB"/>
    <w:rsid w:val="00FB73C1"/>
    <w:rsid w:val="00FC0720"/>
    <w:rsid w:val="00FC2E8E"/>
    <w:rsid w:val="00FC3357"/>
    <w:rsid w:val="00FC7427"/>
    <w:rsid w:val="00FD1637"/>
    <w:rsid w:val="00FE503E"/>
    <w:rsid w:val="00FE7397"/>
    <w:rsid w:val="00FF0665"/>
    <w:rsid w:val="00FF1D5B"/>
    <w:rsid w:val="00FF23C5"/>
    <w:rsid w:val="00FF5E4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AE9B0F1"/>
  <w15:docId w15:val="{2B88A9EB-DFE0-4C44-BCB3-E4203139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3896"/>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CA1FB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39"/>
    <w:rsid w:val="00833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3">
    <w:name w:val="CM23"/>
    <w:basedOn w:val="Normal"/>
    <w:next w:val="Normal"/>
    <w:uiPriority w:val="99"/>
    <w:rsid w:val="00773896"/>
    <w:pPr>
      <w:widowControl w:val="0"/>
      <w:autoSpaceDE w:val="0"/>
      <w:autoSpaceDN w:val="0"/>
      <w:adjustRightInd w:val="0"/>
      <w:spacing w:before="120" w:after="0" w:line="240" w:lineRule="auto"/>
    </w:pPr>
    <w:rPr>
      <w:rFonts w:ascii="Trebuchet MS" w:eastAsia="Times New Roman" w:hAnsi="Trebuchet M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5518">
      <w:bodyDiv w:val="1"/>
      <w:marLeft w:val="0"/>
      <w:marRight w:val="0"/>
      <w:marTop w:val="0"/>
      <w:marBottom w:val="0"/>
      <w:divBdr>
        <w:top w:val="none" w:sz="0" w:space="0" w:color="auto"/>
        <w:left w:val="none" w:sz="0" w:space="0" w:color="auto"/>
        <w:bottom w:val="none" w:sz="0" w:space="0" w:color="auto"/>
        <w:right w:val="none" w:sz="0" w:space="0" w:color="auto"/>
      </w:divBdr>
    </w:div>
    <w:div w:id="156893354">
      <w:bodyDiv w:val="1"/>
      <w:marLeft w:val="0"/>
      <w:marRight w:val="0"/>
      <w:marTop w:val="0"/>
      <w:marBottom w:val="0"/>
      <w:divBdr>
        <w:top w:val="none" w:sz="0" w:space="0" w:color="auto"/>
        <w:left w:val="none" w:sz="0" w:space="0" w:color="auto"/>
        <w:bottom w:val="none" w:sz="0" w:space="0" w:color="auto"/>
        <w:right w:val="none" w:sz="0" w:space="0" w:color="auto"/>
      </w:divBdr>
    </w:div>
    <w:div w:id="202527448">
      <w:bodyDiv w:val="1"/>
      <w:marLeft w:val="0"/>
      <w:marRight w:val="0"/>
      <w:marTop w:val="0"/>
      <w:marBottom w:val="0"/>
      <w:divBdr>
        <w:top w:val="none" w:sz="0" w:space="0" w:color="auto"/>
        <w:left w:val="none" w:sz="0" w:space="0" w:color="auto"/>
        <w:bottom w:val="none" w:sz="0" w:space="0" w:color="auto"/>
        <w:right w:val="none" w:sz="0" w:space="0" w:color="auto"/>
      </w:divBdr>
    </w:div>
    <w:div w:id="303967772">
      <w:bodyDiv w:val="1"/>
      <w:marLeft w:val="0"/>
      <w:marRight w:val="0"/>
      <w:marTop w:val="0"/>
      <w:marBottom w:val="0"/>
      <w:divBdr>
        <w:top w:val="none" w:sz="0" w:space="0" w:color="auto"/>
        <w:left w:val="none" w:sz="0" w:space="0" w:color="auto"/>
        <w:bottom w:val="none" w:sz="0" w:space="0" w:color="auto"/>
        <w:right w:val="none" w:sz="0" w:space="0" w:color="auto"/>
      </w:divBdr>
    </w:div>
    <w:div w:id="325089657">
      <w:bodyDiv w:val="1"/>
      <w:marLeft w:val="0"/>
      <w:marRight w:val="0"/>
      <w:marTop w:val="0"/>
      <w:marBottom w:val="0"/>
      <w:divBdr>
        <w:top w:val="none" w:sz="0" w:space="0" w:color="auto"/>
        <w:left w:val="none" w:sz="0" w:space="0" w:color="auto"/>
        <w:bottom w:val="none" w:sz="0" w:space="0" w:color="auto"/>
        <w:right w:val="none" w:sz="0" w:space="0" w:color="auto"/>
      </w:divBdr>
    </w:div>
    <w:div w:id="474446998">
      <w:bodyDiv w:val="1"/>
      <w:marLeft w:val="0"/>
      <w:marRight w:val="0"/>
      <w:marTop w:val="0"/>
      <w:marBottom w:val="0"/>
      <w:divBdr>
        <w:top w:val="none" w:sz="0" w:space="0" w:color="auto"/>
        <w:left w:val="none" w:sz="0" w:space="0" w:color="auto"/>
        <w:bottom w:val="none" w:sz="0" w:space="0" w:color="auto"/>
        <w:right w:val="none" w:sz="0" w:space="0" w:color="auto"/>
      </w:divBdr>
    </w:div>
    <w:div w:id="49730539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71549161">
      <w:bodyDiv w:val="1"/>
      <w:marLeft w:val="0"/>
      <w:marRight w:val="0"/>
      <w:marTop w:val="0"/>
      <w:marBottom w:val="0"/>
      <w:divBdr>
        <w:top w:val="none" w:sz="0" w:space="0" w:color="auto"/>
        <w:left w:val="none" w:sz="0" w:space="0" w:color="auto"/>
        <w:bottom w:val="none" w:sz="0" w:space="0" w:color="auto"/>
        <w:right w:val="none" w:sz="0" w:space="0" w:color="auto"/>
      </w:divBdr>
    </w:div>
    <w:div w:id="589316608">
      <w:bodyDiv w:val="1"/>
      <w:marLeft w:val="0"/>
      <w:marRight w:val="0"/>
      <w:marTop w:val="0"/>
      <w:marBottom w:val="0"/>
      <w:divBdr>
        <w:top w:val="none" w:sz="0" w:space="0" w:color="auto"/>
        <w:left w:val="none" w:sz="0" w:space="0" w:color="auto"/>
        <w:bottom w:val="none" w:sz="0" w:space="0" w:color="auto"/>
        <w:right w:val="none" w:sz="0" w:space="0" w:color="auto"/>
      </w:divBdr>
    </w:div>
    <w:div w:id="747195690">
      <w:bodyDiv w:val="1"/>
      <w:marLeft w:val="0"/>
      <w:marRight w:val="0"/>
      <w:marTop w:val="0"/>
      <w:marBottom w:val="0"/>
      <w:divBdr>
        <w:top w:val="none" w:sz="0" w:space="0" w:color="auto"/>
        <w:left w:val="none" w:sz="0" w:space="0" w:color="auto"/>
        <w:bottom w:val="none" w:sz="0" w:space="0" w:color="auto"/>
        <w:right w:val="none" w:sz="0" w:space="0" w:color="auto"/>
      </w:divBdr>
    </w:div>
    <w:div w:id="804464896">
      <w:bodyDiv w:val="1"/>
      <w:marLeft w:val="0"/>
      <w:marRight w:val="0"/>
      <w:marTop w:val="0"/>
      <w:marBottom w:val="0"/>
      <w:divBdr>
        <w:top w:val="none" w:sz="0" w:space="0" w:color="auto"/>
        <w:left w:val="none" w:sz="0" w:space="0" w:color="auto"/>
        <w:bottom w:val="none" w:sz="0" w:space="0" w:color="auto"/>
        <w:right w:val="none" w:sz="0" w:space="0" w:color="auto"/>
      </w:divBdr>
    </w:div>
    <w:div w:id="836963950">
      <w:bodyDiv w:val="1"/>
      <w:marLeft w:val="0"/>
      <w:marRight w:val="0"/>
      <w:marTop w:val="0"/>
      <w:marBottom w:val="0"/>
      <w:divBdr>
        <w:top w:val="none" w:sz="0" w:space="0" w:color="auto"/>
        <w:left w:val="none" w:sz="0" w:space="0" w:color="auto"/>
        <w:bottom w:val="none" w:sz="0" w:space="0" w:color="auto"/>
        <w:right w:val="none" w:sz="0" w:space="0" w:color="auto"/>
      </w:divBdr>
    </w:div>
    <w:div w:id="853878432">
      <w:bodyDiv w:val="1"/>
      <w:marLeft w:val="0"/>
      <w:marRight w:val="0"/>
      <w:marTop w:val="0"/>
      <w:marBottom w:val="0"/>
      <w:divBdr>
        <w:top w:val="none" w:sz="0" w:space="0" w:color="auto"/>
        <w:left w:val="none" w:sz="0" w:space="0" w:color="auto"/>
        <w:bottom w:val="none" w:sz="0" w:space="0" w:color="auto"/>
        <w:right w:val="none" w:sz="0" w:space="0" w:color="auto"/>
      </w:divBdr>
    </w:div>
    <w:div w:id="892814073">
      <w:bodyDiv w:val="1"/>
      <w:marLeft w:val="0"/>
      <w:marRight w:val="0"/>
      <w:marTop w:val="0"/>
      <w:marBottom w:val="0"/>
      <w:divBdr>
        <w:top w:val="none" w:sz="0" w:space="0" w:color="auto"/>
        <w:left w:val="none" w:sz="0" w:space="0" w:color="auto"/>
        <w:bottom w:val="none" w:sz="0" w:space="0" w:color="auto"/>
        <w:right w:val="none" w:sz="0" w:space="0" w:color="auto"/>
      </w:divBdr>
    </w:div>
    <w:div w:id="938758787">
      <w:bodyDiv w:val="1"/>
      <w:marLeft w:val="0"/>
      <w:marRight w:val="0"/>
      <w:marTop w:val="0"/>
      <w:marBottom w:val="0"/>
      <w:divBdr>
        <w:top w:val="none" w:sz="0" w:space="0" w:color="auto"/>
        <w:left w:val="none" w:sz="0" w:space="0" w:color="auto"/>
        <w:bottom w:val="none" w:sz="0" w:space="0" w:color="auto"/>
        <w:right w:val="none" w:sz="0" w:space="0" w:color="auto"/>
      </w:divBdr>
    </w:div>
    <w:div w:id="984315625">
      <w:bodyDiv w:val="1"/>
      <w:marLeft w:val="0"/>
      <w:marRight w:val="0"/>
      <w:marTop w:val="0"/>
      <w:marBottom w:val="0"/>
      <w:divBdr>
        <w:top w:val="none" w:sz="0" w:space="0" w:color="auto"/>
        <w:left w:val="none" w:sz="0" w:space="0" w:color="auto"/>
        <w:bottom w:val="none" w:sz="0" w:space="0" w:color="auto"/>
        <w:right w:val="none" w:sz="0" w:space="0" w:color="auto"/>
      </w:divBdr>
    </w:div>
    <w:div w:id="1017779643">
      <w:bodyDiv w:val="1"/>
      <w:marLeft w:val="0"/>
      <w:marRight w:val="0"/>
      <w:marTop w:val="0"/>
      <w:marBottom w:val="0"/>
      <w:divBdr>
        <w:top w:val="none" w:sz="0" w:space="0" w:color="auto"/>
        <w:left w:val="none" w:sz="0" w:space="0" w:color="auto"/>
        <w:bottom w:val="none" w:sz="0" w:space="0" w:color="auto"/>
        <w:right w:val="none" w:sz="0" w:space="0" w:color="auto"/>
      </w:divBdr>
    </w:div>
    <w:div w:id="1030758921">
      <w:bodyDiv w:val="1"/>
      <w:marLeft w:val="0"/>
      <w:marRight w:val="0"/>
      <w:marTop w:val="0"/>
      <w:marBottom w:val="0"/>
      <w:divBdr>
        <w:top w:val="none" w:sz="0" w:space="0" w:color="auto"/>
        <w:left w:val="none" w:sz="0" w:space="0" w:color="auto"/>
        <w:bottom w:val="none" w:sz="0" w:space="0" w:color="auto"/>
        <w:right w:val="none" w:sz="0" w:space="0" w:color="auto"/>
      </w:divBdr>
    </w:div>
    <w:div w:id="1192960908">
      <w:bodyDiv w:val="1"/>
      <w:marLeft w:val="0"/>
      <w:marRight w:val="0"/>
      <w:marTop w:val="0"/>
      <w:marBottom w:val="0"/>
      <w:divBdr>
        <w:top w:val="none" w:sz="0" w:space="0" w:color="auto"/>
        <w:left w:val="none" w:sz="0" w:space="0" w:color="auto"/>
        <w:bottom w:val="none" w:sz="0" w:space="0" w:color="auto"/>
        <w:right w:val="none" w:sz="0" w:space="0" w:color="auto"/>
      </w:divBdr>
    </w:div>
    <w:div w:id="1203321215">
      <w:bodyDiv w:val="1"/>
      <w:marLeft w:val="0"/>
      <w:marRight w:val="0"/>
      <w:marTop w:val="0"/>
      <w:marBottom w:val="0"/>
      <w:divBdr>
        <w:top w:val="none" w:sz="0" w:space="0" w:color="auto"/>
        <w:left w:val="none" w:sz="0" w:space="0" w:color="auto"/>
        <w:bottom w:val="none" w:sz="0" w:space="0" w:color="auto"/>
        <w:right w:val="none" w:sz="0" w:space="0" w:color="auto"/>
      </w:divBdr>
    </w:div>
    <w:div w:id="120568148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08670981">
      <w:bodyDiv w:val="1"/>
      <w:marLeft w:val="0"/>
      <w:marRight w:val="0"/>
      <w:marTop w:val="0"/>
      <w:marBottom w:val="0"/>
      <w:divBdr>
        <w:top w:val="none" w:sz="0" w:space="0" w:color="auto"/>
        <w:left w:val="none" w:sz="0" w:space="0" w:color="auto"/>
        <w:bottom w:val="none" w:sz="0" w:space="0" w:color="auto"/>
        <w:right w:val="none" w:sz="0" w:space="0" w:color="auto"/>
      </w:divBdr>
    </w:div>
    <w:div w:id="1556237575">
      <w:bodyDiv w:val="1"/>
      <w:marLeft w:val="0"/>
      <w:marRight w:val="0"/>
      <w:marTop w:val="0"/>
      <w:marBottom w:val="0"/>
      <w:divBdr>
        <w:top w:val="none" w:sz="0" w:space="0" w:color="auto"/>
        <w:left w:val="none" w:sz="0" w:space="0" w:color="auto"/>
        <w:bottom w:val="none" w:sz="0" w:space="0" w:color="auto"/>
        <w:right w:val="none" w:sz="0" w:space="0" w:color="auto"/>
      </w:divBdr>
    </w:div>
    <w:div w:id="1648196346">
      <w:bodyDiv w:val="1"/>
      <w:marLeft w:val="0"/>
      <w:marRight w:val="0"/>
      <w:marTop w:val="0"/>
      <w:marBottom w:val="0"/>
      <w:divBdr>
        <w:top w:val="none" w:sz="0" w:space="0" w:color="auto"/>
        <w:left w:val="none" w:sz="0" w:space="0" w:color="auto"/>
        <w:bottom w:val="none" w:sz="0" w:space="0" w:color="auto"/>
        <w:right w:val="none" w:sz="0" w:space="0" w:color="auto"/>
      </w:divBdr>
    </w:div>
    <w:div w:id="1658339417">
      <w:bodyDiv w:val="1"/>
      <w:marLeft w:val="0"/>
      <w:marRight w:val="0"/>
      <w:marTop w:val="0"/>
      <w:marBottom w:val="0"/>
      <w:divBdr>
        <w:top w:val="none" w:sz="0" w:space="0" w:color="auto"/>
        <w:left w:val="none" w:sz="0" w:space="0" w:color="auto"/>
        <w:bottom w:val="none" w:sz="0" w:space="0" w:color="auto"/>
        <w:right w:val="none" w:sz="0" w:space="0" w:color="auto"/>
      </w:divBdr>
    </w:div>
    <w:div w:id="1661302448">
      <w:bodyDiv w:val="1"/>
      <w:marLeft w:val="0"/>
      <w:marRight w:val="0"/>
      <w:marTop w:val="0"/>
      <w:marBottom w:val="0"/>
      <w:divBdr>
        <w:top w:val="none" w:sz="0" w:space="0" w:color="auto"/>
        <w:left w:val="none" w:sz="0" w:space="0" w:color="auto"/>
        <w:bottom w:val="none" w:sz="0" w:space="0" w:color="auto"/>
        <w:right w:val="none" w:sz="0" w:space="0" w:color="auto"/>
      </w:divBdr>
    </w:div>
    <w:div w:id="1710490451">
      <w:bodyDiv w:val="1"/>
      <w:marLeft w:val="0"/>
      <w:marRight w:val="0"/>
      <w:marTop w:val="0"/>
      <w:marBottom w:val="0"/>
      <w:divBdr>
        <w:top w:val="none" w:sz="0" w:space="0" w:color="auto"/>
        <w:left w:val="none" w:sz="0" w:space="0" w:color="auto"/>
        <w:bottom w:val="none" w:sz="0" w:space="0" w:color="auto"/>
        <w:right w:val="none" w:sz="0" w:space="0" w:color="auto"/>
      </w:divBdr>
    </w:div>
    <w:div w:id="1717582808">
      <w:bodyDiv w:val="1"/>
      <w:marLeft w:val="0"/>
      <w:marRight w:val="0"/>
      <w:marTop w:val="0"/>
      <w:marBottom w:val="0"/>
      <w:divBdr>
        <w:top w:val="none" w:sz="0" w:space="0" w:color="auto"/>
        <w:left w:val="none" w:sz="0" w:space="0" w:color="auto"/>
        <w:bottom w:val="none" w:sz="0" w:space="0" w:color="auto"/>
        <w:right w:val="none" w:sz="0" w:space="0" w:color="auto"/>
      </w:divBdr>
    </w:div>
    <w:div w:id="1728993443">
      <w:bodyDiv w:val="1"/>
      <w:marLeft w:val="0"/>
      <w:marRight w:val="0"/>
      <w:marTop w:val="0"/>
      <w:marBottom w:val="0"/>
      <w:divBdr>
        <w:top w:val="none" w:sz="0" w:space="0" w:color="auto"/>
        <w:left w:val="none" w:sz="0" w:space="0" w:color="auto"/>
        <w:bottom w:val="none" w:sz="0" w:space="0" w:color="auto"/>
        <w:right w:val="none" w:sz="0" w:space="0" w:color="auto"/>
      </w:divBdr>
    </w:div>
    <w:div w:id="1776637641">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4175501">
      <w:bodyDiv w:val="1"/>
      <w:marLeft w:val="0"/>
      <w:marRight w:val="0"/>
      <w:marTop w:val="0"/>
      <w:marBottom w:val="0"/>
      <w:divBdr>
        <w:top w:val="none" w:sz="0" w:space="0" w:color="auto"/>
        <w:left w:val="none" w:sz="0" w:space="0" w:color="auto"/>
        <w:bottom w:val="none" w:sz="0" w:space="0" w:color="auto"/>
        <w:right w:val="none" w:sz="0" w:space="0" w:color="auto"/>
      </w:divBdr>
    </w:div>
    <w:div w:id="2004551898">
      <w:bodyDiv w:val="1"/>
      <w:marLeft w:val="0"/>
      <w:marRight w:val="0"/>
      <w:marTop w:val="0"/>
      <w:marBottom w:val="0"/>
      <w:divBdr>
        <w:top w:val="none" w:sz="0" w:space="0" w:color="auto"/>
        <w:left w:val="none" w:sz="0" w:space="0" w:color="auto"/>
        <w:bottom w:val="none" w:sz="0" w:space="0" w:color="auto"/>
        <w:right w:val="none" w:sz="0" w:space="0" w:color="auto"/>
      </w:divBdr>
    </w:div>
    <w:div w:id="2046983599">
      <w:bodyDiv w:val="1"/>
      <w:marLeft w:val="0"/>
      <w:marRight w:val="0"/>
      <w:marTop w:val="0"/>
      <w:marBottom w:val="0"/>
      <w:divBdr>
        <w:top w:val="none" w:sz="0" w:space="0" w:color="auto"/>
        <w:left w:val="none" w:sz="0" w:space="0" w:color="auto"/>
        <w:bottom w:val="none" w:sz="0" w:space="0" w:color="auto"/>
        <w:right w:val="none" w:sz="0" w:space="0" w:color="auto"/>
      </w:divBdr>
    </w:div>
    <w:div w:id="2092041900">
      <w:bodyDiv w:val="1"/>
      <w:marLeft w:val="0"/>
      <w:marRight w:val="0"/>
      <w:marTop w:val="0"/>
      <w:marBottom w:val="0"/>
      <w:divBdr>
        <w:top w:val="none" w:sz="0" w:space="0" w:color="auto"/>
        <w:left w:val="none" w:sz="0" w:space="0" w:color="auto"/>
        <w:bottom w:val="none" w:sz="0" w:space="0" w:color="auto"/>
        <w:right w:val="none" w:sz="0" w:space="0" w:color="auto"/>
      </w:divBdr>
    </w:div>
    <w:div w:id="212292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qualitynet.org/dcs/ContentServer?c=Page&amp;pagename=QnetPublic%2FPage%2FQnetTier4&amp;cid=1219069855841" TargetMode="External"/><Relationship Id="rId18" Type="http://schemas.openxmlformats.org/officeDocument/2006/relationships/hyperlink" Target="https://cahps.ahrq.gov/news-and-events/events/UGM12/CAHPS/AkamigboA.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hcup-us.ahrq.gov/toolssoftware/ccs10/ccs10.jsp" TargetMode="External"/><Relationship Id="rId25" Type="http://schemas.openxmlformats.org/officeDocument/2006/relationships/hyperlink" Target="https://www.cms.gov/Medicare/Medicare-Fee-for-Service-Payment/sharedsavingsprogram/Downloads/MSSP-QM-Benchmarks-2016.pdf" TargetMode="External"/><Relationship Id="rId2" Type="http://schemas.openxmlformats.org/officeDocument/2006/relationships/customXml" Target="../customXml/item2.xml"/><Relationship Id="rId16" Type="http://schemas.openxmlformats.org/officeDocument/2006/relationships/hyperlink" Target="http://www.jointcommission.org/accreditation/top_performers.aspx" TargetMode="External"/><Relationship Id="rId20" Type="http://schemas.openxmlformats.org/officeDocument/2006/relationships/image" Target="media/image2.png"/><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100tophospitals.com/Portals/2/assets/TOP%2015313%200315%20100%20Top%20Study_web.pdf" TargetMode="External"/><Relationship Id="rId23" Type="http://schemas.openxmlformats.org/officeDocument/2006/relationships/image" Target="media/image5.png"/><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ahpsonline.org/home.aspx%20" TargetMode="Externa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E2ED6D930D824771979AD46A567E979B"/>
        <w:category>
          <w:name w:val="General"/>
          <w:gallery w:val="placeholder"/>
        </w:category>
        <w:types>
          <w:type w:val="bbPlcHdr"/>
        </w:types>
        <w:behaviors>
          <w:behavior w:val="content"/>
        </w:behaviors>
        <w:guid w:val="{9ABF4E1D-8112-43F7-9B77-F5DFA14B9172}"/>
      </w:docPartPr>
      <w:docPartBody>
        <w:p w:rsidR="001F13F4" w:rsidRDefault="001F13F4" w:rsidP="001F13F4">
          <w:pPr>
            <w:pStyle w:val="E2ED6D930D824771979AD46A567E979B"/>
          </w:pPr>
          <w:r w:rsidRPr="00870134">
            <w:rPr>
              <w:rStyle w:val="PlaceholderText"/>
            </w:rPr>
            <w:t xml:space="preserve">Click here to enter </w:t>
          </w:r>
          <w:r>
            <w:rPr>
              <w:rStyle w:val="PlaceholderText"/>
            </w:rPr>
            <w:t>NQF number</w:t>
          </w:r>
        </w:p>
      </w:docPartBody>
    </w:docPart>
    <w:docPart>
      <w:docPartPr>
        <w:name w:val="625FC1E1A5D7443798E4B7021ED3DEDC"/>
        <w:category>
          <w:name w:val="General"/>
          <w:gallery w:val="placeholder"/>
        </w:category>
        <w:types>
          <w:type w:val="bbPlcHdr"/>
        </w:types>
        <w:behaviors>
          <w:behavior w:val="content"/>
        </w:behaviors>
        <w:guid w:val="{193239E4-3B53-45A2-BAAF-B89A7F4326D8}"/>
      </w:docPartPr>
      <w:docPartBody>
        <w:p w:rsidR="001F13F4" w:rsidRDefault="001F13F4" w:rsidP="001F13F4">
          <w:pPr>
            <w:pStyle w:val="625FC1E1A5D7443798E4B7021ED3DEDC"/>
          </w:pPr>
          <w:r w:rsidRPr="003B1CC5">
            <w:rPr>
              <w:rStyle w:val="PlaceholderText"/>
            </w:rPr>
            <w:t>Click here to enter NQF number</w:t>
          </w:r>
        </w:p>
      </w:docPartBody>
    </w:docPart>
    <w:docPart>
      <w:docPartPr>
        <w:name w:val="9599A037216241949632A5061714C961"/>
        <w:category>
          <w:name w:val="General"/>
          <w:gallery w:val="placeholder"/>
        </w:category>
        <w:types>
          <w:type w:val="bbPlcHdr"/>
        </w:types>
        <w:behaviors>
          <w:behavior w:val="content"/>
        </w:behaviors>
        <w:guid w:val="{5842462E-9D9B-4681-85E2-6703B8E4B9FC}"/>
      </w:docPartPr>
      <w:docPartBody>
        <w:p w:rsidR="001F13F4" w:rsidRDefault="001F13F4" w:rsidP="001F13F4">
          <w:pPr>
            <w:pStyle w:val="9599A037216241949632A5061714C961"/>
          </w:pPr>
          <w:bookmarkStart w:id="1" w:name="_GoBack"/>
          <w:r w:rsidRPr="00A25024">
            <w:rPr>
              <w:rStyle w:val="PlaceholderText"/>
              <w:rFonts w:cstheme="minorHAnsi"/>
              <w:color w:val="A6A6A6" w:themeColor="background1" w:themeShade="A6"/>
            </w:rPr>
            <w:t>Click here to enter measure title</w:t>
          </w:r>
          <w:bookmarkEnd w:id="1"/>
        </w:p>
      </w:docPartBody>
    </w:docPart>
    <w:docPart>
      <w:docPartPr>
        <w:name w:val="A8BA0FC72859480C9BAC7114310352B7"/>
        <w:category>
          <w:name w:val="General"/>
          <w:gallery w:val="placeholder"/>
        </w:category>
        <w:types>
          <w:type w:val="bbPlcHdr"/>
        </w:types>
        <w:behaviors>
          <w:behavior w:val="content"/>
        </w:behaviors>
        <w:guid w:val="{55DAB6F3-5FC1-41FE-91DD-DEC652CB1FE3}"/>
      </w:docPartPr>
      <w:docPartBody>
        <w:p w:rsidR="001F13F4" w:rsidRDefault="001F13F4" w:rsidP="001F13F4">
          <w:pPr>
            <w:pStyle w:val="A8BA0FC72859480C9BAC7114310352B7"/>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51E52"/>
    <w:rsid w:val="0007697E"/>
    <w:rsid w:val="000B7794"/>
    <w:rsid w:val="00110720"/>
    <w:rsid w:val="00127222"/>
    <w:rsid w:val="001736D7"/>
    <w:rsid w:val="00190AF4"/>
    <w:rsid w:val="001C1721"/>
    <w:rsid w:val="001F13F4"/>
    <w:rsid w:val="00223FA3"/>
    <w:rsid w:val="00254138"/>
    <w:rsid w:val="00257034"/>
    <w:rsid w:val="0028353D"/>
    <w:rsid w:val="002963FB"/>
    <w:rsid w:val="002A288F"/>
    <w:rsid w:val="002C45B0"/>
    <w:rsid w:val="002C65A7"/>
    <w:rsid w:val="002C6EAC"/>
    <w:rsid w:val="002F052A"/>
    <w:rsid w:val="003017EE"/>
    <w:rsid w:val="00350176"/>
    <w:rsid w:val="00355700"/>
    <w:rsid w:val="003840F0"/>
    <w:rsid w:val="00406068"/>
    <w:rsid w:val="00420739"/>
    <w:rsid w:val="00431C3D"/>
    <w:rsid w:val="00437537"/>
    <w:rsid w:val="00462B84"/>
    <w:rsid w:val="004D785E"/>
    <w:rsid w:val="004F785B"/>
    <w:rsid w:val="00513FC9"/>
    <w:rsid w:val="0053654E"/>
    <w:rsid w:val="0059685F"/>
    <w:rsid w:val="005E4EAC"/>
    <w:rsid w:val="00610196"/>
    <w:rsid w:val="00632A7E"/>
    <w:rsid w:val="00632AB6"/>
    <w:rsid w:val="00685784"/>
    <w:rsid w:val="006E3654"/>
    <w:rsid w:val="00707CE7"/>
    <w:rsid w:val="0072461A"/>
    <w:rsid w:val="00730B33"/>
    <w:rsid w:val="00771E15"/>
    <w:rsid w:val="00772B2A"/>
    <w:rsid w:val="007C672A"/>
    <w:rsid w:val="007C7CE9"/>
    <w:rsid w:val="007D4368"/>
    <w:rsid w:val="007D7B50"/>
    <w:rsid w:val="00822666"/>
    <w:rsid w:val="00822B0B"/>
    <w:rsid w:val="00823ECC"/>
    <w:rsid w:val="00826796"/>
    <w:rsid w:val="00866C97"/>
    <w:rsid w:val="0086720E"/>
    <w:rsid w:val="00880B9C"/>
    <w:rsid w:val="009017AE"/>
    <w:rsid w:val="009C542D"/>
    <w:rsid w:val="00A01A18"/>
    <w:rsid w:val="00A644C7"/>
    <w:rsid w:val="00A95183"/>
    <w:rsid w:val="00AB4AF7"/>
    <w:rsid w:val="00AD64DA"/>
    <w:rsid w:val="00AD7C4F"/>
    <w:rsid w:val="00B0462A"/>
    <w:rsid w:val="00B254D9"/>
    <w:rsid w:val="00B445F5"/>
    <w:rsid w:val="00B733A0"/>
    <w:rsid w:val="00BA768B"/>
    <w:rsid w:val="00BB2D96"/>
    <w:rsid w:val="00BD40CB"/>
    <w:rsid w:val="00BD5ACD"/>
    <w:rsid w:val="00C362A2"/>
    <w:rsid w:val="00C56EC0"/>
    <w:rsid w:val="00C652A3"/>
    <w:rsid w:val="00C8585F"/>
    <w:rsid w:val="00C90121"/>
    <w:rsid w:val="00C96E73"/>
    <w:rsid w:val="00CA1FE8"/>
    <w:rsid w:val="00CA217D"/>
    <w:rsid w:val="00CA344F"/>
    <w:rsid w:val="00CC75E7"/>
    <w:rsid w:val="00D07FB9"/>
    <w:rsid w:val="00D1676E"/>
    <w:rsid w:val="00D9709D"/>
    <w:rsid w:val="00DA2BDA"/>
    <w:rsid w:val="00DB43EB"/>
    <w:rsid w:val="00DB7FFB"/>
    <w:rsid w:val="00DC0246"/>
    <w:rsid w:val="00DC3EFA"/>
    <w:rsid w:val="00DC483F"/>
    <w:rsid w:val="00E05239"/>
    <w:rsid w:val="00E33198"/>
    <w:rsid w:val="00E35A52"/>
    <w:rsid w:val="00E513A4"/>
    <w:rsid w:val="00E6518A"/>
    <w:rsid w:val="00EB7418"/>
    <w:rsid w:val="00EF7EC4"/>
    <w:rsid w:val="00F540AB"/>
    <w:rsid w:val="00F62E52"/>
    <w:rsid w:val="00F915BA"/>
    <w:rsid w:val="00FC1760"/>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13F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2ED6D930D824771979AD46A567E979B">
    <w:name w:val="E2ED6D930D824771979AD46A567E979B"/>
    <w:rsid w:val="001F13F4"/>
    <w:pPr>
      <w:spacing w:after="160" w:line="259" w:lineRule="auto"/>
    </w:pPr>
  </w:style>
  <w:style w:type="paragraph" w:customStyle="1" w:styleId="625FC1E1A5D7443798E4B7021ED3DEDC">
    <w:name w:val="625FC1E1A5D7443798E4B7021ED3DEDC"/>
    <w:rsid w:val="001F13F4"/>
    <w:pPr>
      <w:spacing w:after="160" w:line="259" w:lineRule="auto"/>
    </w:pPr>
  </w:style>
  <w:style w:type="paragraph" w:customStyle="1" w:styleId="9599A037216241949632A5061714C961">
    <w:name w:val="9599A037216241949632A5061714C961"/>
    <w:rsid w:val="001F13F4"/>
    <w:pPr>
      <w:spacing w:after="160" w:line="259" w:lineRule="auto"/>
    </w:pPr>
  </w:style>
  <w:style w:type="paragraph" w:customStyle="1" w:styleId="A8BA0FC72859480C9BAC7114310352B7">
    <w:name w:val="A8BA0FC72859480C9BAC7114310352B7"/>
    <w:rsid w:val="001F13F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9ABE2FD0-F18D-4BD6-ABC0-2ABDA6C3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17976</Words>
  <Characters>102467</Characters>
  <Application>Microsoft Office Word</Application>
  <DocSecurity>4</DocSecurity>
  <Lines>853</Lines>
  <Paragraphs>240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Farietta, Thalia</cp:lastModifiedBy>
  <cp:revision>2</cp:revision>
  <dcterms:created xsi:type="dcterms:W3CDTF">2018-01-31T17:02:00Z</dcterms:created>
  <dcterms:modified xsi:type="dcterms:W3CDTF">2018-01-31T17:02:00Z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NewReviewCycle">
    <vt:lpwstr/>
  </property>
</Properties>
</file>